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7902" w:rsidRPr="00307902" w:rsidRDefault="00307902" w:rsidP="00307902">
      <w:pPr>
        <w:jc w:val="center"/>
        <w:rPr>
          <w:rFonts w:ascii="Times New Roman" w:hAnsi="Times New Roman" w:cs="Times New Roman"/>
          <w:b/>
          <w:sz w:val="32"/>
          <w:szCs w:val="32"/>
        </w:rPr>
      </w:pPr>
      <w:r w:rsidRPr="00307902">
        <w:rPr>
          <w:rFonts w:ascii="Times New Roman" w:hAnsi="Times New Roman" w:cs="Times New Roman"/>
          <w:b/>
          <w:sz w:val="32"/>
          <w:szCs w:val="32"/>
        </w:rPr>
        <w:t>Residential Security Deposit Bonds – Are They Legal in Minnesota? Are They Regulated by Minn. Stat. § 504B.178?</w:t>
      </w:r>
    </w:p>
    <w:p w:rsidR="00F003AB" w:rsidRPr="00F9550F" w:rsidRDefault="00964394">
      <w:pPr>
        <w:rPr>
          <w:rFonts w:ascii="Times New Roman" w:hAnsi="Times New Roman" w:cs="Times New Roman"/>
          <w:sz w:val="24"/>
          <w:szCs w:val="24"/>
          <w:u w:val="single"/>
        </w:rPr>
      </w:pPr>
      <w:r w:rsidRPr="00F9550F">
        <w:rPr>
          <w:rFonts w:ascii="Times New Roman" w:hAnsi="Times New Roman" w:cs="Times New Roman"/>
          <w:sz w:val="24"/>
          <w:szCs w:val="24"/>
          <w:u w:val="single"/>
        </w:rPr>
        <w:t>Introduction</w:t>
      </w:r>
    </w:p>
    <w:p w:rsidR="00964394" w:rsidRPr="00F9550F" w:rsidRDefault="00964394">
      <w:pPr>
        <w:rPr>
          <w:rFonts w:ascii="Times New Roman" w:hAnsi="Times New Roman" w:cs="Times New Roman"/>
          <w:sz w:val="24"/>
          <w:szCs w:val="24"/>
        </w:rPr>
      </w:pPr>
      <w:r w:rsidRPr="00F9550F">
        <w:rPr>
          <w:rFonts w:ascii="Times New Roman" w:hAnsi="Times New Roman" w:cs="Times New Roman"/>
          <w:sz w:val="24"/>
          <w:szCs w:val="24"/>
        </w:rPr>
        <w:t xml:space="preserve">Until recent times, the main methods </w:t>
      </w:r>
      <w:r w:rsidR="00307902">
        <w:rPr>
          <w:rFonts w:ascii="Times New Roman" w:hAnsi="Times New Roman" w:cs="Times New Roman"/>
          <w:sz w:val="24"/>
          <w:szCs w:val="24"/>
        </w:rPr>
        <w:t xml:space="preserve">residential </w:t>
      </w:r>
      <w:r w:rsidRPr="00F9550F">
        <w:rPr>
          <w:rFonts w:ascii="Times New Roman" w:hAnsi="Times New Roman" w:cs="Times New Roman"/>
          <w:sz w:val="24"/>
          <w:szCs w:val="24"/>
        </w:rPr>
        <w:t>landlords used to ensure themselves against their tenants</w:t>
      </w:r>
      <w:r w:rsidR="00676723">
        <w:rPr>
          <w:rFonts w:ascii="Times New Roman" w:hAnsi="Times New Roman" w:cs="Times New Roman"/>
          <w:sz w:val="24"/>
          <w:szCs w:val="24"/>
        </w:rPr>
        <w:t>’</w:t>
      </w:r>
      <w:r w:rsidRPr="00F9550F">
        <w:rPr>
          <w:rFonts w:ascii="Times New Roman" w:hAnsi="Times New Roman" w:cs="Times New Roman"/>
          <w:sz w:val="24"/>
          <w:szCs w:val="24"/>
        </w:rPr>
        <w:t xml:space="preserve"> defaulting were guarantors (</w:t>
      </w:r>
      <w:r w:rsidR="00FE7AC5">
        <w:rPr>
          <w:rFonts w:ascii="Times New Roman" w:hAnsi="Times New Roman" w:cs="Times New Roman"/>
          <w:sz w:val="24"/>
          <w:szCs w:val="24"/>
        </w:rPr>
        <w:t xml:space="preserve">e.g. </w:t>
      </w:r>
      <w:r w:rsidRPr="00F9550F">
        <w:rPr>
          <w:rFonts w:ascii="Times New Roman" w:hAnsi="Times New Roman" w:cs="Times New Roman"/>
          <w:sz w:val="24"/>
          <w:szCs w:val="24"/>
        </w:rPr>
        <w:t>parents guaranteeing a lease of their college-student daughter), distress for rent (seizing the personalty of the defaulting tenant; illegal in Minnesota</w:t>
      </w:r>
      <w:r w:rsidRPr="00F9550F">
        <w:rPr>
          <w:rStyle w:val="FootnoteReference"/>
          <w:rFonts w:ascii="Times New Roman" w:hAnsi="Times New Roman" w:cs="Times New Roman"/>
          <w:sz w:val="24"/>
          <w:szCs w:val="24"/>
        </w:rPr>
        <w:footnoteReference w:id="1"/>
      </w:r>
      <w:r w:rsidRPr="00F9550F">
        <w:rPr>
          <w:rFonts w:ascii="Times New Roman" w:hAnsi="Times New Roman" w:cs="Times New Roman"/>
          <w:sz w:val="24"/>
          <w:szCs w:val="24"/>
        </w:rPr>
        <w:t>), “security deposits”, and simply leasing only to credit-worthy tenants.</w:t>
      </w:r>
      <w:r w:rsidR="00F15444">
        <w:rPr>
          <w:rStyle w:val="FootnoteReference"/>
          <w:rFonts w:ascii="Times New Roman" w:hAnsi="Times New Roman" w:cs="Times New Roman"/>
          <w:sz w:val="24"/>
          <w:szCs w:val="24"/>
        </w:rPr>
        <w:footnoteReference w:id="2"/>
      </w:r>
      <w:r w:rsidR="000533FA" w:rsidRPr="00F9550F">
        <w:rPr>
          <w:rFonts w:ascii="Times New Roman" w:hAnsi="Times New Roman" w:cs="Times New Roman"/>
          <w:sz w:val="24"/>
          <w:szCs w:val="24"/>
        </w:rPr>
        <w:t xml:space="preserve"> Recently an alternative to traditional “security deposits” has been added, so-called security deposit bonds.</w:t>
      </w:r>
      <w:r w:rsidR="00112DEF">
        <w:rPr>
          <w:rFonts w:ascii="Times New Roman" w:hAnsi="Times New Roman" w:cs="Times New Roman"/>
          <w:sz w:val="24"/>
          <w:szCs w:val="24"/>
        </w:rPr>
        <w:t xml:space="preserve"> The bonding industry is making a concerted effort to expand their use, both by marketing the product and by lobbying state and city legislatures to enact bonding-favorable laws.</w:t>
      </w:r>
      <w:r w:rsidR="00112DEF">
        <w:rPr>
          <w:rStyle w:val="FootnoteReference"/>
          <w:rFonts w:ascii="Times New Roman" w:hAnsi="Times New Roman" w:cs="Times New Roman"/>
          <w:sz w:val="24"/>
          <w:szCs w:val="24"/>
        </w:rPr>
        <w:footnoteReference w:id="3"/>
      </w:r>
    </w:p>
    <w:p w:rsidR="000533FA" w:rsidRDefault="007D340E">
      <w:pPr>
        <w:rPr>
          <w:rFonts w:ascii="Times New Roman" w:hAnsi="Times New Roman" w:cs="Times New Roman"/>
          <w:sz w:val="24"/>
          <w:szCs w:val="24"/>
        </w:rPr>
      </w:pPr>
      <w:r w:rsidRPr="00F9550F">
        <w:rPr>
          <w:rFonts w:ascii="Times New Roman" w:hAnsi="Times New Roman" w:cs="Times New Roman"/>
          <w:sz w:val="24"/>
          <w:szCs w:val="24"/>
        </w:rPr>
        <w:t>I’ve used quote marks above because</w:t>
      </w:r>
      <w:r w:rsidR="00BB6E44" w:rsidRPr="00F9550F">
        <w:rPr>
          <w:rFonts w:ascii="Times New Roman" w:hAnsi="Times New Roman" w:cs="Times New Roman"/>
          <w:sz w:val="24"/>
          <w:szCs w:val="24"/>
        </w:rPr>
        <w:t>,</w:t>
      </w:r>
      <w:r w:rsidRPr="00F9550F">
        <w:rPr>
          <w:rFonts w:ascii="Times New Roman" w:hAnsi="Times New Roman" w:cs="Times New Roman"/>
          <w:sz w:val="24"/>
          <w:szCs w:val="24"/>
        </w:rPr>
        <w:t xml:space="preserve"> as discussed in this essay</w:t>
      </w:r>
      <w:r w:rsidR="00BB6E44" w:rsidRPr="00F9550F">
        <w:rPr>
          <w:rFonts w:ascii="Times New Roman" w:hAnsi="Times New Roman" w:cs="Times New Roman"/>
          <w:sz w:val="24"/>
          <w:szCs w:val="24"/>
        </w:rPr>
        <w:t>,</w:t>
      </w:r>
      <w:r w:rsidRPr="00F9550F">
        <w:rPr>
          <w:rFonts w:ascii="Times New Roman" w:hAnsi="Times New Roman" w:cs="Times New Roman"/>
          <w:sz w:val="24"/>
          <w:szCs w:val="24"/>
        </w:rPr>
        <w:t xml:space="preserve"> there is some question whether security deposit bonds are a form of security deposit or </w:t>
      </w:r>
      <w:r w:rsidR="00FF7CE6" w:rsidRPr="00F9550F">
        <w:rPr>
          <w:rFonts w:ascii="Times New Roman" w:hAnsi="Times New Roman" w:cs="Times New Roman"/>
          <w:sz w:val="24"/>
          <w:szCs w:val="24"/>
        </w:rPr>
        <w:t xml:space="preserve">are </w:t>
      </w:r>
      <w:r w:rsidRPr="00F9550F">
        <w:rPr>
          <w:rFonts w:ascii="Times New Roman" w:hAnsi="Times New Roman" w:cs="Times New Roman"/>
          <w:sz w:val="24"/>
          <w:szCs w:val="24"/>
        </w:rPr>
        <w:t>at least regulated by the security-deposit statute.</w:t>
      </w:r>
    </w:p>
    <w:p w:rsidR="00B26E3B" w:rsidRDefault="00112DEF">
      <w:pPr>
        <w:rPr>
          <w:rFonts w:ascii="Times New Roman" w:hAnsi="Times New Roman" w:cs="Times New Roman"/>
          <w:sz w:val="24"/>
          <w:szCs w:val="24"/>
        </w:rPr>
      </w:pPr>
      <w:r>
        <w:rPr>
          <w:rFonts w:ascii="Times New Roman" w:hAnsi="Times New Roman" w:cs="Times New Roman"/>
          <w:sz w:val="24"/>
          <w:szCs w:val="24"/>
        </w:rPr>
        <w:t xml:space="preserve">This essay </w:t>
      </w:r>
      <w:r w:rsidR="00625EA6">
        <w:rPr>
          <w:rFonts w:ascii="Times New Roman" w:hAnsi="Times New Roman" w:cs="Times New Roman"/>
          <w:sz w:val="24"/>
          <w:szCs w:val="24"/>
        </w:rPr>
        <w:t>reviews how the bonds work, discusses</w:t>
      </w:r>
      <w:r>
        <w:rPr>
          <w:rFonts w:ascii="Times New Roman" w:hAnsi="Times New Roman" w:cs="Times New Roman"/>
          <w:sz w:val="24"/>
          <w:szCs w:val="24"/>
        </w:rPr>
        <w:t xml:space="preserve"> legal battles in other states over the bonds</w:t>
      </w:r>
      <w:r w:rsidR="00625EA6">
        <w:rPr>
          <w:rFonts w:ascii="Times New Roman" w:hAnsi="Times New Roman" w:cs="Times New Roman"/>
          <w:sz w:val="24"/>
          <w:szCs w:val="24"/>
        </w:rPr>
        <w:t>,</w:t>
      </w:r>
      <w:r>
        <w:rPr>
          <w:rFonts w:ascii="Times New Roman" w:hAnsi="Times New Roman" w:cs="Times New Roman"/>
          <w:sz w:val="24"/>
          <w:szCs w:val="24"/>
        </w:rPr>
        <w:t xml:space="preserve"> and the</w:t>
      </w:r>
      <w:r w:rsidR="00625EA6">
        <w:rPr>
          <w:rFonts w:ascii="Times New Roman" w:hAnsi="Times New Roman" w:cs="Times New Roman"/>
          <w:sz w:val="24"/>
          <w:szCs w:val="24"/>
        </w:rPr>
        <w:t>n</w:t>
      </w:r>
      <w:r>
        <w:rPr>
          <w:rFonts w:ascii="Times New Roman" w:hAnsi="Times New Roman" w:cs="Times New Roman"/>
          <w:sz w:val="24"/>
          <w:szCs w:val="24"/>
        </w:rPr>
        <w:t xml:space="preserve"> analyzes whether the Minnesota security-deposit statute regulates these bonds. </w:t>
      </w:r>
    </w:p>
    <w:p w:rsidR="00112DEF" w:rsidRDefault="00112DEF">
      <w:pPr>
        <w:rPr>
          <w:rFonts w:ascii="Times New Roman" w:hAnsi="Times New Roman" w:cs="Times New Roman"/>
          <w:sz w:val="24"/>
          <w:szCs w:val="24"/>
        </w:rPr>
      </w:pPr>
      <w:r>
        <w:rPr>
          <w:rFonts w:ascii="Times New Roman" w:hAnsi="Times New Roman" w:cs="Times New Roman"/>
          <w:sz w:val="24"/>
          <w:szCs w:val="24"/>
        </w:rPr>
        <w:t xml:space="preserve">Spoiler alert: Ultimately I’m not sure what the answer is. Hopefully, my </w:t>
      </w:r>
      <w:r w:rsidR="00945339">
        <w:rPr>
          <w:rFonts w:ascii="Times New Roman" w:hAnsi="Times New Roman" w:cs="Times New Roman"/>
          <w:sz w:val="24"/>
          <w:szCs w:val="24"/>
        </w:rPr>
        <w:t xml:space="preserve">essay </w:t>
      </w:r>
      <w:r>
        <w:rPr>
          <w:rFonts w:ascii="Times New Roman" w:hAnsi="Times New Roman" w:cs="Times New Roman"/>
          <w:sz w:val="24"/>
          <w:szCs w:val="24"/>
        </w:rPr>
        <w:t>will spur thinking</w:t>
      </w:r>
      <w:r w:rsidR="00625EA6">
        <w:rPr>
          <w:rFonts w:ascii="Times New Roman" w:hAnsi="Times New Roman" w:cs="Times New Roman"/>
          <w:sz w:val="24"/>
          <w:szCs w:val="24"/>
        </w:rPr>
        <w:t xml:space="preserve">. At least, it </w:t>
      </w:r>
      <w:r>
        <w:rPr>
          <w:rFonts w:ascii="Times New Roman" w:hAnsi="Times New Roman" w:cs="Times New Roman"/>
          <w:sz w:val="24"/>
          <w:szCs w:val="24"/>
        </w:rPr>
        <w:t>provide</w:t>
      </w:r>
      <w:r w:rsidR="00625EA6">
        <w:rPr>
          <w:rFonts w:ascii="Times New Roman" w:hAnsi="Times New Roman" w:cs="Times New Roman"/>
          <w:sz w:val="24"/>
          <w:szCs w:val="24"/>
        </w:rPr>
        <w:t>s</w:t>
      </w:r>
      <w:r>
        <w:rPr>
          <w:rFonts w:ascii="Times New Roman" w:hAnsi="Times New Roman" w:cs="Times New Roman"/>
          <w:sz w:val="24"/>
          <w:szCs w:val="24"/>
        </w:rPr>
        <w:t xml:space="preserve"> information that is not easily available</w:t>
      </w:r>
      <w:r w:rsidR="00625EA6">
        <w:rPr>
          <w:rFonts w:ascii="Times New Roman" w:hAnsi="Times New Roman" w:cs="Times New Roman"/>
          <w:sz w:val="24"/>
          <w:szCs w:val="24"/>
        </w:rPr>
        <w:t xml:space="preserve"> (some bonding-related items from Ohio and Maryland, the legislative history of the Minnesota statute, and the Model Code that was the main basis for the Minnesota law.)</w:t>
      </w:r>
    </w:p>
    <w:p w:rsidR="00294D63" w:rsidRPr="00F9550F" w:rsidRDefault="00294D63">
      <w:pPr>
        <w:rPr>
          <w:rFonts w:ascii="Times New Roman" w:hAnsi="Times New Roman" w:cs="Times New Roman"/>
          <w:sz w:val="24"/>
          <w:szCs w:val="24"/>
        </w:rPr>
      </w:pPr>
    </w:p>
    <w:p w:rsidR="00FD705C" w:rsidRPr="00F9550F" w:rsidRDefault="00112DEF">
      <w:pPr>
        <w:rPr>
          <w:rFonts w:ascii="Times New Roman" w:hAnsi="Times New Roman" w:cs="Times New Roman"/>
          <w:sz w:val="24"/>
          <w:szCs w:val="24"/>
          <w:u w:val="single"/>
        </w:rPr>
      </w:pPr>
      <w:r>
        <w:rPr>
          <w:rFonts w:ascii="Times New Roman" w:hAnsi="Times New Roman" w:cs="Times New Roman"/>
          <w:sz w:val="24"/>
          <w:szCs w:val="24"/>
          <w:u w:val="single"/>
        </w:rPr>
        <w:lastRenderedPageBreak/>
        <w:t>Description of t</w:t>
      </w:r>
      <w:r w:rsidR="00FD705C" w:rsidRPr="00F9550F">
        <w:rPr>
          <w:rFonts w:ascii="Times New Roman" w:hAnsi="Times New Roman" w:cs="Times New Roman"/>
          <w:sz w:val="24"/>
          <w:szCs w:val="24"/>
          <w:u w:val="single"/>
        </w:rPr>
        <w:t>raditional security deposits</w:t>
      </w:r>
    </w:p>
    <w:p w:rsidR="00BB6E44" w:rsidRPr="00F9550F" w:rsidRDefault="00BB6E44">
      <w:pPr>
        <w:rPr>
          <w:rFonts w:ascii="Times New Roman" w:hAnsi="Times New Roman" w:cs="Times New Roman"/>
          <w:sz w:val="24"/>
          <w:szCs w:val="24"/>
        </w:rPr>
      </w:pPr>
      <w:r w:rsidRPr="00F9550F">
        <w:rPr>
          <w:rFonts w:ascii="Times New Roman" w:hAnsi="Times New Roman" w:cs="Times New Roman"/>
          <w:sz w:val="24"/>
          <w:szCs w:val="24"/>
        </w:rPr>
        <w:t>The reader is no doubt familiar with traditional security deposits. The tenant pays the landlord a sum of money, often the equivalent of one-month’s rent, at the beginning of the tenancy. The landlord holds onto the money, probably in a bank account, until the end of the tenancy. Then, if the tenant owes no money for unpaid rent or physical damage, the money is returned to the tenant with interest. If the tenant does owe for unpaid rent or damage, the landlord deducts that amount from the deposit.</w:t>
      </w:r>
    </w:p>
    <w:p w:rsidR="00FD705C" w:rsidRPr="00F9550F" w:rsidRDefault="00625EA6" w:rsidP="005C03B0">
      <w:pPr>
        <w:rPr>
          <w:rFonts w:ascii="Times New Roman" w:hAnsi="Times New Roman" w:cs="Times New Roman"/>
          <w:sz w:val="24"/>
          <w:szCs w:val="24"/>
        </w:rPr>
      </w:pPr>
      <w:r>
        <w:rPr>
          <w:rFonts w:ascii="Times New Roman" w:hAnsi="Times New Roman" w:cs="Times New Roman"/>
          <w:sz w:val="24"/>
          <w:szCs w:val="24"/>
        </w:rPr>
        <w:t>M</w:t>
      </w:r>
      <w:r w:rsidR="001812F0" w:rsidRPr="00F9550F">
        <w:rPr>
          <w:rFonts w:ascii="Times New Roman" w:hAnsi="Times New Roman" w:cs="Times New Roman"/>
          <w:sz w:val="24"/>
          <w:szCs w:val="24"/>
        </w:rPr>
        <w:t>y previous blog post</w:t>
      </w:r>
      <w:r w:rsidR="00A445BB" w:rsidRPr="00F9550F">
        <w:rPr>
          <w:rStyle w:val="FootnoteReference"/>
          <w:rFonts w:ascii="Times New Roman" w:hAnsi="Times New Roman" w:cs="Times New Roman"/>
          <w:sz w:val="24"/>
          <w:szCs w:val="24"/>
        </w:rPr>
        <w:footnoteReference w:id="4"/>
      </w:r>
      <w:r w:rsidR="001812F0" w:rsidRPr="00F9550F">
        <w:rPr>
          <w:rFonts w:ascii="Times New Roman" w:hAnsi="Times New Roman" w:cs="Times New Roman"/>
          <w:sz w:val="24"/>
          <w:szCs w:val="24"/>
        </w:rPr>
        <w:t xml:space="preserve"> discussed Minnesota </w:t>
      </w:r>
      <w:r w:rsidR="00EF165C" w:rsidRPr="00F9550F">
        <w:rPr>
          <w:rFonts w:ascii="Times New Roman" w:hAnsi="Times New Roman" w:cs="Times New Roman"/>
          <w:sz w:val="24"/>
          <w:szCs w:val="24"/>
        </w:rPr>
        <w:t xml:space="preserve">residential </w:t>
      </w:r>
      <w:r w:rsidR="001812F0" w:rsidRPr="00F9550F">
        <w:rPr>
          <w:rFonts w:ascii="Times New Roman" w:hAnsi="Times New Roman" w:cs="Times New Roman"/>
          <w:sz w:val="24"/>
          <w:szCs w:val="24"/>
        </w:rPr>
        <w:t xml:space="preserve">security-deposit law at length. Very briefly, these are highly regulated by </w:t>
      </w:r>
      <w:hyperlink r:id="rId8" w:history="1">
        <w:r w:rsidR="001812F0" w:rsidRPr="00F9550F">
          <w:rPr>
            <w:rStyle w:val="Hyperlink"/>
            <w:rFonts w:ascii="Times New Roman" w:hAnsi="Times New Roman" w:cs="Times New Roman"/>
            <w:sz w:val="24"/>
            <w:szCs w:val="24"/>
          </w:rPr>
          <w:t>Minn. Stat. § 504B.178</w:t>
        </w:r>
      </w:hyperlink>
      <w:r w:rsidR="001812F0" w:rsidRPr="00F9550F">
        <w:rPr>
          <w:rFonts w:ascii="Times New Roman" w:hAnsi="Times New Roman" w:cs="Times New Roman"/>
          <w:sz w:val="24"/>
          <w:szCs w:val="24"/>
        </w:rPr>
        <w:t>. The landlord must pay 1% interest and must return the deposit or specifically account for deductions within three weeks of the tenancy</w:t>
      </w:r>
      <w:r>
        <w:rPr>
          <w:rFonts w:ascii="Times New Roman" w:hAnsi="Times New Roman" w:cs="Times New Roman"/>
          <w:sz w:val="24"/>
          <w:szCs w:val="24"/>
        </w:rPr>
        <w:t>’s end</w:t>
      </w:r>
      <w:r w:rsidR="001812F0" w:rsidRPr="00F9550F">
        <w:rPr>
          <w:rFonts w:ascii="Times New Roman" w:hAnsi="Times New Roman" w:cs="Times New Roman"/>
          <w:sz w:val="24"/>
          <w:szCs w:val="24"/>
        </w:rPr>
        <w:t xml:space="preserve">; penalties for missing the deadline and for other bad-faith withholding are set out; when ownership changes, passage of the deposit from the seller to the buyer is regulated, with specific notice to the tenant </w:t>
      </w:r>
      <w:r w:rsidR="00C3742E">
        <w:rPr>
          <w:rFonts w:ascii="Times New Roman" w:hAnsi="Times New Roman" w:cs="Times New Roman"/>
          <w:sz w:val="24"/>
          <w:szCs w:val="24"/>
        </w:rPr>
        <w:t xml:space="preserve">required </w:t>
      </w:r>
      <w:r w:rsidR="001812F0" w:rsidRPr="00F9550F">
        <w:rPr>
          <w:rFonts w:ascii="Times New Roman" w:hAnsi="Times New Roman" w:cs="Times New Roman"/>
          <w:sz w:val="24"/>
          <w:szCs w:val="24"/>
        </w:rPr>
        <w:t>and serious consequences for noncompliance; expanded jurisdiction in conciliation court is es</w:t>
      </w:r>
      <w:r>
        <w:rPr>
          <w:rFonts w:ascii="Times New Roman" w:hAnsi="Times New Roman" w:cs="Times New Roman"/>
          <w:sz w:val="24"/>
          <w:szCs w:val="24"/>
        </w:rPr>
        <w:t xml:space="preserve">tablished for the tenant who </w:t>
      </w:r>
      <w:r w:rsidR="00FB2538" w:rsidRPr="00F9550F">
        <w:rPr>
          <w:rFonts w:ascii="Times New Roman" w:hAnsi="Times New Roman" w:cs="Times New Roman"/>
          <w:sz w:val="24"/>
          <w:szCs w:val="24"/>
        </w:rPr>
        <w:t>sue</w:t>
      </w:r>
      <w:r>
        <w:rPr>
          <w:rFonts w:ascii="Times New Roman" w:hAnsi="Times New Roman" w:cs="Times New Roman"/>
          <w:sz w:val="24"/>
          <w:szCs w:val="24"/>
        </w:rPr>
        <w:t>s</w:t>
      </w:r>
      <w:r w:rsidR="00FB2538" w:rsidRPr="00F9550F">
        <w:rPr>
          <w:rFonts w:ascii="Times New Roman" w:hAnsi="Times New Roman" w:cs="Times New Roman"/>
          <w:sz w:val="24"/>
          <w:szCs w:val="24"/>
        </w:rPr>
        <w:t xml:space="preserve"> over the deposit; and the tenant may use the deposit to pay his last </w:t>
      </w:r>
      <w:r>
        <w:rPr>
          <w:rFonts w:ascii="Times New Roman" w:hAnsi="Times New Roman" w:cs="Times New Roman"/>
          <w:sz w:val="24"/>
          <w:szCs w:val="24"/>
        </w:rPr>
        <w:t>month rent</w:t>
      </w:r>
      <w:r w:rsidR="00FB2538" w:rsidRPr="00F9550F">
        <w:rPr>
          <w:rFonts w:ascii="Times New Roman" w:hAnsi="Times New Roman" w:cs="Times New Roman"/>
          <w:sz w:val="24"/>
          <w:szCs w:val="24"/>
        </w:rPr>
        <w:t xml:space="preserve"> when the landlord is in the </w:t>
      </w:r>
      <w:r>
        <w:rPr>
          <w:rFonts w:ascii="Times New Roman" w:hAnsi="Times New Roman" w:cs="Times New Roman"/>
          <w:sz w:val="24"/>
          <w:szCs w:val="24"/>
        </w:rPr>
        <w:t>final</w:t>
      </w:r>
      <w:r w:rsidR="00FB2538" w:rsidRPr="00F9550F">
        <w:rPr>
          <w:rFonts w:ascii="Times New Roman" w:hAnsi="Times New Roman" w:cs="Times New Roman"/>
          <w:sz w:val="24"/>
          <w:szCs w:val="24"/>
        </w:rPr>
        <w:t xml:space="preserve"> month of foreclosure or cancellation</w:t>
      </w:r>
      <w:r w:rsidR="001812F0" w:rsidRPr="00F9550F">
        <w:rPr>
          <w:rFonts w:ascii="Times New Roman" w:hAnsi="Times New Roman" w:cs="Times New Roman"/>
          <w:sz w:val="24"/>
          <w:szCs w:val="24"/>
        </w:rPr>
        <w:t>.</w:t>
      </w:r>
    </w:p>
    <w:p w:rsidR="00FD705C" w:rsidRPr="00F9550F" w:rsidRDefault="00112DEF" w:rsidP="00112DEF">
      <w:pPr>
        <w:rPr>
          <w:rFonts w:ascii="Times New Roman" w:hAnsi="Times New Roman" w:cs="Times New Roman"/>
          <w:sz w:val="24"/>
          <w:szCs w:val="24"/>
          <w:u w:val="single"/>
        </w:rPr>
      </w:pPr>
      <w:r>
        <w:rPr>
          <w:rFonts w:ascii="Times New Roman" w:hAnsi="Times New Roman" w:cs="Times New Roman"/>
          <w:sz w:val="24"/>
          <w:szCs w:val="24"/>
          <w:u w:val="single"/>
        </w:rPr>
        <w:t>Description of s</w:t>
      </w:r>
      <w:r w:rsidR="00FD705C" w:rsidRPr="00F9550F">
        <w:rPr>
          <w:rFonts w:ascii="Times New Roman" w:hAnsi="Times New Roman" w:cs="Times New Roman"/>
          <w:sz w:val="24"/>
          <w:szCs w:val="24"/>
          <w:u w:val="single"/>
        </w:rPr>
        <w:t>ecurity deposit bonds</w:t>
      </w:r>
    </w:p>
    <w:p w:rsidR="008C68D3" w:rsidRPr="00F9550F" w:rsidRDefault="005C03B0" w:rsidP="005C03B0">
      <w:pPr>
        <w:rPr>
          <w:rFonts w:ascii="Times New Roman" w:hAnsi="Times New Roman" w:cs="Times New Roman"/>
          <w:sz w:val="24"/>
          <w:szCs w:val="24"/>
        </w:rPr>
      </w:pPr>
      <w:r w:rsidRPr="00F9550F">
        <w:rPr>
          <w:rFonts w:ascii="Times New Roman" w:hAnsi="Times New Roman" w:cs="Times New Roman"/>
          <w:sz w:val="24"/>
          <w:szCs w:val="24"/>
        </w:rPr>
        <w:t>Briefly, here is how security deposit bonds work. The tenant purchases the bond from a third-party bonding company in lieu of a traditional security deposit.</w:t>
      </w:r>
      <w:r w:rsidRPr="00F9550F">
        <w:rPr>
          <w:rStyle w:val="FootnoteReference"/>
          <w:rFonts w:ascii="Times New Roman" w:hAnsi="Times New Roman" w:cs="Times New Roman"/>
          <w:sz w:val="24"/>
          <w:szCs w:val="24"/>
        </w:rPr>
        <w:footnoteReference w:id="5"/>
      </w:r>
      <w:r w:rsidRPr="00F9550F">
        <w:rPr>
          <w:rFonts w:ascii="Times New Roman" w:hAnsi="Times New Roman" w:cs="Times New Roman"/>
          <w:sz w:val="24"/>
          <w:szCs w:val="24"/>
        </w:rPr>
        <w:t xml:space="preserve"> </w:t>
      </w:r>
      <w:hyperlink r:id="rId9" w:history="1">
        <w:r w:rsidRPr="00A22267">
          <w:rPr>
            <w:rStyle w:val="Hyperlink"/>
            <w:rFonts w:ascii="Times New Roman" w:hAnsi="Times New Roman" w:cs="Times New Roman"/>
            <w:sz w:val="24"/>
            <w:szCs w:val="24"/>
          </w:rPr>
          <w:t xml:space="preserve">Appendix </w:t>
        </w:r>
        <w:r w:rsidR="00553F70" w:rsidRPr="00A22267">
          <w:rPr>
            <w:rStyle w:val="Hyperlink"/>
            <w:rFonts w:ascii="Times New Roman" w:hAnsi="Times New Roman" w:cs="Times New Roman"/>
            <w:sz w:val="24"/>
            <w:szCs w:val="24"/>
          </w:rPr>
          <w:t>1</w:t>
        </w:r>
      </w:hyperlink>
      <w:r w:rsidR="00082A7D" w:rsidRPr="00082A7D">
        <w:rPr>
          <w:rFonts w:ascii="Times New Roman" w:hAnsi="Times New Roman" w:cs="Times New Roman"/>
          <w:color w:val="FF0000"/>
          <w:sz w:val="24"/>
          <w:szCs w:val="24"/>
        </w:rPr>
        <w:t xml:space="preserve"> </w:t>
      </w:r>
      <w:r w:rsidR="000F1FA7" w:rsidRPr="00F9550F">
        <w:rPr>
          <w:rFonts w:ascii="Times New Roman" w:hAnsi="Times New Roman" w:cs="Times New Roman"/>
          <w:sz w:val="24"/>
          <w:szCs w:val="24"/>
        </w:rPr>
        <w:t>displays</w:t>
      </w:r>
      <w:r w:rsidRPr="00F9550F">
        <w:rPr>
          <w:rFonts w:ascii="Times New Roman" w:hAnsi="Times New Roman" w:cs="Times New Roman"/>
          <w:sz w:val="24"/>
          <w:szCs w:val="24"/>
        </w:rPr>
        <w:t xml:space="preserve"> several such bond agreements. The bond premium is typically 17.5% of the bond amount, which in turn is typically the same as the amount of security deposit that landlord charges, although on occasionally considerably higher.</w:t>
      </w:r>
      <w:r w:rsidRPr="00F9550F">
        <w:rPr>
          <w:rStyle w:val="FootnoteReference"/>
          <w:rFonts w:ascii="Times New Roman" w:hAnsi="Times New Roman" w:cs="Times New Roman"/>
          <w:sz w:val="24"/>
          <w:szCs w:val="24"/>
        </w:rPr>
        <w:footnoteReference w:id="6"/>
      </w:r>
      <w:r w:rsidRPr="00F9550F">
        <w:rPr>
          <w:rFonts w:ascii="Times New Roman" w:hAnsi="Times New Roman" w:cs="Times New Roman"/>
          <w:sz w:val="24"/>
          <w:szCs w:val="24"/>
        </w:rPr>
        <w:t xml:space="preserve"> If the landlord believes the tenant owes the landlord money at the end of the tenancy, the landlord does not deduct from the deposit (there is none) but rather se</w:t>
      </w:r>
      <w:r w:rsidR="00945339">
        <w:rPr>
          <w:rFonts w:ascii="Times New Roman" w:hAnsi="Times New Roman" w:cs="Times New Roman"/>
          <w:sz w:val="24"/>
          <w:szCs w:val="24"/>
        </w:rPr>
        <w:t xml:space="preserve">eks reimbursement from the bonding </w:t>
      </w:r>
      <w:r w:rsidRPr="00F9550F">
        <w:rPr>
          <w:rFonts w:ascii="Times New Roman" w:hAnsi="Times New Roman" w:cs="Times New Roman"/>
          <w:sz w:val="24"/>
          <w:szCs w:val="24"/>
        </w:rPr>
        <w:t xml:space="preserve">company, which pays the landlord and then has the right to collect the same amount from the tenant. </w:t>
      </w:r>
      <w:r w:rsidR="008C68D3" w:rsidRPr="00F9550F">
        <w:rPr>
          <w:rFonts w:ascii="Times New Roman" w:hAnsi="Times New Roman" w:cs="Times New Roman"/>
          <w:sz w:val="24"/>
          <w:szCs w:val="24"/>
        </w:rPr>
        <w:t>The bonding company can dispute the landlord’s claim but anecdotal reports are that it rarely does so. If the bond payment to the landlord does not cover the tenant’s alleged debt, or if the landlord foregoes a bond claim, the landlord can try to collect the debt from the tenant in the usual ways (suing, hiring a collection agency, etc).</w:t>
      </w:r>
    </w:p>
    <w:p w:rsidR="00F75054" w:rsidRPr="00F9550F" w:rsidRDefault="008C68D3" w:rsidP="005C03B0">
      <w:pPr>
        <w:rPr>
          <w:rFonts w:ascii="Times New Roman" w:hAnsi="Times New Roman" w:cs="Times New Roman"/>
          <w:sz w:val="24"/>
          <w:szCs w:val="24"/>
        </w:rPr>
      </w:pPr>
      <w:r w:rsidRPr="00F9550F">
        <w:rPr>
          <w:rFonts w:ascii="Times New Roman" w:hAnsi="Times New Roman" w:cs="Times New Roman"/>
          <w:sz w:val="24"/>
          <w:szCs w:val="24"/>
        </w:rPr>
        <w:t xml:space="preserve">In some cases, the bonding agreement limits the tenant and the bonding company to binding arbitration or small-claims court to litigate disputes. </w:t>
      </w:r>
    </w:p>
    <w:p w:rsidR="005C03B0" w:rsidRPr="00F9550F" w:rsidRDefault="008C68D3" w:rsidP="005C03B0">
      <w:pPr>
        <w:rPr>
          <w:rFonts w:ascii="Times New Roman" w:hAnsi="Times New Roman" w:cs="Times New Roman"/>
          <w:sz w:val="24"/>
          <w:szCs w:val="24"/>
        </w:rPr>
      </w:pPr>
      <w:r w:rsidRPr="00F9550F">
        <w:rPr>
          <w:rFonts w:ascii="Times New Roman" w:hAnsi="Times New Roman" w:cs="Times New Roman"/>
          <w:sz w:val="24"/>
          <w:szCs w:val="24"/>
        </w:rPr>
        <w:t>Typically, the bonding agreements provide the tenant with no</w:t>
      </w:r>
      <w:r w:rsidR="00F75054" w:rsidRPr="00F9550F">
        <w:rPr>
          <w:rFonts w:ascii="Times New Roman" w:hAnsi="Times New Roman" w:cs="Times New Roman"/>
          <w:sz w:val="24"/>
          <w:szCs w:val="24"/>
        </w:rPr>
        <w:t xml:space="preserve">ne of the rights set out in Minn. Stat. § 504B.178 -- </w:t>
      </w:r>
      <w:r w:rsidR="00FB2538" w:rsidRPr="00F9550F">
        <w:rPr>
          <w:rFonts w:ascii="Times New Roman" w:hAnsi="Times New Roman" w:cs="Times New Roman"/>
          <w:sz w:val="24"/>
          <w:szCs w:val="24"/>
        </w:rPr>
        <w:t>getting</w:t>
      </w:r>
      <w:r w:rsidRPr="00F9550F">
        <w:rPr>
          <w:rFonts w:ascii="Times New Roman" w:hAnsi="Times New Roman" w:cs="Times New Roman"/>
          <w:sz w:val="24"/>
          <w:szCs w:val="24"/>
        </w:rPr>
        <w:t xml:space="preserve"> details of the landlord’s claim</w:t>
      </w:r>
      <w:r w:rsidR="00F75054" w:rsidRPr="00F9550F">
        <w:rPr>
          <w:rFonts w:ascii="Times New Roman" w:hAnsi="Times New Roman" w:cs="Times New Roman"/>
          <w:sz w:val="24"/>
          <w:szCs w:val="24"/>
        </w:rPr>
        <w:t xml:space="preserve"> (from either the landlord or the </w:t>
      </w:r>
      <w:r w:rsidR="00F75054" w:rsidRPr="00F9550F">
        <w:rPr>
          <w:rFonts w:ascii="Times New Roman" w:hAnsi="Times New Roman" w:cs="Times New Roman"/>
          <w:sz w:val="24"/>
          <w:szCs w:val="24"/>
        </w:rPr>
        <w:lastRenderedPageBreak/>
        <w:t>bonding company)</w:t>
      </w:r>
      <w:r w:rsidRPr="00F9550F">
        <w:rPr>
          <w:rFonts w:ascii="Times New Roman" w:hAnsi="Times New Roman" w:cs="Times New Roman"/>
          <w:sz w:val="24"/>
          <w:szCs w:val="24"/>
        </w:rPr>
        <w:t>, timelines for claims,</w:t>
      </w:r>
      <w:r w:rsidR="00FB2538" w:rsidRPr="00F9550F">
        <w:rPr>
          <w:rFonts w:ascii="Times New Roman" w:hAnsi="Times New Roman" w:cs="Times New Roman"/>
          <w:sz w:val="24"/>
          <w:szCs w:val="24"/>
        </w:rPr>
        <w:t xml:space="preserve"> penalties for bad faith, notices and related rights when ownership changes, </w:t>
      </w:r>
      <w:r w:rsidR="00746883">
        <w:rPr>
          <w:rFonts w:ascii="Times New Roman" w:hAnsi="Times New Roman" w:cs="Times New Roman"/>
          <w:sz w:val="24"/>
          <w:szCs w:val="24"/>
        </w:rPr>
        <w:t xml:space="preserve">or </w:t>
      </w:r>
      <w:r w:rsidR="00FB2538" w:rsidRPr="00F9550F">
        <w:rPr>
          <w:rFonts w:ascii="Times New Roman" w:hAnsi="Times New Roman" w:cs="Times New Roman"/>
          <w:sz w:val="24"/>
          <w:szCs w:val="24"/>
        </w:rPr>
        <w:t xml:space="preserve">the right to use the bond as rent when the landlord is at the end of </w:t>
      </w:r>
      <w:r w:rsidR="00F75054" w:rsidRPr="00F9550F">
        <w:rPr>
          <w:rFonts w:ascii="Times New Roman" w:hAnsi="Times New Roman" w:cs="Times New Roman"/>
          <w:sz w:val="24"/>
          <w:szCs w:val="24"/>
        </w:rPr>
        <w:t>foreclosure or cancellation</w:t>
      </w:r>
      <w:r w:rsidR="00746883">
        <w:rPr>
          <w:rFonts w:ascii="Times New Roman" w:hAnsi="Times New Roman" w:cs="Times New Roman"/>
          <w:sz w:val="24"/>
          <w:szCs w:val="24"/>
        </w:rPr>
        <w:t>. No</w:t>
      </w:r>
      <w:r w:rsidR="00F75054" w:rsidRPr="00F9550F">
        <w:rPr>
          <w:rFonts w:ascii="Times New Roman" w:hAnsi="Times New Roman" w:cs="Times New Roman"/>
          <w:sz w:val="24"/>
          <w:szCs w:val="24"/>
        </w:rPr>
        <w:t xml:space="preserve">r </w:t>
      </w:r>
      <w:r w:rsidR="00746883">
        <w:rPr>
          <w:rFonts w:ascii="Times New Roman" w:hAnsi="Times New Roman" w:cs="Times New Roman"/>
          <w:sz w:val="24"/>
          <w:szCs w:val="24"/>
        </w:rPr>
        <w:t>are</w:t>
      </w:r>
      <w:r w:rsidR="00F75054" w:rsidRPr="00F9550F">
        <w:rPr>
          <w:rFonts w:ascii="Times New Roman" w:hAnsi="Times New Roman" w:cs="Times New Roman"/>
          <w:sz w:val="24"/>
          <w:szCs w:val="24"/>
        </w:rPr>
        <w:t xml:space="preserve"> some of the protections should the bonding company or t</w:t>
      </w:r>
      <w:r w:rsidR="00951478" w:rsidRPr="00F9550F">
        <w:rPr>
          <w:rFonts w:ascii="Times New Roman" w:hAnsi="Times New Roman" w:cs="Times New Roman"/>
          <w:sz w:val="24"/>
          <w:szCs w:val="24"/>
        </w:rPr>
        <w:t>he landlord go bankrupt</w:t>
      </w:r>
      <w:r w:rsidR="00F75054" w:rsidRPr="00F9550F">
        <w:rPr>
          <w:rStyle w:val="FootnoteReference"/>
          <w:rFonts w:ascii="Times New Roman" w:hAnsi="Times New Roman" w:cs="Times New Roman"/>
          <w:sz w:val="24"/>
          <w:szCs w:val="24"/>
        </w:rPr>
        <w:footnoteReference w:id="7"/>
      </w:r>
      <w:r w:rsidR="00951478" w:rsidRPr="00F9550F">
        <w:rPr>
          <w:rFonts w:ascii="Times New Roman" w:hAnsi="Times New Roman" w:cs="Times New Roman"/>
          <w:sz w:val="24"/>
          <w:szCs w:val="24"/>
        </w:rPr>
        <w:t xml:space="preserve"> or caps on security deposit amounts </w:t>
      </w:r>
      <w:r w:rsidR="00746883">
        <w:rPr>
          <w:rFonts w:ascii="Times New Roman" w:hAnsi="Times New Roman" w:cs="Times New Roman"/>
          <w:sz w:val="24"/>
          <w:szCs w:val="24"/>
        </w:rPr>
        <w:t>available</w:t>
      </w:r>
      <w:r w:rsidR="00951478" w:rsidRPr="00F9550F">
        <w:rPr>
          <w:rFonts w:ascii="Times New Roman" w:hAnsi="Times New Roman" w:cs="Times New Roman"/>
          <w:sz w:val="24"/>
          <w:szCs w:val="24"/>
        </w:rPr>
        <w:t>.</w:t>
      </w:r>
      <w:r w:rsidR="00951478" w:rsidRPr="00F9550F">
        <w:rPr>
          <w:rStyle w:val="FootnoteReference"/>
          <w:rFonts w:ascii="Times New Roman" w:hAnsi="Times New Roman" w:cs="Times New Roman"/>
          <w:sz w:val="24"/>
          <w:szCs w:val="24"/>
        </w:rPr>
        <w:footnoteReference w:id="8"/>
      </w:r>
    </w:p>
    <w:p w:rsidR="0094300E" w:rsidRPr="00F9550F" w:rsidRDefault="00F75054" w:rsidP="005C03B0">
      <w:pPr>
        <w:rPr>
          <w:rFonts w:ascii="Times New Roman" w:hAnsi="Times New Roman" w:cs="Times New Roman"/>
          <w:sz w:val="24"/>
          <w:szCs w:val="24"/>
        </w:rPr>
      </w:pPr>
      <w:r w:rsidRPr="00F9550F">
        <w:rPr>
          <w:rFonts w:ascii="Times New Roman" w:hAnsi="Times New Roman" w:cs="Times New Roman"/>
          <w:sz w:val="24"/>
          <w:szCs w:val="24"/>
        </w:rPr>
        <w:t>In some cases, unbeknownst to the tenant, the bonding company kicks back 20% of the premium to the landlord.</w:t>
      </w:r>
      <w:r w:rsidR="000D45F4" w:rsidRPr="00F9550F">
        <w:rPr>
          <w:rStyle w:val="FootnoteReference"/>
          <w:rFonts w:ascii="Times New Roman" w:hAnsi="Times New Roman" w:cs="Times New Roman"/>
          <w:sz w:val="24"/>
          <w:szCs w:val="24"/>
        </w:rPr>
        <w:footnoteReference w:id="9"/>
      </w:r>
      <w:r w:rsidR="000D45F4" w:rsidRPr="00F9550F">
        <w:rPr>
          <w:rFonts w:ascii="Times New Roman" w:hAnsi="Times New Roman" w:cs="Times New Roman"/>
          <w:sz w:val="24"/>
          <w:szCs w:val="24"/>
        </w:rPr>
        <w:t xml:space="preserve"> </w:t>
      </w:r>
      <w:r w:rsidR="0094300E" w:rsidRPr="00F9550F">
        <w:rPr>
          <w:rFonts w:ascii="Times New Roman" w:hAnsi="Times New Roman" w:cs="Times New Roman"/>
          <w:sz w:val="24"/>
          <w:szCs w:val="24"/>
        </w:rPr>
        <w:t xml:space="preserve">This 20% is usually described as an “administrative fee” but that seems like a fig leaf. </w:t>
      </w:r>
      <w:r w:rsidR="002144D5" w:rsidRPr="00F9550F">
        <w:rPr>
          <w:rFonts w:ascii="Times New Roman" w:hAnsi="Times New Roman" w:cs="Times New Roman"/>
          <w:sz w:val="24"/>
          <w:szCs w:val="24"/>
        </w:rPr>
        <w:t xml:space="preserve">Essentially, it is a </w:t>
      </w:r>
      <w:r w:rsidR="00951478" w:rsidRPr="00F9550F">
        <w:rPr>
          <w:rFonts w:ascii="Times New Roman" w:hAnsi="Times New Roman" w:cs="Times New Roman"/>
          <w:sz w:val="24"/>
          <w:szCs w:val="24"/>
        </w:rPr>
        <w:t>sales commission</w:t>
      </w:r>
      <w:r w:rsidR="00746883">
        <w:rPr>
          <w:rFonts w:ascii="Times New Roman" w:hAnsi="Times New Roman" w:cs="Times New Roman"/>
          <w:sz w:val="24"/>
          <w:szCs w:val="24"/>
        </w:rPr>
        <w:t>.</w:t>
      </w:r>
    </w:p>
    <w:p w:rsidR="00F75054" w:rsidRPr="00F9550F" w:rsidRDefault="000D45F4" w:rsidP="005C03B0">
      <w:pPr>
        <w:rPr>
          <w:rFonts w:ascii="Times New Roman" w:hAnsi="Times New Roman" w:cs="Times New Roman"/>
          <w:sz w:val="24"/>
          <w:szCs w:val="24"/>
        </w:rPr>
      </w:pPr>
      <w:r w:rsidRPr="00F9550F">
        <w:rPr>
          <w:rFonts w:ascii="Times New Roman" w:hAnsi="Times New Roman" w:cs="Times New Roman"/>
          <w:sz w:val="24"/>
          <w:szCs w:val="24"/>
        </w:rPr>
        <w:t>While the bond premium is supposed to be paid directly to the bonding company so that, at least in theory, the landlord is not involved in the transaction, in practice sometimes the landlord has taken one</w:t>
      </w:r>
      <w:r w:rsidR="005A203C" w:rsidRPr="00F9550F">
        <w:rPr>
          <w:rFonts w:ascii="Times New Roman" w:hAnsi="Times New Roman" w:cs="Times New Roman"/>
          <w:sz w:val="24"/>
          <w:szCs w:val="24"/>
        </w:rPr>
        <w:t xml:space="preserve"> check from the tenant for rent plus</w:t>
      </w:r>
      <w:r w:rsidRPr="00F9550F">
        <w:rPr>
          <w:rFonts w:ascii="Times New Roman" w:hAnsi="Times New Roman" w:cs="Times New Roman"/>
          <w:sz w:val="24"/>
          <w:szCs w:val="24"/>
        </w:rPr>
        <w:t xml:space="preserve"> bond premium and then later paid</w:t>
      </w:r>
      <w:r w:rsidR="00C3742E">
        <w:rPr>
          <w:rFonts w:ascii="Times New Roman" w:hAnsi="Times New Roman" w:cs="Times New Roman"/>
          <w:sz w:val="24"/>
          <w:szCs w:val="24"/>
        </w:rPr>
        <w:t xml:space="preserve"> </w:t>
      </w:r>
      <w:r w:rsidR="00C3742E" w:rsidRPr="00F9550F">
        <w:rPr>
          <w:rFonts w:ascii="Times New Roman" w:hAnsi="Times New Roman" w:cs="Times New Roman"/>
          <w:sz w:val="24"/>
          <w:szCs w:val="24"/>
        </w:rPr>
        <w:t>the premium</w:t>
      </w:r>
      <w:r w:rsidR="00C3742E">
        <w:rPr>
          <w:rFonts w:ascii="Times New Roman" w:hAnsi="Times New Roman" w:cs="Times New Roman"/>
          <w:sz w:val="24"/>
          <w:szCs w:val="24"/>
        </w:rPr>
        <w:t xml:space="preserve"> to</w:t>
      </w:r>
      <w:r w:rsidRPr="00F9550F">
        <w:rPr>
          <w:rFonts w:ascii="Times New Roman" w:hAnsi="Times New Roman" w:cs="Times New Roman"/>
          <w:sz w:val="24"/>
          <w:szCs w:val="24"/>
        </w:rPr>
        <w:t xml:space="preserve"> the bonding compan</w:t>
      </w:r>
      <w:r w:rsidR="003E02F0">
        <w:rPr>
          <w:rFonts w:ascii="Times New Roman" w:hAnsi="Times New Roman" w:cs="Times New Roman"/>
          <w:sz w:val="24"/>
          <w:szCs w:val="24"/>
        </w:rPr>
        <w:t>y by a separate check</w:t>
      </w:r>
      <w:r w:rsidRPr="00F9550F">
        <w:rPr>
          <w:rFonts w:ascii="Times New Roman" w:hAnsi="Times New Roman" w:cs="Times New Roman"/>
          <w:sz w:val="24"/>
          <w:szCs w:val="24"/>
        </w:rPr>
        <w:t>.</w:t>
      </w:r>
      <w:r w:rsidRPr="00F9550F">
        <w:rPr>
          <w:rStyle w:val="FootnoteReference"/>
          <w:rFonts w:ascii="Times New Roman" w:hAnsi="Times New Roman" w:cs="Times New Roman"/>
          <w:sz w:val="24"/>
          <w:szCs w:val="24"/>
        </w:rPr>
        <w:footnoteReference w:id="10"/>
      </w:r>
      <w:r w:rsidRPr="00F9550F">
        <w:rPr>
          <w:rFonts w:ascii="Times New Roman" w:hAnsi="Times New Roman" w:cs="Times New Roman"/>
          <w:sz w:val="24"/>
          <w:szCs w:val="24"/>
        </w:rPr>
        <w:t xml:space="preserve"> Typically, the landlord will work with one specific bonding company and it is through the landlord that the tenant learns of the bonds and is provided with the bond contract</w:t>
      </w:r>
      <w:r w:rsidR="003E02F0">
        <w:rPr>
          <w:rFonts w:ascii="Times New Roman" w:hAnsi="Times New Roman" w:cs="Times New Roman"/>
          <w:sz w:val="24"/>
          <w:szCs w:val="24"/>
        </w:rPr>
        <w:t xml:space="preserve"> to sign. I</w:t>
      </w:r>
      <w:r w:rsidR="0094300E" w:rsidRPr="00F9550F">
        <w:rPr>
          <w:rFonts w:ascii="Times New Roman" w:hAnsi="Times New Roman" w:cs="Times New Roman"/>
          <w:sz w:val="24"/>
          <w:szCs w:val="24"/>
        </w:rPr>
        <w:t xml:space="preserve">n Minnesota, </w:t>
      </w:r>
      <w:r w:rsidRPr="00F9550F">
        <w:rPr>
          <w:rFonts w:ascii="Times New Roman" w:hAnsi="Times New Roman" w:cs="Times New Roman"/>
          <w:sz w:val="24"/>
          <w:szCs w:val="24"/>
        </w:rPr>
        <w:t>and most</w:t>
      </w:r>
      <w:r w:rsidR="003E02F0">
        <w:rPr>
          <w:rFonts w:ascii="Times New Roman" w:hAnsi="Times New Roman" w:cs="Times New Roman"/>
          <w:sz w:val="24"/>
          <w:szCs w:val="24"/>
        </w:rPr>
        <w:t xml:space="preserve"> other</w:t>
      </w:r>
      <w:r w:rsidRPr="00F9550F">
        <w:rPr>
          <w:rFonts w:ascii="Times New Roman" w:hAnsi="Times New Roman" w:cs="Times New Roman"/>
          <w:sz w:val="24"/>
          <w:szCs w:val="24"/>
        </w:rPr>
        <w:t xml:space="preserve"> jurisdictions</w:t>
      </w:r>
      <w:r w:rsidR="0094300E" w:rsidRPr="00F9550F">
        <w:rPr>
          <w:rFonts w:ascii="Times New Roman" w:hAnsi="Times New Roman" w:cs="Times New Roman"/>
          <w:sz w:val="24"/>
          <w:szCs w:val="24"/>
        </w:rPr>
        <w:t>,</w:t>
      </w:r>
      <w:r w:rsidRPr="00F9550F">
        <w:rPr>
          <w:rFonts w:ascii="Times New Roman" w:hAnsi="Times New Roman" w:cs="Times New Roman"/>
          <w:sz w:val="24"/>
          <w:szCs w:val="24"/>
        </w:rPr>
        <w:t xml:space="preserve"> the landlord has no obligation to accept bonds or to accept them from a bonding company the tenant chooses.</w:t>
      </w:r>
    </w:p>
    <w:p w:rsidR="005A1AF8" w:rsidRPr="00F9550F" w:rsidRDefault="005A1AF8" w:rsidP="005C03B0">
      <w:pPr>
        <w:rPr>
          <w:rFonts w:ascii="Times New Roman" w:hAnsi="Times New Roman" w:cs="Times New Roman"/>
          <w:sz w:val="24"/>
          <w:szCs w:val="24"/>
        </w:rPr>
      </w:pPr>
      <w:r w:rsidRPr="00F9550F">
        <w:rPr>
          <w:rFonts w:ascii="Times New Roman" w:hAnsi="Times New Roman" w:cs="Times New Roman"/>
          <w:sz w:val="24"/>
          <w:szCs w:val="24"/>
        </w:rPr>
        <w:t>Typically, the tenant is given a choice of deposit or bond but HOME Line’s tenant hotline has received calls from tenants who stated a bond was required and a deposit was not a choice.</w:t>
      </w:r>
    </w:p>
    <w:p w:rsidR="000F1FE9" w:rsidRPr="00F9550F" w:rsidRDefault="000F1FE9" w:rsidP="005C03B0">
      <w:pPr>
        <w:rPr>
          <w:rFonts w:ascii="Times New Roman" w:hAnsi="Times New Roman" w:cs="Times New Roman"/>
          <w:sz w:val="24"/>
          <w:szCs w:val="24"/>
        </w:rPr>
      </w:pPr>
      <w:r w:rsidRPr="00F9550F">
        <w:rPr>
          <w:rFonts w:ascii="Times New Roman" w:hAnsi="Times New Roman" w:cs="Times New Roman"/>
          <w:sz w:val="24"/>
          <w:szCs w:val="24"/>
        </w:rPr>
        <w:t>Whi</w:t>
      </w:r>
      <w:r w:rsidR="003E02F0">
        <w:rPr>
          <w:rFonts w:ascii="Times New Roman" w:hAnsi="Times New Roman" w:cs="Times New Roman"/>
          <w:sz w:val="24"/>
          <w:szCs w:val="24"/>
        </w:rPr>
        <w:t xml:space="preserve">le the early-entrant companies </w:t>
      </w:r>
      <w:r w:rsidRPr="00F9550F">
        <w:rPr>
          <w:rFonts w:ascii="Times New Roman" w:hAnsi="Times New Roman" w:cs="Times New Roman"/>
          <w:sz w:val="24"/>
          <w:szCs w:val="24"/>
        </w:rPr>
        <w:t>followed the model above, recently some companies follow a different model. The difference is that instead of a one-time bond premium, the tenant pays a lower premium (about $10</w:t>
      </w:r>
      <w:r w:rsidR="002956F2">
        <w:rPr>
          <w:rFonts w:ascii="Times New Roman" w:hAnsi="Times New Roman" w:cs="Times New Roman"/>
          <w:sz w:val="24"/>
          <w:szCs w:val="24"/>
        </w:rPr>
        <w:t>-</w:t>
      </w:r>
      <w:r w:rsidRPr="00F9550F">
        <w:rPr>
          <w:rFonts w:ascii="Times New Roman" w:hAnsi="Times New Roman" w:cs="Times New Roman"/>
          <w:sz w:val="24"/>
          <w:szCs w:val="24"/>
        </w:rPr>
        <w:t>$20 per month) but does so every month. If he stays for a few years, he ends up paying premiums total</w:t>
      </w:r>
      <w:r w:rsidR="002956F2">
        <w:rPr>
          <w:rFonts w:ascii="Times New Roman" w:hAnsi="Times New Roman" w:cs="Times New Roman"/>
          <w:sz w:val="24"/>
          <w:szCs w:val="24"/>
        </w:rPr>
        <w:t>ing</w:t>
      </w:r>
      <w:r w:rsidRPr="00F9550F">
        <w:rPr>
          <w:rFonts w:ascii="Times New Roman" w:hAnsi="Times New Roman" w:cs="Times New Roman"/>
          <w:sz w:val="24"/>
          <w:szCs w:val="24"/>
        </w:rPr>
        <w:t xml:space="preserve"> more than a typical (refundable) deposit. </w:t>
      </w:r>
    </w:p>
    <w:p w:rsidR="003E02F0" w:rsidRDefault="002B7F13" w:rsidP="002B7F13">
      <w:pPr>
        <w:rPr>
          <w:rFonts w:ascii="Times New Roman" w:hAnsi="Times New Roman" w:cs="Times New Roman"/>
          <w:sz w:val="24"/>
          <w:szCs w:val="24"/>
          <w:u w:val="single"/>
        </w:rPr>
      </w:pPr>
      <w:r w:rsidRPr="00F9550F">
        <w:rPr>
          <w:rFonts w:ascii="Times New Roman" w:hAnsi="Times New Roman" w:cs="Times New Roman"/>
          <w:sz w:val="24"/>
          <w:szCs w:val="24"/>
          <w:u w:val="single"/>
        </w:rPr>
        <w:t>Renters i</w:t>
      </w:r>
      <w:r w:rsidR="001A1E40" w:rsidRPr="00F9550F">
        <w:rPr>
          <w:rFonts w:ascii="Times New Roman" w:hAnsi="Times New Roman" w:cs="Times New Roman"/>
          <w:sz w:val="24"/>
          <w:szCs w:val="24"/>
          <w:u w:val="single"/>
        </w:rPr>
        <w:t>nsurance</w:t>
      </w:r>
      <w:r w:rsidRPr="00F9550F">
        <w:rPr>
          <w:rFonts w:ascii="Times New Roman" w:hAnsi="Times New Roman" w:cs="Times New Roman"/>
          <w:sz w:val="24"/>
          <w:szCs w:val="24"/>
          <w:u w:val="single"/>
        </w:rPr>
        <w:t xml:space="preserve"> </w:t>
      </w:r>
      <w:r w:rsidR="003E02F0">
        <w:rPr>
          <w:rFonts w:ascii="Times New Roman" w:hAnsi="Times New Roman" w:cs="Times New Roman"/>
          <w:sz w:val="24"/>
          <w:szCs w:val="24"/>
          <w:u w:val="single"/>
        </w:rPr>
        <w:t>is generally a better deal for tenants than</w:t>
      </w:r>
      <w:r w:rsidRPr="00F9550F">
        <w:rPr>
          <w:rFonts w:ascii="Times New Roman" w:hAnsi="Times New Roman" w:cs="Times New Roman"/>
          <w:sz w:val="24"/>
          <w:szCs w:val="24"/>
          <w:u w:val="single"/>
        </w:rPr>
        <w:t xml:space="preserve"> bonds</w:t>
      </w:r>
    </w:p>
    <w:p w:rsidR="008E6806" w:rsidRPr="003E02F0" w:rsidRDefault="003E02F0" w:rsidP="002B7F13">
      <w:pPr>
        <w:rPr>
          <w:rFonts w:ascii="Times New Roman" w:hAnsi="Times New Roman" w:cs="Times New Roman"/>
          <w:sz w:val="24"/>
          <w:szCs w:val="24"/>
        </w:rPr>
      </w:pPr>
      <w:r w:rsidRPr="003E02F0">
        <w:rPr>
          <w:rFonts w:ascii="Times New Roman" w:hAnsi="Times New Roman" w:cs="Times New Roman"/>
          <w:sz w:val="24"/>
          <w:szCs w:val="24"/>
        </w:rPr>
        <w:t>T</w:t>
      </w:r>
      <w:r w:rsidR="002B7F13" w:rsidRPr="003E02F0">
        <w:rPr>
          <w:rFonts w:ascii="Times New Roman" w:hAnsi="Times New Roman" w:cs="Times New Roman"/>
          <w:sz w:val="24"/>
          <w:szCs w:val="24"/>
        </w:rPr>
        <w:t xml:space="preserve">he bond differs from insurance in </w:t>
      </w:r>
      <w:r w:rsidR="008E6806" w:rsidRPr="003E02F0">
        <w:rPr>
          <w:rFonts w:ascii="Times New Roman" w:hAnsi="Times New Roman" w:cs="Times New Roman"/>
          <w:sz w:val="24"/>
          <w:szCs w:val="24"/>
        </w:rPr>
        <w:t>two</w:t>
      </w:r>
      <w:r w:rsidR="002B7F13" w:rsidRPr="003E02F0">
        <w:rPr>
          <w:rFonts w:ascii="Times New Roman" w:hAnsi="Times New Roman" w:cs="Times New Roman"/>
          <w:sz w:val="24"/>
          <w:szCs w:val="24"/>
        </w:rPr>
        <w:t xml:space="preserve"> important ways. </w:t>
      </w:r>
    </w:p>
    <w:p w:rsidR="008E6806" w:rsidRPr="00F9550F" w:rsidRDefault="002B7F13" w:rsidP="002B7F13">
      <w:pPr>
        <w:rPr>
          <w:rFonts w:ascii="Times New Roman" w:hAnsi="Times New Roman" w:cs="Times New Roman"/>
          <w:sz w:val="24"/>
          <w:szCs w:val="24"/>
        </w:rPr>
      </w:pPr>
      <w:r w:rsidRPr="00F9550F">
        <w:rPr>
          <w:rFonts w:ascii="Times New Roman" w:hAnsi="Times New Roman" w:cs="Times New Roman"/>
          <w:sz w:val="24"/>
          <w:szCs w:val="24"/>
        </w:rPr>
        <w:t>Most i</w:t>
      </w:r>
      <w:r w:rsidR="008E6806" w:rsidRPr="00F9550F">
        <w:rPr>
          <w:rFonts w:ascii="Times New Roman" w:hAnsi="Times New Roman" w:cs="Times New Roman"/>
          <w:sz w:val="24"/>
          <w:szCs w:val="24"/>
        </w:rPr>
        <w:t>mportantly, with true insurance</w:t>
      </w:r>
      <w:r w:rsidRPr="00F9550F">
        <w:rPr>
          <w:rFonts w:ascii="Times New Roman" w:hAnsi="Times New Roman" w:cs="Times New Roman"/>
          <w:sz w:val="24"/>
          <w:szCs w:val="24"/>
        </w:rPr>
        <w:t xml:space="preserve"> the insurance company may not subrogate against its own insured. </w:t>
      </w:r>
      <w:hyperlink r:id="rId10" w:history="1">
        <w:r w:rsidRPr="00F9550F">
          <w:rPr>
            <w:rStyle w:val="Hyperlink"/>
            <w:rFonts w:ascii="Times New Roman" w:hAnsi="Times New Roman" w:cs="Times New Roman"/>
            <w:i/>
            <w:iCs/>
            <w:sz w:val="24"/>
            <w:szCs w:val="24"/>
          </w:rPr>
          <w:t>Bigos v. Kluender,</w:t>
        </w:r>
        <w:r w:rsidRPr="00F9550F">
          <w:rPr>
            <w:rStyle w:val="Hyperlink"/>
            <w:rFonts w:ascii="Times New Roman" w:hAnsi="Times New Roman" w:cs="Times New Roman"/>
            <w:sz w:val="24"/>
            <w:szCs w:val="24"/>
          </w:rPr>
          <w:t xml:space="preserve"> 611 N.W.2d 816, 822 (Minn.</w:t>
        </w:r>
        <w:r w:rsidR="00B449F9">
          <w:rPr>
            <w:rStyle w:val="Hyperlink"/>
            <w:rFonts w:ascii="Times New Roman" w:hAnsi="Times New Roman" w:cs="Times New Roman"/>
            <w:sz w:val="24"/>
            <w:szCs w:val="24"/>
          </w:rPr>
          <w:t xml:space="preserve"> </w:t>
        </w:r>
        <w:r w:rsidRPr="00F9550F">
          <w:rPr>
            <w:rStyle w:val="Hyperlink"/>
            <w:rFonts w:ascii="Times New Roman" w:hAnsi="Times New Roman" w:cs="Times New Roman"/>
            <w:sz w:val="24"/>
            <w:szCs w:val="24"/>
          </w:rPr>
          <w:t>App. 2000)</w:t>
        </w:r>
      </w:hyperlink>
      <w:r w:rsidRPr="00F9550F">
        <w:rPr>
          <w:rFonts w:ascii="Times New Roman" w:hAnsi="Times New Roman" w:cs="Times New Roman"/>
          <w:sz w:val="24"/>
          <w:szCs w:val="24"/>
        </w:rPr>
        <w:t xml:space="preserve">, </w:t>
      </w:r>
      <w:r w:rsidRPr="00F9550F">
        <w:rPr>
          <w:rFonts w:ascii="Times New Roman" w:hAnsi="Times New Roman" w:cs="Times New Roman"/>
          <w:i/>
          <w:iCs/>
          <w:sz w:val="24"/>
          <w:szCs w:val="24"/>
        </w:rPr>
        <w:t>review denied</w:t>
      </w:r>
      <w:r w:rsidRPr="00F9550F">
        <w:rPr>
          <w:rFonts w:ascii="Times New Roman" w:hAnsi="Times New Roman" w:cs="Times New Roman"/>
          <w:sz w:val="24"/>
          <w:szCs w:val="24"/>
        </w:rPr>
        <w:t xml:space="preserve"> (Minn. July 25, 2000). </w:t>
      </w:r>
      <w:r w:rsidR="00134D15">
        <w:rPr>
          <w:rFonts w:ascii="Times New Roman" w:hAnsi="Times New Roman" w:cs="Times New Roman"/>
          <w:sz w:val="24"/>
          <w:szCs w:val="24"/>
        </w:rPr>
        <w:t>E.g., i</w:t>
      </w:r>
      <w:r w:rsidRPr="00F9550F">
        <w:rPr>
          <w:rFonts w:ascii="Times New Roman" w:hAnsi="Times New Roman" w:cs="Times New Roman"/>
          <w:sz w:val="24"/>
          <w:szCs w:val="24"/>
        </w:rPr>
        <w:t xml:space="preserve">f a tenant accidentally burns his rented house and submits the landlord’s </w:t>
      </w:r>
      <w:r w:rsidR="008E6806" w:rsidRPr="00F9550F">
        <w:rPr>
          <w:rFonts w:ascii="Times New Roman" w:hAnsi="Times New Roman" w:cs="Times New Roman"/>
          <w:sz w:val="24"/>
          <w:szCs w:val="24"/>
        </w:rPr>
        <w:t xml:space="preserve">legitimate </w:t>
      </w:r>
      <w:r w:rsidRPr="00F9550F">
        <w:rPr>
          <w:rFonts w:ascii="Times New Roman" w:hAnsi="Times New Roman" w:cs="Times New Roman"/>
          <w:sz w:val="24"/>
          <w:szCs w:val="24"/>
        </w:rPr>
        <w:t>claim against him to his ins</w:t>
      </w:r>
      <w:r w:rsidR="00925001">
        <w:rPr>
          <w:rFonts w:ascii="Times New Roman" w:hAnsi="Times New Roman" w:cs="Times New Roman"/>
          <w:sz w:val="24"/>
          <w:szCs w:val="24"/>
        </w:rPr>
        <w:t xml:space="preserve">urance company under his </w:t>
      </w:r>
      <w:proofErr w:type="gramStart"/>
      <w:r w:rsidR="00925001">
        <w:rPr>
          <w:rFonts w:ascii="Times New Roman" w:hAnsi="Times New Roman" w:cs="Times New Roman"/>
          <w:sz w:val="24"/>
          <w:szCs w:val="24"/>
        </w:rPr>
        <w:t>renter</w:t>
      </w:r>
      <w:r w:rsidRPr="00F9550F">
        <w:rPr>
          <w:rFonts w:ascii="Times New Roman" w:hAnsi="Times New Roman" w:cs="Times New Roman"/>
          <w:sz w:val="24"/>
          <w:szCs w:val="24"/>
        </w:rPr>
        <w:t>s</w:t>
      </w:r>
      <w:proofErr w:type="gramEnd"/>
      <w:r w:rsidR="008E6806" w:rsidRPr="00F9550F">
        <w:rPr>
          <w:rFonts w:ascii="Times New Roman" w:hAnsi="Times New Roman" w:cs="Times New Roman"/>
          <w:sz w:val="24"/>
          <w:szCs w:val="24"/>
        </w:rPr>
        <w:t xml:space="preserve"> insurance policy, </w:t>
      </w:r>
      <w:r w:rsidRPr="00F9550F">
        <w:rPr>
          <w:rFonts w:ascii="Times New Roman" w:hAnsi="Times New Roman" w:cs="Times New Roman"/>
          <w:sz w:val="24"/>
          <w:szCs w:val="24"/>
        </w:rPr>
        <w:t>the company will pay the claim but cannot then req</w:t>
      </w:r>
      <w:r w:rsidR="00134D15">
        <w:rPr>
          <w:rFonts w:ascii="Times New Roman" w:hAnsi="Times New Roman" w:cs="Times New Roman"/>
          <w:sz w:val="24"/>
          <w:szCs w:val="24"/>
        </w:rPr>
        <w:t>uire the renter to reimburse it. T</w:t>
      </w:r>
      <w:r w:rsidRPr="00F9550F">
        <w:rPr>
          <w:rFonts w:ascii="Times New Roman" w:hAnsi="Times New Roman" w:cs="Times New Roman"/>
          <w:sz w:val="24"/>
          <w:szCs w:val="24"/>
        </w:rPr>
        <w:t>hat would be subrogating against its own insured. In contrast</w:t>
      </w:r>
      <w:r w:rsidR="008E6806" w:rsidRPr="00F9550F">
        <w:rPr>
          <w:rFonts w:ascii="Times New Roman" w:hAnsi="Times New Roman" w:cs="Times New Roman"/>
          <w:sz w:val="24"/>
          <w:szCs w:val="24"/>
        </w:rPr>
        <w:t>,</w:t>
      </w:r>
      <w:r w:rsidRPr="00F9550F">
        <w:rPr>
          <w:rFonts w:ascii="Times New Roman" w:hAnsi="Times New Roman" w:cs="Times New Roman"/>
          <w:sz w:val="24"/>
          <w:szCs w:val="24"/>
        </w:rPr>
        <w:t xml:space="preserve"> the security bonding company does require its client, the renter, to reimburse it for the money it pays </w:t>
      </w:r>
      <w:r w:rsidR="00925001">
        <w:rPr>
          <w:rFonts w:ascii="Times New Roman" w:hAnsi="Times New Roman" w:cs="Times New Roman"/>
          <w:sz w:val="24"/>
          <w:szCs w:val="24"/>
        </w:rPr>
        <w:t xml:space="preserve">on </w:t>
      </w:r>
      <w:r w:rsidRPr="00F9550F">
        <w:rPr>
          <w:rFonts w:ascii="Times New Roman" w:hAnsi="Times New Roman" w:cs="Times New Roman"/>
          <w:sz w:val="24"/>
          <w:szCs w:val="24"/>
        </w:rPr>
        <w:t xml:space="preserve">the </w:t>
      </w:r>
      <w:r w:rsidR="00134D15">
        <w:rPr>
          <w:rFonts w:ascii="Times New Roman" w:hAnsi="Times New Roman" w:cs="Times New Roman"/>
          <w:sz w:val="24"/>
          <w:szCs w:val="24"/>
        </w:rPr>
        <w:t>landlord’s claim.</w:t>
      </w:r>
    </w:p>
    <w:p w:rsidR="002B7F13" w:rsidRPr="00F9550F" w:rsidRDefault="00925001" w:rsidP="002B7F13">
      <w:pPr>
        <w:rPr>
          <w:rFonts w:ascii="Times New Roman" w:hAnsi="Times New Roman" w:cs="Times New Roman"/>
          <w:sz w:val="24"/>
          <w:szCs w:val="24"/>
        </w:rPr>
      </w:pPr>
      <w:r>
        <w:rPr>
          <w:rFonts w:ascii="Times New Roman" w:hAnsi="Times New Roman" w:cs="Times New Roman"/>
          <w:sz w:val="24"/>
          <w:szCs w:val="24"/>
        </w:rPr>
        <w:lastRenderedPageBreak/>
        <w:t xml:space="preserve">Second, a true </w:t>
      </w:r>
      <w:proofErr w:type="gramStart"/>
      <w:r>
        <w:rPr>
          <w:rFonts w:ascii="Times New Roman" w:hAnsi="Times New Roman" w:cs="Times New Roman"/>
          <w:sz w:val="24"/>
          <w:szCs w:val="24"/>
        </w:rPr>
        <w:t>renter</w:t>
      </w:r>
      <w:r w:rsidR="002B7F13" w:rsidRPr="00F9550F">
        <w:rPr>
          <w:rFonts w:ascii="Times New Roman" w:hAnsi="Times New Roman" w:cs="Times New Roman"/>
          <w:sz w:val="24"/>
          <w:szCs w:val="24"/>
        </w:rPr>
        <w:t>s</w:t>
      </w:r>
      <w:proofErr w:type="gramEnd"/>
      <w:r w:rsidR="002B7F13" w:rsidRPr="00F9550F">
        <w:rPr>
          <w:rFonts w:ascii="Times New Roman" w:hAnsi="Times New Roman" w:cs="Times New Roman"/>
          <w:sz w:val="24"/>
          <w:szCs w:val="24"/>
        </w:rPr>
        <w:t xml:space="preserve"> insurance policy also provides the renter with a free attorney to defend him against the landlord’s claim for the fire damage (should an attorney be needed).</w:t>
      </w:r>
    </w:p>
    <w:p w:rsidR="002B7F13" w:rsidRPr="00F9550F" w:rsidRDefault="00925001" w:rsidP="002B7F13">
      <w:pPr>
        <w:rPr>
          <w:rFonts w:ascii="Times New Roman" w:hAnsi="Times New Roman" w:cs="Times New Roman"/>
          <w:sz w:val="24"/>
          <w:szCs w:val="24"/>
        </w:rPr>
      </w:pPr>
      <w:r>
        <w:rPr>
          <w:rFonts w:ascii="Times New Roman" w:hAnsi="Times New Roman" w:cs="Times New Roman"/>
          <w:sz w:val="24"/>
          <w:szCs w:val="24"/>
        </w:rPr>
        <w:t>All renter</w:t>
      </w:r>
      <w:r w:rsidR="002B7F13" w:rsidRPr="00F9550F">
        <w:rPr>
          <w:rFonts w:ascii="Times New Roman" w:hAnsi="Times New Roman" w:cs="Times New Roman"/>
          <w:sz w:val="24"/>
          <w:szCs w:val="24"/>
        </w:rPr>
        <w:t>s insurance policies under the liability part of the policy insure the tenant against landlord’s claims for damage the tenant does via fire or smoke.</w:t>
      </w:r>
      <w:r w:rsidR="00134D15" w:rsidRPr="00134D15">
        <w:rPr>
          <w:rFonts w:ascii="Times New Roman" w:hAnsi="Times New Roman" w:cs="Times New Roman"/>
          <w:sz w:val="24"/>
          <w:szCs w:val="24"/>
          <w:vertAlign w:val="superscript"/>
        </w:rPr>
        <w:t>11</w:t>
      </w:r>
      <w:r w:rsidR="00AC6AE2" w:rsidRPr="00F9550F">
        <w:rPr>
          <w:rFonts w:ascii="Times New Roman" w:hAnsi="Times New Roman" w:cs="Times New Roman"/>
          <w:sz w:val="24"/>
          <w:szCs w:val="24"/>
        </w:rPr>
        <w:t xml:space="preserve"> About a quarter of Minnesota polices </w:t>
      </w:r>
      <w:r w:rsidR="008E6806" w:rsidRPr="00F9550F">
        <w:rPr>
          <w:rFonts w:ascii="Times New Roman" w:hAnsi="Times New Roman" w:cs="Times New Roman"/>
          <w:sz w:val="24"/>
          <w:szCs w:val="24"/>
        </w:rPr>
        <w:t>also c</w:t>
      </w:r>
      <w:r w:rsidR="00AC6AE2" w:rsidRPr="00F9550F">
        <w:rPr>
          <w:rFonts w:ascii="Times New Roman" w:hAnsi="Times New Roman" w:cs="Times New Roman"/>
          <w:sz w:val="24"/>
          <w:szCs w:val="24"/>
        </w:rPr>
        <w:t>over water damage (frozen pipes bursting, bathtub left on, etc).</w:t>
      </w:r>
      <w:r w:rsidR="00134D15" w:rsidRPr="00134D15">
        <w:rPr>
          <w:rFonts w:ascii="Times New Roman" w:hAnsi="Times New Roman" w:cs="Times New Roman"/>
          <w:sz w:val="24"/>
          <w:szCs w:val="24"/>
          <w:vertAlign w:val="superscript"/>
        </w:rPr>
        <w:t>11</w:t>
      </w:r>
      <w:r w:rsidR="00A617F2" w:rsidRPr="00F9550F">
        <w:rPr>
          <w:rFonts w:ascii="Times New Roman" w:hAnsi="Times New Roman" w:cs="Times New Roman"/>
          <w:sz w:val="24"/>
          <w:szCs w:val="24"/>
        </w:rPr>
        <w:t xml:space="preserve"> All or almost all pay for the first $500 or $1,000 of damage from any damage the tenant causes by negligence even if the cause was not fire or water.</w:t>
      </w:r>
      <w:r w:rsidR="00A617F2" w:rsidRPr="00F9550F">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Renter</w:t>
      </w:r>
      <w:r w:rsidR="00A617F2" w:rsidRPr="00F9550F">
        <w:rPr>
          <w:rFonts w:ascii="Times New Roman" w:hAnsi="Times New Roman" w:cs="Times New Roman"/>
          <w:sz w:val="24"/>
          <w:szCs w:val="24"/>
        </w:rPr>
        <w:t xml:space="preserve">s insurance premiums tend to be about $100-$150 per year </w:t>
      </w:r>
      <w:r w:rsidR="008E6806" w:rsidRPr="00F9550F">
        <w:rPr>
          <w:rFonts w:ascii="Times New Roman" w:hAnsi="Times New Roman" w:cs="Times New Roman"/>
          <w:sz w:val="24"/>
          <w:szCs w:val="24"/>
        </w:rPr>
        <w:t xml:space="preserve">(or much less, perhaps effectively zero, if bundled with auto insurance) </w:t>
      </w:r>
      <w:r w:rsidR="00A617F2" w:rsidRPr="00F9550F">
        <w:rPr>
          <w:rFonts w:ascii="Times New Roman" w:hAnsi="Times New Roman" w:cs="Times New Roman"/>
          <w:sz w:val="24"/>
          <w:szCs w:val="24"/>
        </w:rPr>
        <w:t xml:space="preserve">and obviously protect the tenant against not only </w:t>
      </w:r>
      <w:r w:rsidR="008E6806" w:rsidRPr="00F9550F">
        <w:rPr>
          <w:rFonts w:ascii="Times New Roman" w:hAnsi="Times New Roman" w:cs="Times New Roman"/>
          <w:sz w:val="24"/>
          <w:szCs w:val="24"/>
        </w:rPr>
        <w:t>the c</w:t>
      </w:r>
      <w:r w:rsidR="00A617F2" w:rsidRPr="00F9550F">
        <w:rPr>
          <w:rFonts w:ascii="Times New Roman" w:hAnsi="Times New Roman" w:cs="Times New Roman"/>
          <w:sz w:val="24"/>
          <w:szCs w:val="24"/>
        </w:rPr>
        <w:t xml:space="preserve">laims just discussed but against other claims, and </w:t>
      </w:r>
      <w:r w:rsidR="008E6806" w:rsidRPr="00F9550F">
        <w:rPr>
          <w:rFonts w:ascii="Times New Roman" w:hAnsi="Times New Roman" w:cs="Times New Roman"/>
          <w:sz w:val="24"/>
          <w:szCs w:val="24"/>
        </w:rPr>
        <w:t xml:space="preserve">allow him first-party insurance </w:t>
      </w:r>
      <w:r w:rsidR="00A617F2" w:rsidRPr="00F9550F">
        <w:rPr>
          <w:rFonts w:ascii="Times New Roman" w:hAnsi="Times New Roman" w:cs="Times New Roman"/>
          <w:sz w:val="24"/>
          <w:szCs w:val="24"/>
        </w:rPr>
        <w:t>for his own personalty lost to fire, floods</w:t>
      </w:r>
      <w:r w:rsidR="008E6806" w:rsidRPr="00F9550F">
        <w:rPr>
          <w:rFonts w:ascii="Times New Roman" w:hAnsi="Times New Roman" w:cs="Times New Roman"/>
          <w:sz w:val="24"/>
          <w:szCs w:val="24"/>
        </w:rPr>
        <w:t>, theft and the like.</w:t>
      </w:r>
    </w:p>
    <w:p w:rsidR="00A617F2" w:rsidRPr="00F9550F" w:rsidRDefault="00A617F2" w:rsidP="002B7F13">
      <w:pPr>
        <w:rPr>
          <w:rFonts w:ascii="Times New Roman" w:hAnsi="Times New Roman" w:cs="Times New Roman"/>
          <w:sz w:val="24"/>
          <w:szCs w:val="24"/>
        </w:rPr>
      </w:pPr>
      <w:r w:rsidRPr="00F9550F">
        <w:rPr>
          <w:rFonts w:ascii="Times New Roman" w:hAnsi="Times New Roman" w:cs="Times New Roman"/>
          <w:sz w:val="24"/>
          <w:szCs w:val="24"/>
        </w:rPr>
        <w:t>Therefore, putting aside bond coverage fo</w:t>
      </w:r>
      <w:r w:rsidR="00925001">
        <w:rPr>
          <w:rFonts w:ascii="Times New Roman" w:hAnsi="Times New Roman" w:cs="Times New Roman"/>
          <w:sz w:val="24"/>
          <w:szCs w:val="24"/>
        </w:rPr>
        <w:t xml:space="preserve">r non-payment of rent, a </w:t>
      </w:r>
      <w:proofErr w:type="gramStart"/>
      <w:r w:rsidR="00925001">
        <w:rPr>
          <w:rFonts w:ascii="Times New Roman" w:hAnsi="Times New Roman" w:cs="Times New Roman"/>
          <w:sz w:val="24"/>
          <w:szCs w:val="24"/>
        </w:rPr>
        <w:t>renter</w:t>
      </w:r>
      <w:r w:rsidRPr="00F9550F">
        <w:rPr>
          <w:rFonts w:ascii="Times New Roman" w:hAnsi="Times New Roman" w:cs="Times New Roman"/>
          <w:sz w:val="24"/>
          <w:szCs w:val="24"/>
        </w:rPr>
        <w:t>s</w:t>
      </w:r>
      <w:proofErr w:type="gramEnd"/>
      <w:r w:rsidR="00925001">
        <w:rPr>
          <w:rFonts w:ascii="Times New Roman" w:hAnsi="Times New Roman" w:cs="Times New Roman"/>
          <w:sz w:val="24"/>
          <w:szCs w:val="24"/>
        </w:rPr>
        <w:t xml:space="preserve"> insurance </w:t>
      </w:r>
      <w:r w:rsidRPr="00F9550F">
        <w:rPr>
          <w:rFonts w:ascii="Times New Roman" w:hAnsi="Times New Roman" w:cs="Times New Roman"/>
          <w:sz w:val="24"/>
          <w:szCs w:val="24"/>
        </w:rPr>
        <w:t>policy is a much better deal for the tena</w:t>
      </w:r>
      <w:r w:rsidR="00134D15">
        <w:rPr>
          <w:rFonts w:ascii="Times New Roman" w:hAnsi="Times New Roman" w:cs="Times New Roman"/>
          <w:sz w:val="24"/>
          <w:szCs w:val="24"/>
        </w:rPr>
        <w:t xml:space="preserve">nt. Rent default is probably </w:t>
      </w:r>
      <w:r w:rsidRPr="00F9550F">
        <w:rPr>
          <w:rFonts w:ascii="Times New Roman" w:hAnsi="Times New Roman" w:cs="Times New Roman"/>
          <w:sz w:val="24"/>
          <w:szCs w:val="24"/>
        </w:rPr>
        <w:t>the</w:t>
      </w:r>
      <w:r w:rsidR="00134D15">
        <w:rPr>
          <w:rFonts w:ascii="Times New Roman" w:hAnsi="Times New Roman" w:cs="Times New Roman"/>
          <w:sz w:val="24"/>
          <w:szCs w:val="24"/>
        </w:rPr>
        <w:t xml:space="preserve"> </w:t>
      </w:r>
      <w:r w:rsidR="008E6806" w:rsidRPr="00F9550F">
        <w:rPr>
          <w:rFonts w:ascii="Times New Roman" w:hAnsi="Times New Roman" w:cs="Times New Roman"/>
          <w:sz w:val="24"/>
          <w:szCs w:val="24"/>
        </w:rPr>
        <w:t>main reason security-deposit-</w:t>
      </w:r>
      <w:r w:rsidRPr="00F9550F">
        <w:rPr>
          <w:rFonts w:ascii="Times New Roman" w:hAnsi="Times New Roman" w:cs="Times New Roman"/>
          <w:sz w:val="24"/>
          <w:szCs w:val="24"/>
        </w:rPr>
        <w:t>bond</w:t>
      </w:r>
      <w:r w:rsidR="008E6806" w:rsidRPr="00F9550F">
        <w:rPr>
          <w:rFonts w:ascii="Times New Roman" w:hAnsi="Times New Roman" w:cs="Times New Roman"/>
          <w:sz w:val="24"/>
          <w:szCs w:val="24"/>
        </w:rPr>
        <w:t xml:space="preserve"> agreement</w:t>
      </w:r>
      <w:r w:rsidRPr="00F9550F">
        <w:rPr>
          <w:rFonts w:ascii="Times New Roman" w:hAnsi="Times New Roman" w:cs="Times New Roman"/>
          <w:sz w:val="24"/>
          <w:szCs w:val="24"/>
        </w:rPr>
        <w:t>s allow the bonding company to collect against their own client. Otherwise, the tenant would intentionally default on his last rent payment when eviction is no longer a real threat, allow the bonding company to pay the landlord, and make a profit (last rent amount minus bond premium).</w:t>
      </w:r>
      <w:r w:rsidR="00193F7F" w:rsidRPr="00F9550F">
        <w:rPr>
          <w:rFonts w:ascii="Times New Roman" w:hAnsi="Times New Roman" w:cs="Times New Roman"/>
          <w:sz w:val="24"/>
          <w:szCs w:val="24"/>
        </w:rPr>
        <w:t xml:space="preserve"> What I cannot determine is what would be a fair bond premium for a bond that only covered rent defaults, allowing the tenant to buy </w:t>
      </w:r>
      <w:r w:rsidR="00B449F9" w:rsidRPr="00F9550F">
        <w:rPr>
          <w:rFonts w:ascii="Times New Roman" w:hAnsi="Times New Roman" w:cs="Times New Roman"/>
          <w:sz w:val="24"/>
          <w:szCs w:val="24"/>
        </w:rPr>
        <w:t>renters</w:t>
      </w:r>
      <w:r w:rsidR="00193F7F" w:rsidRPr="00F9550F">
        <w:rPr>
          <w:rFonts w:ascii="Times New Roman" w:hAnsi="Times New Roman" w:cs="Times New Roman"/>
          <w:sz w:val="24"/>
          <w:szCs w:val="24"/>
        </w:rPr>
        <w:t xml:space="preserve"> insurance to cover other issues.</w:t>
      </w:r>
    </w:p>
    <w:p w:rsidR="0094300E" w:rsidRPr="00F9550F" w:rsidRDefault="00824BBF" w:rsidP="00044330">
      <w:pPr>
        <w:rPr>
          <w:rFonts w:ascii="Times New Roman" w:hAnsi="Times New Roman" w:cs="Times New Roman"/>
          <w:sz w:val="24"/>
          <w:szCs w:val="24"/>
          <w:u w:val="single"/>
        </w:rPr>
      </w:pPr>
      <w:r w:rsidRPr="00F9550F">
        <w:rPr>
          <w:rFonts w:ascii="Times New Roman" w:hAnsi="Times New Roman" w:cs="Times New Roman"/>
          <w:sz w:val="24"/>
          <w:szCs w:val="24"/>
          <w:u w:val="single"/>
        </w:rPr>
        <w:t>Advantages and disadvantages to the tenant of security deposit bonds</w:t>
      </w:r>
    </w:p>
    <w:p w:rsidR="00824BBF" w:rsidRPr="00F9550F" w:rsidRDefault="00134D15" w:rsidP="005C03B0">
      <w:pPr>
        <w:rPr>
          <w:rFonts w:ascii="Times New Roman" w:hAnsi="Times New Roman" w:cs="Times New Roman"/>
          <w:sz w:val="24"/>
          <w:szCs w:val="24"/>
        </w:rPr>
      </w:pPr>
      <w:r>
        <w:rPr>
          <w:rFonts w:ascii="Times New Roman" w:hAnsi="Times New Roman" w:cs="Times New Roman"/>
          <w:sz w:val="24"/>
          <w:szCs w:val="24"/>
        </w:rPr>
        <w:t xml:space="preserve">As </w:t>
      </w:r>
      <w:r w:rsidR="00824BBF" w:rsidRPr="00F9550F">
        <w:rPr>
          <w:rFonts w:ascii="Times New Roman" w:hAnsi="Times New Roman" w:cs="Times New Roman"/>
          <w:sz w:val="24"/>
          <w:szCs w:val="24"/>
        </w:rPr>
        <w:t>discuss</w:t>
      </w:r>
      <w:r>
        <w:rPr>
          <w:rFonts w:ascii="Times New Roman" w:hAnsi="Times New Roman" w:cs="Times New Roman"/>
          <w:sz w:val="24"/>
          <w:szCs w:val="24"/>
        </w:rPr>
        <w:t xml:space="preserve">ed above, </w:t>
      </w:r>
      <w:r w:rsidR="00824BBF" w:rsidRPr="00F9550F">
        <w:rPr>
          <w:rFonts w:ascii="Times New Roman" w:hAnsi="Times New Roman" w:cs="Times New Roman"/>
          <w:sz w:val="24"/>
          <w:szCs w:val="24"/>
        </w:rPr>
        <w:t>unless Minn. Stat. § 504B.178 is deemed to regulate security deposit bonds, the tenant cedes many important rights in choosing a bond over a traditional deposit (or being required by the landlord to obtain a bond).</w:t>
      </w:r>
    </w:p>
    <w:p w:rsidR="001A1E40" w:rsidRPr="00F9550F" w:rsidRDefault="00824BBF" w:rsidP="005C03B0">
      <w:pPr>
        <w:rPr>
          <w:rFonts w:ascii="Times New Roman" w:hAnsi="Times New Roman" w:cs="Times New Roman"/>
          <w:sz w:val="24"/>
          <w:szCs w:val="24"/>
        </w:rPr>
      </w:pPr>
      <w:r w:rsidRPr="00F9550F">
        <w:rPr>
          <w:rFonts w:ascii="Times New Roman" w:hAnsi="Times New Roman" w:cs="Times New Roman"/>
          <w:sz w:val="24"/>
          <w:szCs w:val="24"/>
        </w:rPr>
        <w:t xml:space="preserve">There are two advantages to the bonds. </w:t>
      </w:r>
      <w:r w:rsidR="001A1E40" w:rsidRPr="00F9550F">
        <w:rPr>
          <w:rFonts w:ascii="Times New Roman" w:hAnsi="Times New Roman" w:cs="Times New Roman"/>
          <w:sz w:val="24"/>
          <w:szCs w:val="24"/>
        </w:rPr>
        <w:t>The first is not unique to lower-income tenants; the second one is.</w:t>
      </w:r>
    </w:p>
    <w:p w:rsidR="00134D15" w:rsidRDefault="001A1E40" w:rsidP="005C03B0">
      <w:pPr>
        <w:rPr>
          <w:rFonts w:ascii="Times New Roman" w:hAnsi="Times New Roman" w:cs="Times New Roman"/>
          <w:sz w:val="24"/>
          <w:szCs w:val="24"/>
        </w:rPr>
      </w:pPr>
      <w:r w:rsidRPr="00F9550F">
        <w:rPr>
          <w:rFonts w:ascii="Times New Roman" w:hAnsi="Times New Roman" w:cs="Times New Roman"/>
          <w:sz w:val="24"/>
          <w:szCs w:val="24"/>
        </w:rPr>
        <w:t>First, i</w:t>
      </w:r>
      <w:r w:rsidR="00824BBF" w:rsidRPr="00F9550F">
        <w:rPr>
          <w:rFonts w:ascii="Times New Roman" w:hAnsi="Times New Roman" w:cs="Times New Roman"/>
          <w:sz w:val="24"/>
          <w:szCs w:val="24"/>
        </w:rPr>
        <w:t xml:space="preserve">f the tenant correctly believes that the landlord regularly withholds deposits unfairly </w:t>
      </w:r>
      <w:r w:rsidR="00372BEF">
        <w:rPr>
          <w:rFonts w:ascii="Times New Roman" w:hAnsi="Times New Roman" w:cs="Times New Roman"/>
          <w:sz w:val="24"/>
          <w:szCs w:val="24"/>
        </w:rPr>
        <w:t>&amp;</w:t>
      </w:r>
      <w:r w:rsidR="00824BBF" w:rsidRPr="00F9550F">
        <w:rPr>
          <w:rFonts w:ascii="Times New Roman" w:hAnsi="Times New Roman" w:cs="Times New Roman"/>
          <w:sz w:val="24"/>
          <w:szCs w:val="24"/>
        </w:rPr>
        <w:t xml:space="preserve"> unlawfully and the tenant wants to avoid litigation (or must avoid it because, e.g., he plans to return to his home country</w:t>
      </w:r>
      <w:r w:rsidR="00A32F13">
        <w:rPr>
          <w:rFonts w:ascii="Times New Roman" w:hAnsi="Times New Roman" w:cs="Times New Roman"/>
          <w:sz w:val="24"/>
          <w:szCs w:val="24"/>
        </w:rPr>
        <w:t xml:space="preserve"> at</w:t>
      </w:r>
      <w:r w:rsidR="00824BBF" w:rsidRPr="00F9550F">
        <w:rPr>
          <w:rFonts w:ascii="Times New Roman" w:hAnsi="Times New Roman" w:cs="Times New Roman"/>
          <w:sz w:val="24"/>
          <w:szCs w:val="24"/>
        </w:rPr>
        <w:t xml:space="preserve"> the end of the tenancy and suing the landlord will be</w:t>
      </w:r>
      <w:r w:rsidR="00134D15">
        <w:rPr>
          <w:rFonts w:ascii="Times New Roman" w:hAnsi="Times New Roman" w:cs="Times New Roman"/>
          <w:sz w:val="24"/>
          <w:szCs w:val="24"/>
        </w:rPr>
        <w:t xml:space="preserve"> impractical)</w:t>
      </w:r>
      <w:r w:rsidR="00824BBF" w:rsidRPr="00F9550F">
        <w:rPr>
          <w:rFonts w:ascii="Times New Roman" w:hAnsi="Times New Roman" w:cs="Times New Roman"/>
          <w:sz w:val="24"/>
          <w:szCs w:val="24"/>
        </w:rPr>
        <w:t xml:space="preserve">, he might think the bond premium is worth the money. </w:t>
      </w:r>
    </w:p>
    <w:p w:rsidR="008C68D3" w:rsidRPr="00F9550F" w:rsidRDefault="00325D13" w:rsidP="005C03B0">
      <w:pPr>
        <w:rPr>
          <w:rFonts w:ascii="Times New Roman" w:hAnsi="Times New Roman" w:cs="Times New Roman"/>
          <w:sz w:val="24"/>
          <w:szCs w:val="24"/>
        </w:rPr>
      </w:pPr>
      <w:r w:rsidRPr="00F9550F">
        <w:rPr>
          <w:rFonts w:ascii="Times New Roman" w:hAnsi="Times New Roman" w:cs="Times New Roman"/>
          <w:sz w:val="24"/>
          <w:szCs w:val="24"/>
        </w:rPr>
        <w:t xml:space="preserve">Second, a low-income tenant might not have the money to pay a full deposit or at least might have to forego other important needs </w:t>
      </w:r>
      <w:r w:rsidR="00134D15">
        <w:rPr>
          <w:rFonts w:ascii="Times New Roman" w:hAnsi="Times New Roman" w:cs="Times New Roman"/>
          <w:sz w:val="24"/>
          <w:szCs w:val="24"/>
        </w:rPr>
        <w:t xml:space="preserve">(e.g. </w:t>
      </w:r>
      <w:r w:rsidRPr="00F9550F">
        <w:rPr>
          <w:rFonts w:ascii="Times New Roman" w:hAnsi="Times New Roman" w:cs="Times New Roman"/>
          <w:sz w:val="24"/>
          <w:szCs w:val="24"/>
        </w:rPr>
        <w:t>proper food</w:t>
      </w:r>
      <w:r w:rsidR="00134D15">
        <w:rPr>
          <w:rFonts w:ascii="Times New Roman" w:hAnsi="Times New Roman" w:cs="Times New Roman"/>
          <w:sz w:val="24"/>
          <w:szCs w:val="24"/>
        </w:rPr>
        <w:t>)</w:t>
      </w:r>
      <w:r w:rsidRPr="00F9550F">
        <w:rPr>
          <w:rFonts w:ascii="Times New Roman" w:hAnsi="Times New Roman" w:cs="Times New Roman"/>
          <w:sz w:val="24"/>
          <w:szCs w:val="24"/>
        </w:rPr>
        <w:t xml:space="preserve"> if he pays a full deposit. So he opts for a bond, even if he knows that at the end the bonding company might chase him for the very money he was trying to avoid paying</w:t>
      </w:r>
      <w:r w:rsidR="009E23E8" w:rsidRPr="00F9550F">
        <w:rPr>
          <w:rFonts w:ascii="Times New Roman" w:hAnsi="Times New Roman" w:cs="Times New Roman"/>
          <w:sz w:val="24"/>
          <w:szCs w:val="24"/>
        </w:rPr>
        <w:t>. This is a classic sort of predatory financial scheme aimed at the poor – crappy deals which make some sense for poor persons but not for rich or middle-class persons.</w:t>
      </w:r>
      <w:r w:rsidR="006841E7" w:rsidRPr="00F9550F">
        <w:rPr>
          <w:rFonts w:ascii="Times New Roman" w:hAnsi="Times New Roman" w:cs="Times New Roman"/>
          <w:sz w:val="24"/>
          <w:szCs w:val="24"/>
        </w:rPr>
        <w:t xml:space="preserve"> Indeed this advan</w:t>
      </w:r>
      <w:r w:rsidR="00042BBC" w:rsidRPr="00F9550F">
        <w:rPr>
          <w:rFonts w:ascii="Times New Roman" w:hAnsi="Times New Roman" w:cs="Times New Roman"/>
          <w:sz w:val="24"/>
          <w:szCs w:val="24"/>
        </w:rPr>
        <w:t>tage is the main selling point of the bonding companies.</w:t>
      </w:r>
      <w:r w:rsidR="006841E7" w:rsidRPr="00F9550F">
        <w:rPr>
          <w:rFonts w:ascii="Times New Roman" w:hAnsi="Times New Roman" w:cs="Times New Roman"/>
          <w:sz w:val="24"/>
          <w:szCs w:val="24"/>
        </w:rPr>
        <w:t xml:space="preserve"> See for example</w:t>
      </w:r>
      <w:r w:rsidR="00134D15">
        <w:rPr>
          <w:rFonts w:ascii="Times New Roman" w:hAnsi="Times New Roman" w:cs="Times New Roman"/>
          <w:sz w:val="24"/>
          <w:szCs w:val="24"/>
        </w:rPr>
        <w:t xml:space="preserve"> </w:t>
      </w:r>
      <w:r w:rsidR="00134D15" w:rsidRPr="00134D15">
        <w:rPr>
          <w:rStyle w:val="Hyperlink"/>
          <w:rFonts w:ascii="Times New Roman" w:hAnsi="Times New Roman" w:cs="Times New Roman"/>
          <w:sz w:val="24"/>
          <w:szCs w:val="24"/>
        </w:rPr>
        <w:t>https://mysuredeposit.com/whatissuredeposit (third paragraph)</w:t>
      </w:r>
      <w:r w:rsidR="00134D15">
        <w:rPr>
          <w:rFonts w:ascii="Times New Roman" w:hAnsi="Times New Roman" w:cs="Times New Roman"/>
          <w:sz w:val="24"/>
          <w:szCs w:val="24"/>
        </w:rPr>
        <w:t>.</w:t>
      </w:r>
    </w:p>
    <w:p w:rsidR="006841E7" w:rsidRPr="00F9550F" w:rsidRDefault="006841E7" w:rsidP="00044330">
      <w:pPr>
        <w:rPr>
          <w:rFonts w:ascii="Times New Roman" w:hAnsi="Times New Roman" w:cs="Times New Roman"/>
          <w:sz w:val="24"/>
          <w:szCs w:val="24"/>
          <w:u w:val="single"/>
        </w:rPr>
      </w:pPr>
      <w:r w:rsidRPr="00F9550F">
        <w:rPr>
          <w:rFonts w:ascii="Times New Roman" w:hAnsi="Times New Roman" w:cs="Times New Roman"/>
          <w:sz w:val="24"/>
          <w:szCs w:val="24"/>
          <w:u w:val="single"/>
        </w:rPr>
        <w:lastRenderedPageBreak/>
        <w:t>Advantages and disadvantages to the landlord of security deposit bonds</w:t>
      </w:r>
    </w:p>
    <w:p w:rsidR="005C03B0" w:rsidRPr="00F9550F" w:rsidRDefault="006841E7">
      <w:pPr>
        <w:rPr>
          <w:rFonts w:ascii="Times New Roman" w:hAnsi="Times New Roman" w:cs="Times New Roman"/>
          <w:sz w:val="24"/>
          <w:szCs w:val="24"/>
        </w:rPr>
      </w:pPr>
      <w:r w:rsidRPr="00F9550F">
        <w:rPr>
          <w:rFonts w:ascii="Times New Roman" w:hAnsi="Times New Roman" w:cs="Times New Roman"/>
          <w:sz w:val="24"/>
          <w:szCs w:val="24"/>
        </w:rPr>
        <w:t xml:space="preserve">For the most part a bond is a much better deal than </w:t>
      </w:r>
      <w:r w:rsidR="009A73DB" w:rsidRPr="00F9550F">
        <w:rPr>
          <w:rFonts w:ascii="Times New Roman" w:hAnsi="Times New Roman" w:cs="Times New Roman"/>
          <w:sz w:val="24"/>
          <w:szCs w:val="24"/>
        </w:rPr>
        <w:t xml:space="preserve">a </w:t>
      </w:r>
      <w:r w:rsidRPr="00F9550F">
        <w:rPr>
          <w:rFonts w:ascii="Times New Roman" w:hAnsi="Times New Roman" w:cs="Times New Roman"/>
          <w:sz w:val="24"/>
          <w:szCs w:val="24"/>
        </w:rPr>
        <w:t>traditional deposit for the landlord. Perhaps he gets a 20% kickback. Even if not, he is re</w:t>
      </w:r>
      <w:r w:rsidR="00C66619">
        <w:rPr>
          <w:rFonts w:ascii="Times New Roman" w:hAnsi="Times New Roman" w:cs="Times New Roman"/>
          <w:sz w:val="24"/>
          <w:szCs w:val="24"/>
        </w:rPr>
        <w:t>lieved of paying interest on a deposit</w:t>
      </w:r>
      <w:r w:rsidRPr="00F9550F">
        <w:rPr>
          <w:rFonts w:ascii="Times New Roman" w:hAnsi="Times New Roman" w:cs="Times New Roman"/>
          <w:sz w:val="24"/>
          <w:szCs w:val="24"/>
        </w:rPr>
        <w:t>;</w:t>
      </w:r>
      <w:r w:rsidR="00234855" w:rsidRPr="00F9550F">
        <w:rPr>
          <w:rFonts w:ascii="Times New Roman" w:hAnsi="Times New Roman" w:cs="Times New Roman"/>
          <w:sz w:val="24"/>
          <w:szCs w:val="24"/>
        </w:rPr>
        <w:t xml:space="preserve"> he is relieved</w:t>
      </w:r>
      <w:r w:rsidR="00397257">
        <w:rPr>
          <w:rFonts w:ascii="Times New Roman" w:hAnsi="Times New Roman" w:cs="Times New Roman"/>
          <w:sz w:val="24"/>
          <w:szCs w:val="24"/>
        </w:rPr>
        <w:t xml:space="preserve"> of all the notice, </w:t>
      </w:r>
      <w:r w:rsidRPr="00F9550F">
        <w:rPr>
          <w:rFonts w:ascii="Times New Roman" w:hAnsi="Times New Roman" w:cs="Times New Roman"/>
          <w:sz w:val="24"/>
          <w:szCs w:val="24"/>
        </w:rPr>
        <w:t>accounting and mailing requirements of Minn. Stat. § 504B.178</w:t>
      </w:r>
      <w:r w:rsidR="00234855" w:rsidRPr="00F9550F">
        <w:rPr>
          <w:rFonts w:ascii="Times New Roman" w:hAnsi="Times New Roman" w:cs="Times New Roman"/>
          <w:sz w:val="24"/>
          <w:szCs w:val="24"/>
        </w:rPr>
        <w:t xml:space="preserve">; the penalties in Minn. </w:t>
      </w:r>
      <w:r w:rsidR="00397257">
        <w:rPr>
          <w:rFonts w:ascii="Times New Roman" w:hAnsi="Times New Roman" w:cs="Times New Roman"/>
          <w:sz w:val="24"/>
          <w:szCs w:val="24"/>
        </w:rPr>
        <w:t>Stat. § 504B.178 don’t apply;</w:t>
      </w:r>
      <w:r w:rsidR="000F1FE9" w:rsidRPr="00F9550F">
        <w:rPr>
          <w:rFonts w:ascii="Times New Roman" w:hAnsi="Times New Roman" w:cs="Times New Roman"/>
          <w:sz w:val="24"/>
          <w:szCs w:val="24"/>
        </w:rPr>
        <w:t xml:space="preserve"> and if </w:t>
      </w:r>
      <w:r w:rsidR="009A73DB" w:rsidRPr="00F9550F">
        <w:rPr>
          <w:rFonts w:ascii="Times New Roman" w:hAnsi="Times New Roman" w:cs="Times New Roman"/>
          <w:sz w:val="24"/>
          <w:szCs w:val="24"/>
        </w:rPr>
        <w:t>he sells the place, he doesn’t have to obey the transfer rules of Minn. Stat. § 504B.178.</w:t>
      </w:r>
    </w:p>
    <w:p w:rsidR="009A73DB" w:rsidRPr="00F9550F" w:rsidRDefault="009A73DB">
      <w:pPr>
        <w:rPr>
          <w:rFonts w:ascii="Times New Roman" w:hAnsi="Times New Roman" w:cs="Times New Roman"/>
          <w:sz w:val="24"/>
          <w:szCs w:val="24"/>
        </w:rPr>
      </w:pPr>
      <w:r w:rsidRPr="00F9550F">
        <w:rPr>
          <w:rFonts w:ascii="Times New Roman" w:hAnsi="Times New Roman" w:cs="Times New Roman"/>
          <w:sz w:val="24"/>
          <w:szCs w:val="24"/>
        </w:rPr>
        <w:t>Having to make a claim against the bonding company and waiting to get paid is a downside. With a deposit, the landlord simply makes an accounting note in his ledger and scoops up the deposit to “pay” his claim. If the bonding company is unscrupulous, the landlord might never get paid or have difficulties collecting. Anecdotal evidence suggests this is not a significant problem, especially since the bonding companies</w:t>
      </w:r>
      <w:r w:rsidR="00064404" w:rsidRPr="00F9550F">
        <w:rPr>
          <w:rFonts w:ascii="Times New Roman" w:hAnsi="Times New Roman" w:cs="Times New Roman"/>
          <w:sz w:val="24"/>
          <w:szCs w:val="24"/>
        </w:rPr>
        <w:t>’</w:t>
      </w:r>
      <w:r w:rsidRPr="00F9550F">
        <w:rPr>
          <w:rFonts w:ascii="Times New Roman" w:hAnsi="Times New Roman" w:cs="Times New Roman"/>
          <w:sz w:val="24"/>
          <w:szCs w:val="24"/>
        </w:rPr>
        <w:t xml:space="preserve"> market</w:t>
      </w:r>
      <w:r w:rsidR="003B6AFB">
        <w:rPr>
          <w:rFonts w:ascii="Times New Roman" w:hAnsi="Times New Roman" w:cs="Times New Roman"/>
          <w:sz w:val="24"/>
          <w:szCs w:val="24"/>
        </w:rPr>
        <w:t>ing</w:t>
      </w:r>
      <w:r w:rsidRPr="00F9550F">
        <w:rPr>
          <w:rFonts w:ascii="Times New Roman" w:hAnsi="Times New Roman" w:cs="Times New Roman"/>
          <w:sz w:val="24"/>
          <w:szCs w:val="24"/>
        </w:rPr>
        <w:t xml:space="preserve"> strategy seems to depend on the landlords as their salesmen. Unhappy salesmen don’t sell.</w:t>
      </w:r>
    </w:p>
    <w:p w:rsidR="009A73DB" w:rsidRPr="00F9550F" w:rsidRDefault="009A73DB">
      <w:pPr>
        <w:rPr>
          <w:rFonts w:ascii="Times New Roman" w:hAnsi="Times New Roman" w:cs="Times New Roman"/>
          <w:sz w:val="24"/>
          <w:szCs w:val="24"/>
        </w:rPr>
      </w:pPr>
      <w:r w:rsidRPr="00F9550F">
        <w:rPr>
          <w:rFonts w:ascii="Times New Roman" w:hAnsi="Times New Roman" w:cs="Times New Roman"/>
          <w:sz w:val="24"/>
          <w:szCs w:val="24"/>
        </w:rPr>
        <w:t>For an unscrupulous landlord, a traditional deposit might be a better deal. There is a s</w:t>
      </w:r>
      <w:r w:rsidR="00397257">
        <w:rPr>
          <w:rFonts w:ascii="Times New Roman" w:hAnsi="Times New Roman" w:cs="Times New Roman"/>
          <w:sz w:val="24"/>
          <w:szCs w:val="24"/>
        </w:rPr>
        <w:t>mall s</w:t>
      </w:r>
      <w:r w:rsidRPr="00F9550F">
        <w:rPr>
          <w:rFonts w:ascii="Times New Roman" w:hAnsi="Times New Roman" w:cs="Times New Roman"/>
          <w:sz w:val="24"/>
          <w:szCs w:val="24"/>
        </w:rPr>
        <w:t>ubset of landlords that simply don’t return deposits</w:t>
      </w:r>
      <w:r w:rsidR="00FE3479">
        <w:rPr>
          <w:rFonts w:ascii="Times New Roman" w:hAnsi="Times New Roman" w:cs="Times New Roman"/>
          <w:sz w:val="24"/>
          <w:szCs w:val="24"/>
        </w:rPr>
        <w:t xml:space="preserve"> or </w:t>
      </w:r>
      <w:r w:rsidRPr="00F9550F">
        <w:rPr>
          <w:rFonts w:ascii="Times New Roman" w:hAnsi="Times New Roman" w:cs="Times New Roman"/>
          <w:sz w:val="24"/>
          <w:szCs w:val="24"/>
        </w:rPr>
        <w:t>routinely deduct unfairly and consider this one of their profit centers.</w:t>
      </w:r>
      <w:r w:rsidR="005702B2" w:rsidRPr="00F9550F">
        <w:rPr>
          <w:rStyle w:val="FootnoteReference"/>
          <w:rFonts w:ascii="Times New Roman" w:hAnsi="Times New Roman" w:cs="Times New Roman"/>
          <w:sz w:val="24"/>
          <w:szCs w:val="24"/>
        </w:rPr>
        <w:footnoteReference w:id="12"/>
      </w:r>
      <w:r w:rsidR="005F2B9D" w:rsidRPr="00F9550F">
        <w:rPr>
          <w:rFonts w:ascii="Times New Roman" w:hAnsi="Times New Roman" w:cs="Times New Roman"/>
          <w:sz w:val="24"/>
          <w:szCs w:val="24"/>
        </w:rPr>
        <w:t xml:space="preserve"> </w:t>
      </w:r>
      <w:r w:rsidR="00DD5882" w:rsidRPr="00F9550F">
        <w:rPr>
          <w:rFonts w:ascii="Times New Roman" w:hAnsi="Times New Roman" w:cs="Times New Roman"/>
          <w:sz w:val="24"/>
          <w:szCs w:val="24"/>
        </w:rPr>
        <w:t>Successfully keeping a deposit is more profitable than keeping 20% of a bond premium.</w:t>
      </w:r>
    </w:p>
    <w:p w:rsidR="00A445BB" w:rsidRPr="00F9550F" w:rsidRDefault="00044330" w:rsidP="00193F7F">
      <w:pPr>
        <w:rPr>
          <w:rFonts w:ascii="Times New Roman" w:hAnsi="Times New Roman" w:cs="Times New Roman"/>
          <w:sz w:val="24"/>
          <w:szCs w:val="24"/>
          <w:u w:val="single"/>
        </w:rPr>
      </w:pPr>
      <w:r>
        <w:rPr>
          <w:rFonts w:ascii="Times New Roman" w:hAnsi="Times New Roman" w:cs="Times New Roman"/>
          <w:sz w:val="24"/>
          <w:szCs w:val="24"/>
          <w:u w:val="single"/>
        </w:rPr>
        <w:t>Legal and legislative a</w:t>
      </w:r>
      <w:r w:rsidR="005A1AF8" w:rsidRPr="00F9550F">
        <w:rPr>
          <w:rFonts w:ascii="Times New Roman" w:hAnsi="Times New Roman" w:cs="Times New Roman"/>
          <w:sz w:val="24"/>
          <w:szCs w:val="24"/>
          <w:u w:val="single"/>
        </w:rPr>
        <w:t>ttacks against security deposit bonds</w:t>
      </w:r>
    </w:p>
    <w:p w:rsidR="00107FDF" w:rsidRPr="00F9550F" w:rsidRDefault="00193F7F" w:rsidP="00107FDF">
      <w:pPr>
        <w:rPr>
          <w:rFonts w:ascii="Times New Roman" w:hAnsi="Times New Roman" w:cs="Times New Roman"/>
          <w:sz w:val="24"/>
          <w:szCs w:val="24"/>
        </w:rPr>
      </w:pPr>
      <w:r w:rsidRPr="00F9550F">
        <w:rPr>
          <w:rFonts w:ascii="Times New Roman" w:hAnsi="Times New Roman" w:cs="Times New Roman"/>
          <w:sz w:val="24"/>
          <w:szCs w:val="24"/>
        </w:rPr>
        <w:t>Given the concerns above, what types of attacks have tenant advocates asserted? The</w:t>
      </w:r>
      <w:r w:rsidR="00A32F13">
        <w:rPr>
          <w:rFonts w:ascii="Times New Roman" w:hAnsi="Times New Roman" w:cs="Times New Roman"/>
          <w:sz w:val="24"/>
          <w:szCs w:val="24"/>
        </w:rPr>
        <w:t>y</w:t>
      </w:r>
      <w:r w:rsidRPr="00F9550F">
        <w:rPr>
          <w:rFonts w:ascii="Times New Roman" w:hAnsi="Times New Roman" w:cs="Times New Roman"/>
          <w:sz w:val="24"/>
          <w:szCs w:val="24"/>
        </w:rPr>
        <w:t xml:space="preserve"> fall into two categories – “</w:t>
      </w:r>
      <w:r w:rsidR="0034648B" w:rsidRPr="00F9550F">
        <w:rPr>
          <w:rFonts w:ascii="Times New Roman" w:hAnsi="Times New Roman" w:cs="Times New Roman"/>
          <w:sz w:val="24"/>
          <w:szCs w:val="24"/>
        </w:rPr>
        <w:t>nondisclosure</w:t>
      </w:r>
      <w:r w:rsidRPr="00F9550F">
        <w:rPr>
          <w:rFonts w:ascii="Times New Roman" w:hAnsi="Times New Roman" w:cs="Times New Roman"/>
          <w:sz w:val="24"/>
          <w:szCs w:val="24"/>
        </w:rPr>
        <w:t>” and “direct”.</w:t>
      </w:r>
      <w:r w:rsidR="00107FDF" w:rsidRPr="00F9550F">
        <w:rPr>
          <w:rFonts w:ascii="Times New Roman" w:hAnsi="Times New Roman" w:cs="Times New Roman"/>
          <w:sz w:val="24"/>
          <w:szCs w:val="24"/>
        </w:rPr>
        <w:t xml:space="preserve"> </w:t>
      </w:r>
    </w:p>
    <w:p w:rsidR="00107FDF" w:rsidRPr="00F9550F" w:rsidRDefault="00107FDF" w:rsidP="00107FDF">
      <w:pPr>
        <w:rPr>
          <w:rFonts w:ascii="Times New Roman" w:hAnsi="Times New Roman" w:cs="Times New Roman"/>
          <w:sz w:val="24"/>
          <w:szCs w:val="24"/>
        </w:rPr>
      </w:pPr>
      <w:r w:rsidRPr="00F9550F">
        <w:rPr>
          <w:rFonts w:ascii="Times New Roman" w:hAnsi="Times New Roman" w:cs="Times New Roman"/>
          <w:sz w:val="24"/>
          <w:szCs w:val="24"/>
        </w:rPr>
        <w:t xml:space="preserve">In the former, </w:t>
      </w:r>
      <w:r w:rsidR="000F1FE9" w:rsidRPr="00F9550F">
        <w:rPr>
          <w:rFonts w:ascii="Times New Roman" w:hAnsi="Times New Roman" w:cs="Times New Roman"/>
          <w:sz w:val="24"/>
          <w:szCs w:val="24"/>
        </w:rPr>
        <w:t xml:space="preserve">the </w:t>
      </w:r>
      <w:r w:rsidRPr="00F9550F">
        <w:rPr>
          <w:rFonts w:ascii="Times New Roman" w:hAnsi="Times New Roman" w:cs="Times New Roman"/>
          <w:sz w:val="24"/>
          <w:szCs w:val="24"/>
        </w:rPr>
        <w:t>gravamen of the attack is that the bonding companies</w:t>
      </w:r>
      <w:r w:rsidR="00A32F13">
        <w:rPr>
          <w:rFonts w:ascii="Times New Roman" w:hAnsi="Times New Roman" w:cs="Times New Roman"/>
          <w:sz w:val="24"/>
          <w:szCs w:val="24"/>
        </w:rPr>
        <w:t xml:space="preserve"> and landlords did not disclos</w:t>
      </w:r>
      <w:r w:rsidRPr="00F9550F">
        <w:rPr>
          <w:rFonts w:ascii="Times New Roman" w:hAnsi="Times New Roman" w:cs="Times New Roman"/>
          <w:sz w:val="24"/>
          <w:szCs w:val="24"/>
        </w:rPr>
        <w:t>e how the bonds worked or provided false descriptions.</w:t>
      </w:r>
    </w:p>
    <w:p w:rsidR="00294D63" w:rsidRDefault="00107FDF" w:rsidP="00107FDF">
      <w:pPr>
        <w:rPr>
          <w:rFonts w:ascii="Times New Roman" w:hAnsi="Times New Roman" w:cs="Times New Roman"/>
          <w:sz w:val="24"/>
          <w:szCs w:val="24"/>
        </w:rPr>
      </w:pPr>
      <w:r w:rsidRPr="00F9550F">
        <w:rPr>
          <w:rFonts w:ascii="Times New Roman" w:hAnsi="Times New Roman" w:cs="Times New Roman"/>
          <w:sz w:val="24"/>
          <w:szCs w:val="24"/>
        </w:rPr>
        <w:t xml:space="preserve">In the latter, </w:t>
      </w:r>
      <w:r w:rsidR="000F1FE9" w:rsidRPr="00F9550F">
        <w:rPr>
          <w:rFonts w:ascii="Times New Roman" w:hAnsi="Times New Roman" w:cs="Times New Roman"/>
          <w:sz w:val="24"/>
          <w:szCs w:val="24"/>
        </w:rPr>
        <w:t xml:space="preserve">the </w:t>
      </w:r>
      <w:r w:rsidRPr="00F9550F">
        <w:rPr>
          <w:rFonts w:ascii="Times New Roman" w:hAnsi="Times New Roman" w:cs="Times New Roman"/>
          <w:sz w:val="24"/>
          <w:szCs w:val="24"/>
        </w:rPr>
        <w:t xml:space="preserve">gravamen of the attack is that the bonding companies or the landlords or both violated the state’s security deposit statute, making them liable for the bond amount, for the premiums, or </w:t>
      </w:r>
      <w:r w:rsidR="00A32F13">
        <w:rPr>
          <w:rFonts w:ascii="Times New Roman" w:hAnsi="Times New Roman" w:cs="Times New Roman"/>
          <w:sz w:val="24"/>
          <w:szCs w:val="24"/>
        </w:rPr>
        <w:t xml:space="preserve">for </w:t>
      </w:r>
      <w:r w:rsidRPr="00F9550F">
        <w:rPr>
          <w:rFonts w:ascii="Times New Roman" w:hAnsi="Times New Roman" w:cs="Times New Roman"/>
          <w:sz w:val="24"/>
          <w:szCs w:val="24"/>
        </w:rPr>
        <w:t>other penalties in the statute.</w:t>
      </w:r>
    </w:p>
    <w:p w:rsidR="00107FDF" w:rsidRPr="00F9550F" w:rsidRDefault="00107FDF" w:rsidP="00107FDF">
      <w:pPr>
        <w:rPr>
          <w:rFonts w:ascii="Times New Roman" w:hAnsi="Times New Roman" w:cs="Times New Roman"/>
          <w:sz w:val="24"/>
          <w:szCs w:val="24"/>
        </w:rPr>
      </w:pPr>
      <w:r w:rsidRPr="00F9550F">
        <w:rPr>
          <w:rFonts w:ascii="Times New Roman" w:hAnsi="Times New Roman" w:cs="Times New Roman"/>
          <w:sz w:val="24"/>
          <w:szCs w:val="24"/>
        </w:rPr>
        <w:t>Very few of the</w:t>
      </w:r>
      <w:r w:rsidR="00A32F13">
        <w:rPr>
          <w:rFonts w:ascii="Times New Roman" w:hAnsi="Times New Roman" w:cs="Times New Roman"/>
          <w:sz w:val="24"/>
          <w:szCs w:val="24"/>
        </w:rPr>
        <w:t xml:space="preserve"> legal</w:t>
      </w:r>
      <w:r w:rsidR="00294D63">
        <w:rPr>
          <w:rFonts w:ascii="Times New Roman" w:hAnsi="Times New Roman" w:cs="Times New Roman"/>
          <w:sz w:val="24"/>
          <w:szCs w:val="24"/>
        </w:rPr>
        <w:t xml:space="preserve"> attacks </w:t>
      </w:r>
      <w:r w:rsidRPr="00F9550F">
        <w:rPr>
          <w:rFonts w:ascii="Times New Roman" w:hAnsi="Times New Roman" w:cs="Times New Roman"/>
          <w:sz w:val="24"/>
          <w:szCs w:val="24"/>
        </w:rPr>
        <w:t xml:space="preserve">have led to reported </w:t>
      </w:r>
      <w:r w:rsidR="00234AFB" w:rsidRPr="00F9550F">
        <w:rPr>
          <w:rFonts w:ascii="Times New Roman" w:hAnsi="Times New Roman" w:cs="Times New Roman"/>
          <w:sz w:val="24"/>
          <w:szCs w:val="24"/>
        </w:rPr>
        <w:t>case outcomes. Both in California</w:t>
      </w:r>
      <w:r w:rsidR="00234AFB" w:rsidRPr="00F9550F">
        <w:rPr>
          <w:rStyle w:val="FootnoteReference"/>
          <w:rFonts w:ascii="Times New Roman" w:hAnsi="Times New Roman" w:cs="Times New Roman"/>
          <w:sz w:val="24"/>
          <w:szCs w:val="24"/>
        </w:rPr>
        <w:footnoteReference w:id="13"/>
      </w:r>
      <w:r w:rsidR="00234AFB" w:rsidRPr="00F9550F">
        <w:rPr>
          <w:rFonts w:ascii="Times New Roman" w:hAnsi="Times New Roman" w:cs="Times New Roman"/>
          <w:sz w:val="24"/>
          <w:szCs w:val="24"/>
        </w:rPr>
        <w:t xml:space="preserve"> and in Oregon</w:t>
      </w:r>
      <w:r w:rsidR="0044236E" w:rsidRPr="00F9550F">
        <w:rPr>
          <w:rStyle w:val="FootnoteReference"/>
          <w:rFonts w:ascii="Times New Roman" w:hAnsi="Times New Roman" w:cs="Times New Roman"/>
          <w:sz w:val="24"/>
          <w:szCs w:val="24"/>
        </w:rPr>
        <w:footnoteReference w:id="14"/>
      </w:r>
      <w:r w:rsidR="00234AFB" w:rsidRPr="00F9550F">
        <w:rPr>
          <w:rFonts w:ascii="Times New Roman" w:hAnsi="Times New Roman" w:cs="Times New Roman"/>
          <w:sz w:val="24"/>
          <w:szCs w:val="24"/>
        </w:rPr>
        <w:t>, apparently</w:t>
      </w:r>
      <w:r w:rsidR="0034648B" w:rsidRPr="00F9550F">
        <w:rPr>
          <w:rFonts w:ascii="Times New Roman" w:hAnsi="Times New Roman" w:cs="Times New Roman"/>
          <w:sz w:val="24"/>
          <w:szCs w:val="24"/>
        </w:rPr>
        <w:t xml:space="preserve"> there</w:t>
      </w:r>
      <w:r w:rsidR="00234AFB" w:rsidRPr="00F9550F">
        <w:rPr>
          <w:rFonts w:ascii="Times New Roman" w:hAnsi="Times New Roman" w:cs="Times New Roman"/>
          <w:sz w:val="24"/>
          <w:szCs w:val="24"/>
        </w:rPr>
        <w:t xml:space="preserve"> were direct attacks that led to some sort of settlement. Several </w:t>
      </w:r>
      <w:r w:rsidR="006B110C">
        <w:rPr>
          <w:rFonts w:ascii="Times New Roman" w:hAnsi="Times New Roman" w:cs="Times New Roman"/>
          <w:sz w:val="24"/>
          <w:szCs w:val="24"/>
        </w:rPr>
        <w:t>jurisdictions</w:t>
      </w:r>
      <w:r w:rsidR="00234AFB" w:rsidRPr="00F9550F">
        <w:rPr>
          <w:rFonts w:ascii="Times New Roman" w:hAnsi="Times New Roman" w:cs="Times New Roman"/>
          <w:sz w:val="24"/>
          <w:szCs w:val="24"/>
        </w:rPr>
        <w:t xml:space="preserve"> have enacted legislation regulating such bonds.</w:t>
      </w:r>
    </w:p>
    <w:p w:rsidR="00107FDF" w:rsidRPr="00F9550F" w:rsidRDefault="004C7AE6">
      <w:pPr>
        <w:rPr>
          <w:rFonts w:ascii="Times New Roman" w:hAnsi="Times New Roman" w:cs="Times New Roman"/>
          <w:sz w:val="24"/>
          <w:szCs w:val="24"/>
        </w:rPr>
      </w:pPr>
      <w:r w:rsidRPr="00F9550F">
        <w:rPr>
          <w:rFonts w:ascii="Times New Roman" w:hAnsi="Times New Roman" w:cs="Times New Roman"/>
          <w:sz w:val="24"/>
          <w:szCs w:val="24"/>
        </w:rPr>
        <w:lastRenderedPageBreak/>
        <w:t xml:space="preserve">The Maryland Attorney General brought a </w:t>
      </w:r>
      <w:r w:rsidR="00044330">
        <w:rPr>
          <w:rFonts w:ascii="Times New Roman" w:hAnsi="Times New Roman" w:cs="Times New Roman"/>
          <w:sz w:val="24"/>
          <w:szCs w:val="24"/>
        </w:rPr>
        <w:t>nondisclosure</w:t>
      </w:r>
      <w:r w:rsidRPr="00F9550F">
        <w:rPr>
          <w:rFonts w:ascii="Times New Roman" w:hAnsi="Times New Roman" w:cs="Times New Roman"/>
          <w:sz w:val="24"/>
          <w:szCs w:val="24"/>
        </w:rPr>
        <w:t xml:space="preserve">-type case that led to a final settlement favorable to the tenants. There is one reported direct-type of reported case, an Ohio case </w:t>
      </w:r>
      <w:r w:rsidR="00397257">
        <w:rPr>
          <w:rFonts w:ascii="Times New Roman" w:hAnsi="Times New Roman" w:cs="Times New Roman"/>
          <w:sz w:val="24"/>
          <w:szCs w:val="24"/>
        </w:rPr>
        <w:t xml:space="preserve">which </w:t>
      </w:r>
      <w:r w:rsidRPr="00F9550F">
        <w:rPr>
          <w:rFonts w:ascii="Times New Roman" w:hAnsi="Times New Roman" w:cs="Times New Roman"/>
          <w:sz w:val="24"/>
          <w:szCs w:val="24"/>
        </w:rPr>
        <w:t>the tenants lost. They are discussed below.</w:t>
      </w:r>
    </w:p>
    <w:p w:rsidR="005A1AF8" w:rsidRPr="00F9550F" w:rsidRDefault="004C7AE6" w:rsidP="004C7AE6">
      <w:pPr>
        <w:ind w:left="720"/>
        <w:rPr>
          <w:rFonts w:ascii="Times New Roman" w:hAnsi="Times New Roman" w:cs="Times New Roman"/>
          <w:sz w:val="24"/>
          <w:szCs w:val="24"/>
          <w:u w:val="single"/>
        </w:rPr>
      </w:pPr>
      <w:r w:rsidRPr="00F9550F">
        <w:rPr>
          <w:rFonts w:ascii="Times New Roman" w:hAnsi="Times New Roman" w:cs="Times New Roman"/>
          <w:sz w:val="24"/>
          <w:szCs w:val="24"/>
          <w:u w:val="single"/>
        </w:rPr>
        <w:t xml:space="preserve">Maryland </w:t>
      </w:r>
      <w:r w:rsidR="0034648B" w:rsidRPr="00F9550F">
        <w:rPr>
          <w:rFonts w:ascii="Times New Roman" w:hAnsi="Times New Roman" w:cs="Times New Roman"/>
          <w:sz w:val="24"/>
          <w:szCs w:val="24"/>
          <w:u w:val="single"/>
        </w:rPr>
        <w:t xml:space="preserve">nondisclosure </w:t>
      </w:r>
      <w:r w:rsidRPr="00F9550F">
        <w:rPr>
          <w:rFonts w:ascii="Times New Roman" w:hAnsi="Times New Roman" w:cs="Times New Roman"/>
          <w:sz w:val="24"/>
          <w:szCs w:val="24"/>
          <w:u w:val="single"/>
        </w:rPr>
        <w:t>cas</w:t>
      </w:r>
      <w:r w:rsidR="004C69E6" w:rsidRPr="00F9550F">
        <w:rPr>
          <w:rFonts w:ascii="Times New Roman" w:hAnsi="Times New Roman" w:cs="Times New Roman"/>
          <w:sz w:val="24"/>
          <w:szCs w:val="24"/>
          <w:u w:val="single"/>
        </w:rPr>
        <w:t>e</w:t>
      </w:r>
    </w:p>
    <w:p w:rsidR="004C7AE6" w:rsidRPr="00F9550F" w:rsidRDefault="004C7AE6" w:rsidP="004C7AE6">
      <w:pPr>
        <w:rPr>
          <w:rFonts w:ascii="Times New Roman" w:hAnsi="Times New Roman" w:cs="Times New Roman"/>
          <w:sz w:val="24"/>
          <w:szCs w:val="24"/>
        </w:rPr>
      </w:pPr>
      <w:r w:rsidRPr="00F9550F">
        <w:rPr>
          <w:rFonts w:ascii="Times New Roman" w:hAnsi="Times New Roman" w:cs="Times New Roman"/>
          <w:sz w:val="24"/>
          <w:szCs w:val="24"/>
        </w:rPr>
        <w:t xml:space="preserve">The Maryland </w:t>
      </w:r>
      <w:r w:rsidR="00044330" w:rsidRPr="00F9550F">
        <w:rPr>
          <w:rFonts w:ascii="Times New Roman" w:hAnsi="Times New Roman" w:cs="Times New Roman"/>
          <w:sz w:val="24"/>
          <w:szCs w:val="24"/>
        </w:rPr>
        <w:t xml:space="preserve">Attorney General </w:t>
      </w:r>
      <w:r w:rsidR="00044330">
        <w:rPr>
          <w:rFonts w:ascii="Times New Roman" w:hAnsi="Times New Roman" w:cs="Times New Roman"/>
          <w:sz w:val="24"/>
          <w:szCs w:val="24"/>
        </w:rPr>
        <w:t>(“</w:t>
      </w:r>
      <w:r w:rsidRPr="00F9550F">
        <w:rPr>
          <w:rFonts w:ascii="Times New Roman" w:hAnsi="Times New Roman" w:cs="Times New Roman"/>
          <w:sz w:val="24"/>
          <w:szCs w:val="24"/>
        </w:rPr>
        <w:t>AG</w:t>
      </w:r>
      <w:r w:rsidR="00044330">
        <w:rPr>
          <w:rFonts w:ascii="Times New Roman" w:hAnsi="Times New Roman" w:cs="Times New Roman"/>
          <w:sz w:val="24"/>
          <w:szCs w:val="24"/>
        </w:rPr>
        <w:t>”)</w:t>
      </w:r>
      <w:r w:rsidRPr="00F9550F">
        <w:rPr>
          <w:rFonts w:ascii="Times New Roman" w:hAnsi="Times New Roman" w:cs="Times New Roman"/>
          <w:sz w:val="24"/>
          <w:szCs w:val="24"/>
        </w:rPr>
        <w:t xml:space="preserve"> filed an administrative </w:t>
      </w:r>
      <w:r w:rsidR="009D28EB" w:rsidRPr="00F9550F">
        <w:rPr>
          <w:rFonts w:ascii="Times New Roman" w:hAnsi="Times New Roman" w:cs="Times New Roman"/>
          <w:sz w:val="24"/>
          <w:szCs w:val="24"/>
        </w:rPr>
        <w:t>complaint against the SureD</w:t>
      </w:r>
      <w:r w:rsidRPr="00F9550F">
        <w:rPr>
          <w:rFonts w:ascii="Times New Roman" w:hAnsi="Times New Roman" w:cs="Times New Roman"/>
          <w:sz w:val="24"/>
          <w:szCs w:val="24"/>
        </w:rPr>
        <w:t xml:space="preserve">eposit bonding company, </w:t>
      </w:r>
      <w:r w:rsidR="005A5A2E" w:rsidRPr="00F9550F">
        <w:rPr>
          <w:rFonts w:ascii="Times New Roman" w:hAnsi="Times New Roman" w:cs="Times New Roman"/>
          <w:i/>
          <w:sz w:val="24"/>
          <w:szCs w:val="24"/>
        </w:rPr>
        <w:t>Consumer Protection Division O</w:t>
      </w:r>
      <w:r w:rsidR="009D28EB" w:rsidRPr="00F9550F">
        <w:rPr>
          <w:rFonts w:ascii="Times New Roman" w:hAnsi="Times New Roman" w:cs="Times New Roman"/>
          <w:i/>
          <w:sz w:val="24"/>
          <w:szCs w:val="24"/>
        </w:rPr>
        <w:t xml:space="preserve">ffice </w:t>
      </w:r>
      <w:r w:rsidR="005A5A2E" w:rsidRPr="00F9550F">
        <w:rPr>
          <w:rFonts w:ascii="Times New Roman" w:hAnsi="Times New Roman" w:cs="Times New Roman"/>
          <w:i/>
          <w:sz w:val="24"/>
          <w:szCs w:val="24"/>
        </w:rPr>
        <w:t>of</w:t>
      </w:r>
      <w:r w:rsidR="009D28EB" w:rsidRPr="00F9550F">
        <w:rPr>
          <w:rFonts w:ascii="Times New Roman" w:hAnsi="Times New Roman" w:cs="Times New Roman"/>
          <w:i/>
          <w:sz w:val="24"/>
          <w:szCs w:val="24"/>
        </w:rPr>
        <w:t xml:space="preserve"> the A</w:t>
      </w:r>
      <w:r w:rsidR="005A5A2E" w:rsidRPr="00F9550F">
        <w:rPr>
          <w:rFonts w:ascii="Times New Roman" w:hAnsi="Times New Roman" w:cs="Times New Roman"/>
          <w:i/>
          <w:sz w:val="24"/>
          <w:szCs w:val="24"/>
        </w:rPr>
        <w:t>ttorney General of Maryland v. C</w:t>
      </w:r>
      <w:r w:rsidR="009D28EB" w:rsidRPr="00F9550F">
        <w:rPr>
          <w:rFonts w:ascii="Times New Roman" w:hAnsi="Times New Roman" w:cs="Times New Roman"/>
          <w:i/>
          <w:sz w:val="24"/>
          <w:szCs w:val="24"/>
        </w:rPr>
        <w:t>onverge Services Group, L.L.C. T/A SureDeposit et al</w:t>
      </w:r>
      <w:r w:rsidR="009D28EB" w:rsidRPr="00F9550F">
        <w:rPr>
          <w:rFonts w:ascii="Times New Roman" w:hAnsi="Times New Roman" w:cs="Times New Roman"/>
          <w:sz w:val="24"/>
          <w:szCs w:val="24"/>
        </w:rPr>
        <w:t>, CPD Case No. 03-021, OHA No. OAG-CPD 02-03-45426.</w:t>
      </w:r>
      <w:r w:rsidR="00166C06" w:rsidRPr="00F9550F">
        <w:rPr>
          <w:rFonts w:ascii="Times New Roman" w:hAnsi="Times New Roman" w:cs="Times New Roman"/>
          <w:sz w:val="24"/>
          <w:szCs w:val="24"/>
        </w:rPr>
        <w:t xml:space="preserve"> See </w:t>
      </w:r>
      <w:hyperlink r:id="rId11" w:history="1">
        <w:r w:rsidR="00166C06" w:rsidRPr="00F9550F">
          <w:rPr>
            <w:rStyle w:val="Hyperlink"/>
            <w:rFonts w:ascii="Times New Roman" w:hAnsi="Times New Roman" w:cs="Times New Roman"/>
            <w:i/>
            <w:iCs/>
            <w:sz w:val="24"/>
            <w:szCs w:val="24"/>
          </w:rPr>
          <w:t>Converge Servs. Grp</w:t>
        </w:r>
        <w:r w:rsidR="00B449F9">
          <w:rPr>
            <w:rStyle w:val="Hyperlink"/>
            <w:rFonts w:ascii="Times New Roman" w:hAnsi="Times New Roman" w:cs="Times New Roman"/>
            <w:i/>
            <w:iCs/>
            <w:sz w:val="24"/>
            <w:szCs w:val="24"/>
          </w:rPr>
          <w:t>.</w:t>
        </w:r>
        <w:r w:rsidR="00166C06" w:rsidRPr="00F9550F">
          <w:rPr>
            <w:rStyle w:val="Hyperlink"/>
            <w:rFonts w:ascii="Times New Roman" w:hAnsi="Times New Roman" w:cs="Times New Roman"/>
            <w:i/>
            <w:iCs/>
            <w:sz w:val="24"/>
            <w:szCs w:val="24"/>
          </w:rPr>
          <w:t>, LLC v. Curran,</w:t>
        </w:r>
        <w:r w:rsidR="00166C06" w:rsidRPr="00F9550F">
          <w:rPr>
            <w:rStyle w:val="Hyperlink"/>
            <w:rFonts w:ascii="Times New Roman" w:hAnsi="Times New Roman" w:cs="Times New Roman"/>
            <w:sz w:val="24"/>
            <w:szCs w:val="24"/>
          </w:rPr>
          <w:t xml:space="preserve"> 383 Md. 462, 860 A.2d 871 (Md. Ct. App. 2004)</w:t>
        </w:r>
      </w:hyperlink>
      <w:r w:rsidR="00166C06" w:rsidRPr="00F9550F">
        <w:rPr>
          <w:rFonts w:ascii="Times New Roman" w:hAnsi="Times New Roman" w:cs="Times New Roman"/>
          <w:sz w:val="24"/>
          <w:szCs w:val="24"/>
        </w:rPr>
        <w:t xml:space="preserve">. After a lot of battles over the reach of the AG’s office, the Attorney General essentially won those battles in the appellate court case (383 Md. 462). </w:t>
      </w:r>
      <w:r w:rsidR="00A664B5">
        <w:rPr>
          <w:rFonts w:ascii="Times New Roman" w:hAnsi="Times New Roman" w:cs="Times New Roman"/>
          <w:sz w:val="24"/>
          <w:szCs w:val="24"/>
        </w:rPr>
        <w:t>Then</w:t>
      </w:r>
      <w:r w:rsidR="00166C06" w:rsidRPr="00F9550F">
        <w:rPr>
          <w:rFonts w:ascii="Times New Roman" w:hAnsi="Times New Roman" w:cs="Times New Roman"/>
          <w:sz w:val="24"/>
          <w:szCs w:val="24"/>
        </w:rPr>
        <w:t xml:space="preserve"> the parties settle</w:t>
      </w:r>
      <w:r w:rsidR="004C69E6" w:rsidRPr="00F9550F">
        <w:rPr>
          <w:rFonts w:ascii="Times New Roman" w:hAnsi="Times New Roman" w:cs="Times New Roman"/>
          <w:sz w:val="24"/>
          <w:szCs w:val="24"/>
        </w:rPr>
        <w:t>d</w:t>
      </w:r>
      <w:r w:rsidR="00166C06" w:rsidRPr="00F9550F">
        <w:rPr>
          <w:rFonts w:ascii="Times New Roman" w:hAnsi="Times New Roman" w:cs="Times New Roman"/>
          <w:sz w:val="24"/>
          <w:szCs w:val="24"/>
        </w:rPr>
        <w:t xml:space="preserve"> the dispute.</w:t>
      </w:r>
    </w:p>
    <w:p w:rsidR="007F3AED" w:rsidRPr="00F9550F" w:rsidRDefault="00166C06" w:rsidP="00053E1C">
      <w:pPr>
        <w:rPr>
          <w:rFonts w:ascii="Times New Roman" w:hAnsi="Times New Roman" w:cs="Times New Roman"/>
          <w:sz w:val="24"/>
          <w:szCs w:val="24"/>
        </w:rPr>
      </w:pPr>
      <w:r w:rsidRPr="00F9550F">
        <w:rPr>
          <w:rFonts w:ascii="Times New Roman" w:hAnsi="Times New Roman" w:cs="Times New Roman"/>
          <w:sz w:val="24"/>
          <w:szCs w:val="24"/>
        </w:rPr>
        <w:t xml:space="preserve">I have been unable to obtain a copy of the administrative complaint but the assistant AG who handled the case provided me with a copy of the settlement </w:t>
      </w:r>
      <w:hyperlink r:id="rId12" w:history="1">
        <w:r w:rsidRPr="00A22267">
          <w:rPr>
            <w:rStyle w:val="Hyperlink"/>
            <w:rFonts w:ascii="Times New Roman" w:hAnsi="Times New Roman" w:cs="Times New Roman"/>
            <w:sz w:val="24"/>
            <w:szCs w:val="24"/>
          </w:rPr>
          <w:t>Consent Order</w:t>
        </w:r>
        <w:r w:rsidR="00A32F13" w:rsidRPr="00A22267">
          <w:rPr>
            <w:rStyle w:val="Hyperlink"/>
            <w:rFonts w:ascii="Times New Roman" w:hAnsi="Times New Roman" w:cs="Times New Roman"/>
            <w:sz w:val="24"/>
            <w:szCs w:val="24"/>
          </w:rPr>
          <w:t xml:space="preserve"> (Appendix </w:t>
        </w:r>
        <w:r w:rsidR="00553F70" w:rsidRPr="00A22267">
          <w:rPr>
            <w:rStyle w:val="Hyperlink"/>
            <w:rFonts w:ascii="Times New Roman" w:hAnsi="Times New Roman" w:cs="Times New Roman"/>
            <w:sz w:val="24"/>
            <w:szCs w:val="24"/>
          </w:rPr>
          <w:t>2</w:t>
        </w:r>
        <w:r w:rsidR="00A32F13" w:rsidRPr="00A22267">
          <w:rPr>
            <w:rStyle w:val="Hyperlink"/>
            <w:rFonts w:ascii="Times New Roman" w:hAnsi="Times New Roman" w:cs="Times New Roman"/>
            <w:sz w:val="24"/>
            <w:szCs w:val="24"/>
          </w:rPr>
          <w:t>)</w:t>
        </w:r>
      </w:hyperlink>
      <w:r w:rsidRPr="00F9550F">
        <w:rPr>
          <w:rFonts w:ascii="Times New Roman" w:hAnsi="Times New Roman" w:cs="Times New Roman"/>
          <w:sz w:val="24"/>
          <w:szCs w:val="24"/>
        </w:rPr>
        <w:t>. He was unable to locate the original complaint.</w:t>
      </w:r>
      <w:r w:rsidR="00044330" w:rsidRPr="00044330">
        <w:rPr>
          <w:rStyle w:val="FootnoteReference"/>
          <w:rFonts w:ascii="Times New Roman" w:hAnsi="Times New Roman" w:cs="Times New Roman"/>
          <w:sz w:val="24"/>
          <w:szCs w:val="24"/>
        </w:rPr>
        <w:t xml:space="preserve"> </w:t>
      </w:r>
      <w:r w:rsidR="00044330" w:rsidRPr="00F9550F">
        <w:rPr>
          <w:rStyle w:val="FootnoteReference"/>
          <w:rFonts w:ascii="Times New Roman" w:hAnsi="Times New Roman" w:cs="Times New Roman"/>
          <w:sz w:val="24"/>
          <w:szCs w:val="24"/>
        </w:rPr>
        <w:footnoteReference w:id="15"/>
      </w:r>
      <w:r w:rsidRPr="00F9550F">
        <w:rPr>
          <w:rFonts w:ascii="Times New Roman" w:hAnsi="Times New Roman" w:cs="Times New Roman"/>
          <w:sz w:val="24"/>
          <w:szCs w:val="24"/>
        </w:rPr>
        <w:t xml:space="preserve"> Paragraph 6 of the </w:t>
      </w:r>
      <w:r w:rsidR="004C69E6" w:rsidRPr="00F9550F">
        <w:rPr>
          <w:rFonts w:ascii="Times New Roman" w:hAnsi="Times New Roman" w:cs="Times New Roman"/>
          <w:sz w:val="24"/>
          <w:szCs w:val="24"/>
        </w:rPr>
        <w:t>Consent Order</w:t>
      </w:r>
      <w:r w:rsidRPr="00F9550F">
        <w:rPr>
          <w:rFonts w:ascii="Times New Roman" w:hAnsi="Times New Roman" w:cs="Times New Roman"/>
          <w:sz w:val="24"/>
          <w:szCs w:val="24"/>
        </w:rPr>
        <w:t xml:space="preserve"> lays out the allegations of the complaint</w:t>
      </w:r>
      <w:r w:rsidR="007F3AED" w:rsidRPr="00F9550F">
        <w:rPr>
          <w:rFonts w:ascii="Times New Roman" w:hAnsi="Times New Roman" w:cs="Times New Roman"/>
          <w:sz w:val="24"/>
          <w:szCs w:val="24"/>
        </w:rPr>
        <w:t xml:space="preserve">, to wit that </w:t>
      </w:r>
      <w:r w:rsidR="007F3AED" w:rsidRPr="00F9550F">
        <w:rPr>
          <w:rFonts w:ascii="Times New Roman" w:hAnsi="Times New Roman" w:cs="Times New Roman"/>
          <w:sz w:val="24"/>
          <w:szCs w:val="24"/>
          <w:lang w:val="en-CA"/>
        </w:rPr>
        <w:fldChar w:fldCharType="begin"/>
      </w:r>
      <w:r w:rsidR="007F3AED" w:rsidRPr="00F9550F">
        <w:rPr>
          <w:rFonts w:ascii="Times New Roman" w:hAnsi="Times New Roman" w:cs="Times New Roman"/>
          <w:sz w:val="24"/>
          <w:szCs w:val="24"/>
          <w:lang w:val="en-CA"/>
        </w:rPr>
        <w:instrText xml:space="preserve"> SEQ CHAPTER \h \r 1</w:instrText>
      </w:r>
      <w:r w:rsidR="007F3AED" w:rsidRPr="00F9550F">
        <w:rPr>
          <w:rFonts w:ascii="Times New Roman" w:hAnsi="Times New Roman" w:cs="Times New Roman"/>
          <w:sz w:val="24"/>
          <w:szCs w:val="24"/>
          <w:lang w:val="en-CA"/>
        </w:rPr>
        <w:fldChar w:fldCharType="end"/>
      </w:r>
      <w:r w:rsidR="007F3AED" w:rsidRPr="00F9550F">
        <w:rPr>
          <w:rFonts w:ascii="Times New Roman" w:hAnsi="Times New Roman" w:cs="Times New Roman"/>
          <w:sz w:val="24"/>
          <w:szCs w:val="24"/>
        </w:rPr>
        <w:t>SureDeposit failed to disclose</w:t>
      </w:r>
      <w:r w:rsidR="00053E1C" w:rsidRPr="00F9550F">
        <w:rPr>
          <w:rFonts w:ascii="Times New Roman" w:hAnsi="Times New Roman" w:cs="Times New Roman"/>
          <w:sz w:val="24"/>
          <w:szCs w:val="24"/>
        </w:rPr>
        <w:t>:</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[a] All material terms of the bonds.</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[b] The tenant remained liable to SureDeposit for damages paid to landlord.</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 xml:space="preserve">[c] The tenant </w:t>
      </w:r>
      <w:r w:rsidR="00044330">
        <w:rPr>
          <w:rFonts w:ascii="Times New Roman" w:hAnsi="Times New Roman" w:cs="Times New Roman"/>
          <w:sz w:val="24"/>
          <w:szCs w:val="24"/>
        </w:rPr>
        <w:t>forewent</w:t>
      </w:r>
      <w:r w:rsidRPr="00F9550F">
        <w:rPr>
          <w:rFonts w:ascii="Times New Roman" w:hAnsi="Times New Roman" w:cs="Times New Roman"/>
          <w:sz w:val="24"/>
          <w:szCs w:val="24"/>
        </w:rPr>
        <w:t xml:space="preserve"> her rights, including</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676723" w:rsidP="007F3AED">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[i] inspection </w:t>
      </w:r>
      <w:r w:rsidR="007F3AED" w:rsidRPr="00F9550F">
        <w:rPr>
          <w:rFonts w:ascii="Times New Roman" w:hAnsi="Times New Roman" w:cs="Times New Roman"/>
          <w:sz w:val="24"/>
          <w:szCs w:val="24"/>
        </w:rPr>
        <w:t>of their unit at the beginning and at the end of their lease;</w:t>
      </w:r>
    </w:p>
    <w:p w:rsidR="007F3AED" w:rsidRPr="00F9550F" w:rsidRDefault="007F3AED" w:rsidP="007F3AED">
      <w:pPr>
        <w:autoSpaceDE w:val="0"/>
        <w:autoSpaceDN w:val="0"/>
        <w:adjustRightInd w:val="0"/>
        <w:spacing w:after="0" w:line="240" w:lineRule="auto"/>
        <w:ind w:left="144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ab/>
        <w:t>[ii] prompt written notice by landlord of damages and actual costs incurred;</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1440"/>
        <w:rPr>
          <w:rFonts w:ascii="Times New Roman" w:hAnsi="Times New Roman" w:cs="Times New Roman"/>
          <w:sz w:val="24"/>
          <w:szCs w:val="24"/>
        </w:rPr>
      </w:pPr>
      <w:r w:rsidRPr="00F9550F">
        <w:rPr>
          <w:rFonts w:ascii="Times New Roman" w:hAnsi="Times New Roman" w:cs="Times New Roman"/>
          <w:sz w:val="24"/>
          <w:szCs w:val="24"/>
        </w:rPr>
        <w:t>[iii] the right to seek a penalty of up to three times the amount of the deposit plus</w:t>
      </w:r>
      <w:r w:rsidR="004C69E6" w:rsidRPr="00F9550F">
        <w:rPr>
          <w:rFonts w:ascii="Times New Roman" w:hAnsi="Times New Roman" w:cs="Times New Roman"/>
          <w:sz w:val="24"/>
          <w:szCs w:val="24"/>
        </w:rPr>
        <w:t xml:space="preserve"> attorney fees for landlord’s non</w:t>
      </w:r>
      <w:r w:rsidRPr="00F9550F">
        <w:rPr>
          <w:rFonts w:ascii="Times New Roman" w:hAnsi="Times New Roman" w:cs="Times New Roman"/>
          <w:sz w:val="24"/>
          <w:szCs w:val="24"/>
        </w:rPr>
        <w:t>compliance with the Maryland security deposit statute.</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[d] The landlord got a 20% kickback of the premium.</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[e] The landlords could claim more against the bond than they could deduct from deposit.</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r w:rsidRPr="00F9550F">
        <w:rPr>
          <w:rFonts w:ascii="Times New Roman" w:hAnsi="Times New Roman" w:cs="Times New Roman"/>
          <w:sz w:val="24"/>
          <w:szCs w:val="24"/>
        </w:rPr>
        <w:t xml:space="preserve">[f] SureDeposit pays landlords without the landlords having to honor the tenants’ rights under the Maryland Real Property Article (security deposit statute </w:t>
      </w:r>
      <w:r w:rsidR="00B449F9" w:rsidRPr="00F9550F">
        <w:rPr>
          <w:rFonts w:ascii="Times New Roman" w:hAnsi="Times New Roman" w:cs="Times New Roman"/>
          <w:sz w:val="24"/>
          <w:szCs w:val="24"/>
        </w:rPr>
        <w:t>etc.</w:t>
      </w:r>
      <w:r w:rsidRPr="00F9550F">
        <w:rPr>
          <w:rFonts w:ascii="Times New Roman" w:hAnsi="Times New Roman" w:cs="Times New Roman"/>
          <w:sz w:val="24"/>
          <w:szCs w:val="24"/>
        </w:rPr>
        <w:t>) and without having to submit evidence to support their claims</w:t>
      </w:r>
    </w:p>
    <w:p w:rsidR="007F3AED" w:rsidRPr="00F9550F" w:rsidRDefault="007F3AED" w:rsidP="007F3AED">
      <w:pPr>
        <w:autoSpaceDE w:val="0"/>
        <w:autoSpaceDN w:val="0"/>
        <w:adjustRightInd w:val="0"/>
        <w:spacing w:after="0" w:line="240" w:lineRule="auto"/>
        <w:ind w:left="720"/>
        <w:rPr>
          <w:rFonts w:ascii="Times New Roman" w:hAnsi="Times New Roman" w:cs="Times New Roman"/>
          <w:sz w:val="24"/>
          <w:szCs w:val="24"/>
        </w:rPr>
      </w:pPr>
    </w:p>
    <w:p w:rsidR="00166C06" w:rsidRPr="00F9550F" w:rsidRDefault="007F3AED" w:rsidP="004C69E6">
      <w:pPr>
        <w:autoSpaceDE w:val="0"/>
        <w:autoSpaceDN w:val="0"/>
        <w:adjustRightInd w:val="0"/>
        <w:spacing w:after="0" w:line="240" w:lineRule="auto"/>
        <w:rPr>
          <w:rFonts w:ascii="Times New Roman" w:hAnsi="Times New Roman" w:cs="Times New Roman"/>
          <w:sz w:val="24"/>
          <w:szCs w:val="24"/>
        </w:rPr>
      </w:pPr>
      <w:r w:rsidRPr="00F9550F">
        <w:rPr>
          <w:rFonts w:ascii="Times New Roman" w:hAnsi="Times New Roman" w:cs="Times New Roman"/>
          <w:sz w:val="24"/>
          <w:szCs w:val="24"/>
        </w:rPr>
        <w:t xml:space="preserve">and also that SureDeposit </w:t>
      </w:r>
      <w:r w:rsidR="00676723">
        <w:rPr>
          <w:rFonts w:ascii="Times New Roman" w:hAnsi="Times New Roman" w:cs="Times New Roman"/>
          <w:sz w:val="24"/>
          <w:szCs w:val="24"/>
        </w:rPr>
        <w:t>gave</w:t>
      </w:r>
      <w:r w:rsidRPr="00F9550F">
        <w:rPr>
          <w:rFonts w:ascii="Times New Roman" w:hAnsi="Times New Roman" w:cs="Times New Roman"/>
          <w:sz w:val="24"/>
          <w:szCs w:val="24"/>
        </w:rPr>
        <w:t xml:space="preserve"> tenants no notice or chance to contest damage claims by their landlords.</w:t>
      </w:r>
    </w:p>
    <w:p w:rsidR="004C69E6" w:rsidRPr="00F9550F" w:rsidRDefault="004C69E6" w:rsidP="004C69E6">
      <w:pPr>
        <w:autoSpaceDE w:val="0"/>
        <w:autoSpaceDN w:val="0"/>
        <w:adjustRightInd w:val="0"/>
        <w:spacing w:after="0" w:line="240" w:lineRule="auto"/>
        <w:rPr>
          <w:rFonts w:ascii="Times New Roman" w:hAnsi="Times New Roman" w:cs="Times New Roman"/>
          <w:sz w:val="24"/>
          <w:szCs w:val="24"/>
        </w:rPr>
      </w:pPr>
    </w:p>
    <w:p w:rsidR="00CF5A8F" w:rsidRPr="00F9550F" w:rsidRDefault="00CF5A8F" w:rsidP="004C7AE6">
      <w:pPr>
        <w:rPr>
          <w:rFonts w:ascii="Times New Roman" w:hAnsi="Times New Roman" w:cs="Times New Roman"/>
          <w:sz w:val="24"/>
          <w:szCs w:val="24"/>
        </w:rPr>
      </w:pPr>
      <w:r w:rsidRPr="00F9550F">
        <w:rPr>
          <w:rFonts w:ascii="Times New Roman" w:hAnsi="Times New Roman" w:cs="Times New Roman"/>
          <w:sz w:val="24"/>
          <w:szCs w:val="24"/>
        </w:rPr>
        <w:lastRenderedPageBreak/>
        <w:t>Under the settlement, the AG got essentially everything it was asking for</w:t>
      </w:r>
      <w:r w:rsidR="00DB210E" w:rsidRPr="00F9550F">
        <w:rPr>
          <w:rFonts w:ascii="Times New Roman" w:hAnsi="Times New Roman" w:cs="Times New Roman"/>
          <w:sz w:val="24"/>
          <w:szCs w:val="24"/>
        </w:rPr>
        <w:t xml:space="preserve"> with one important exception. </w:t>
      </w:r>
      <w:r w:rsidRPr="00F9550F">
        <w:rPr>
          <w:rFonts w:ascii="Times New Roman" w:hAnsi="Times New Roman" w:cs="Times New Roman"/>
          <w:sz w:val="24"/>
          <w:szCs w:val="24"/>
        </w:rPr>
        <w:t>SureDeposit agreed to stop selling the bonds in Maryland. It agreed to undo any negative credit reporting of tenants it had done.</w:t>
      </w:r>
      <w:r w:rsidR="00DF0BE0" w:rsidRPr="00F9550F">
        <w:rPr>
          <w:rFonts w:ascii="Times New Roman" w:hAnsi="Times New Roman" w:cs="Times New Roman"/>
          <w:sz w:val="24"/>
          <w:szCs w:val="24"/>
        </w:rPr>
        <w:t xml:space="preserve"> Tenants who</w:t>
      </w:r>
      <w:r w:rsidR="00044330">
        <w:rPr>
          <w:rFonts w:ascii="Times New Roman" w:hAnsi="Times New Roman" w:cs="Times New Roman"/>
          <w:sz w:val="24"/>
          <w:szCs w:val="24"/>
        </w:rPr>
        <w:t>se</w:t>
      </w:r>
      <w:r w:rsidR="00DF0BE0" w:rsidRPr="00F9550F">
        <w:rPr>
          <w:rFonts w:ascii="Times New Roman" w:hAnsi="Times New Roman" w:cs="Times New Roman"/>
          <w:sz w:val="24"/>
          <w:szCs w:val="24"/>
        </w:rPr>
        <w:t xml:space="preserve"> tenancies had ended received a 40% refund of the premiums they paid (incomplete relief for them). Tenants with active tenancies </w:t>
      </w:r>
      <w:r w:rsidR="00FE3479">
        <w:rPr>
          <w:rFonts w:ascii="Times New Roman" w:hAnsi="Times New Roman" w:cs="Times New Roman"/>
          <w:sz w:val="24"/>
          <w:szCs w:val="24"/>
        </w:rPr>
        <w:t xml:space="preserve">and uncooperative landlords </w:t>
      </w:r>
      <w:r w:rsidR="00DF0BE0" w:rsidRPr="00F9550F">
        <w:rPr>
          <w:rFonts w:ascii="Times New Roman" w:hAnsi="Times New Roman" w:cs="Times New Roman"/>
          <w:sz w:val="24"/>
          <w:szCs w:val="24"/>
        </w:rPr>
        <w:t>got back their premiums</w:t>
      </w:r>
      <w:r w:rsidR="00FE3479">
        <w:rPr>
          <w:rFonts w:ascii="Times New Roman" w:hAnsi="Times New Roman" w:cs="Times New Roman"/>
          <w:sz w:val="24"/>
          <w:szCs w:val="24"/>
        </w:rPr>
        <w:t xml:space="preserve">; if their landlords cooperated, tenants with active tenancies had their </w:t>
      </w:r>
      <w:r w:rsidR="00DF0BE0" w:rsidRPr="00F9550F">
        <w:rPr>
          <w:rFonts w:ascii="Times New Roman" w:hAnsi="Times New Roman" w:cs="Times New Roman"/>
          <w:sz w:val="24"/>
          <w:szCs w:val="24"/>
        </w:rPr>
        <w:t xml:space="preserve">premium was returned to the landlord (the 80%) and the landlord then combined that with the 20% kickback and made that into the tenant’s normal security deposit. </w:t>
      </w:r>
      <w:r w:rsidR="0097107C" w:rsidRPr="00F9550F">
        <w:rPr>
          <w:rFonts w:ascii="Times New Roman" w:hAnsi="Times New Roman" w:cs="Times New Roman"/>
          <w:sz w:val="24"/>
          <w:szCs w:val="24"/>
        </w:rPr>
        <w:t xml:space="preserve">SureDeposit also paid the AG $12,000 as a penalty plus $15,000 as reimbursement for its </w:t>
      </w:r>
      <w:r w:rsidR="00A32F13">
        <w:rPr>
          <w:rFonts w:ascii="Times New Roman" w:hAnsi="Times New Roman" w:cs="Times New Roman"/>
          <w:sz w:val="24"/>
          <w:szCs w:val="24"/>
        </w:rPr>
        <w:t xml:space="preserve">investigative costs (basically </w:t>
      </w:r>
      <w:r w:rsidR="0097107C" w:rsidRPr="00F9550F">
        <w:rPr>
          <w:rFonts w:ascii="Times New Roman" w:hAnsi="Times New Roman" w:cs="Times New Roman"/>
          <w:sz w:val="24"/>
          <w:szCs w:val="24"/>
        </w:rPr>
        <w:t>more penalty).</w:t>
      </w:r>
    </w:p>
    <w:p w:rsidR="000E6DE7" w:rsidRPr="00F9550F" w:rsidRDefault="00F36C0F" w:rsidP="004C7AE6">
      <w:pPr>
        <w:rPr>
          <w:rFonts w:ascii="Times New Roman" w:hAnsi="Times New Roman" w:cs="Times New Roman"/>
          <w:sz w:val="24"/>
          <w:szCs w:val="24"/>
        </w:rPr>
      </w:pPr>
      <w:r w:rsidRPr="00F9550F">
        <w:rPr>
          <w:rFonts w:ascii="Times New Roman" w:hAnsi="Times New Roman" w:cs="Times New Roman"/>
          <w:sz w:val="24"/>
          <w:szCs w:val="24"/>
        </w:rPr>
        <w:t>The important exception was that</w:t>
      </w:r>
      <w:r w:rsidRPr="00F9550F">
        <w:rPr>
          <w:rFonts w:ascii="Times New Roman" w:hAnsi="Times New Roman" w:cs="Times New Roman"/>
          <w:sz w:val="24"/>
          <w:szCs w:val="24"/>
          <w:lang w:val="en-CA"/>
        </w:rPr>
        <w:t xml:space="preserve"> </w:t>
      </w:r>
      <w:r w:rsidRPr="00F9550F">
        <w:rPr>
          <w:rFonts w:ascii="Times New Roman" w:hAnsi="Times New Roman" w:cs="Times New Roman"/>
          <w:sz w:val="24"/>
          <w:szCs w:val="24"/>
          <w:lang w:val="en-CA"/>
        </w:rPr>
        <w:fldChar w:fldCharType="begin"/>
      </w:r>
      <w:r w:rsidRPr="00F9550F">
        <w:rPr>
          <w:rFonts w:ascii="Times New Roman" w:hAnsi="Times New Roman" w:cs="Times New Roman"/>
          <w:sz w:val="24"/>
          <w:szCs w:val="24"/>
          <w:lang w:val="en-CA"/>
        </w:rPr>
        <w:instrText xml:space="preserve"> SEQ CHAPTER \h \r 1</w:instrText>
      </w:r>
      <w:r w:rsidRPr="00F9550F">
        <w:rPr>
          <w:rFonts w:ascii="Times New Roman" w:hAnsi="Times New Roman" w:cs="Times New Roman"/>
          <w:sz w:val="24"/>
          <w:szCs w:val="24"/>
          <w:lang w:val="en-CA"/>
        </w:rPr>
        <w:fldChar w:fldCharType="end"/>
      </w:r>
      <w:r w:rsidRPr="00F9550F">
        <w:rPr>
          <w:rFonts w:ascii="Times New Roman" w:hAnsi="Times New Roman" w:cs="Times New Roman"/>
          <w:sz w:val="24"/>
          <w:szCs w:val="24"/>
        </w:rPr>
        <w:t xml:space="preserve">if Maryland enacted a statute allowing security deposit bonds </w:t>
      </w:r>
      <w:proofErr w:type="spellStart"/>
      <w:r w:rsidRPr="00F9550F">
        <w:rPr>
          <w:rFonts w:ascii="Times New Roman" w:hAnsi="Times New Roman" w:cs="Times New Roman"/>
          <w:sz w:val="24"/>
          <w:szCs w:val="24"/>
        </w:rPr>
        <w:t>SureDeposit</w:t>
      </w:r>
      <w:proofErr w:type="spellEnd"/>
      <w:r w:rsidRPr="00F9550F">
        <w:rPr>
          <w:rFonts w:ascii="Times New Roman" w:hAnsi="Times New Roman" w:cs="Times New Roman"/>
          <w:sz w:val="24"/>
          <w:szCs w:val="24"/>
        </w:rPr>
        <w:t xml:space="preserve"> could prospectively sell such bonds as allowed by the statute.</w:t>
      </w:r>
      <w:r w:rsidR="00AE3C5E" w:rsidRPr="00F9550F">
        <w:rPr>
          <w:rFonts w:ascii="Times New Roman" w:hAnsi="Times New Roman" w:cs="Times New Roman"/>
          <w:sz w:val="24"/>
          <w:szCs w:val="24"/>
        </w:rPr>
        <w:t xml:space="preserve"> </w:t>
      </w:r>
      <w:r w:rsidR="000E6DE7" w:rsidRPr="00F9550F">
        <w:rPr>
          <w:rFonts w:ascii="Times New Roman" w:hAnsi="Times New Roman" w:cs="Times New Roman"/>
          <w:sz w:val="24"/>
          <w:szCs w:val="24"/>
        </w:rPr>
        <w:t xml:space="preserve">As indicated in </w:t>
      </w:r>
      <w:r w:rsidR="00A664B5">
        <w:rPr>
          <w:rFonts w:ascii="Times New Roman" w:hAnsi="Times New Roman" w:cs="Times New Roman"/>
          <w:sz w:val="24"/>
          <w:szCs w:val="24"/>
        </w:rPr>
        <w:t>a</w:t>
      </w:r>
      <w:r w:rsidR="000E6DE7" w:rsidRPr="00F9550F">
        <w:rPr>
          <w:rFonts w:ascii="Times New Roman" w:hAnsi="Times New Roman" w:cs="Times New Roman"/>
          <w:sz w:val="24"/>
          <w:szCs w:val="24"/>
        </w:rPr>
        <w:t xml:space="preserve"> </w:t>
      </w:r>
      <w:hyperlink r:id="rId13" w:history="1">
        <w:r w:rsidR="000E6DE7" w:rsidRPr="002F2130">
          <w:rPr>
            <w:rStyle w:val="Hyperlink"/>
            <w:rFonts w:ascii="Times New Roman" w:hAnsi="Times New Roman" w:cs="Times New Roman"/>
            <w:sz w:val="24"/>
            <w:szCs w:val="24"/>
          </w:rPr>
          <w:t>press release</w:t>
        </w:r>
        <w:r w:rsidR="00A664B5" w:rsidRPr="002F2130">
          <w:rPr>
            <w:rStyle w:val="Hyperlink"/>
            <w:rFonts w:ascii="Times New Roman" w:hAnsi="Times New Roman" w:cs="Times New Roman"/>
            <w:sz w:val="24"/>
            <w:szCs w:val="24"/>
          </w:rPr>
          <w:t xml:space="preserve"> by the AG</w:t>
        </w:r>
        <w:r w:rsidR="00A32F13" w:rsidRPr="002F2130">
          <w:rPr>
            <w:rStyle w:val="Hyperlink"/>
            <w:rFonts w:ascii="Times New Roman" w:hAnsi="Times New Roman" w:cs="Times New Roman"/>
            <w:sz w:val="24"/>
            <w:szCs w:val="24"/>
          </w:rPr>
          <w:t xml:space="preserve"> (Appendix </w:t>
        </w:r>
        <w:r w:rsidR="00553F70" w:rsidRPr="002F2130">
          <w:rPr>
            <w:rStyle w:val="Hyperlink"/>
            <w:rFonts w:ascii="Times New Roman" w:hAnsi="Times New Roman" w:cs="Times New Roman"/>
            <w:sz w:val="24"/>
            <w:szCs w:val="24"/>
          </w:rPr>
          <w:t>3</w:t>
        </w:r>
      </w:hyperlink>
      <w:r w:rsidR="00A32F13" w:rsidRPr="002F2130">
        <w:rPr>
          <w:rFonts w:ascii="Times New Roman" w:hAnsi="Times New Roman" w:cs="Times New Roman"/>
          <w:sz w:val="24"/>
          <w:szCs w:val="24"/>
        </w:rPr>
        <w:t>)</w:t>
      </w:r>
      <w:r w:rsidR="000E6DE7" w:rsidRPr="002F2130">
        <w:rPr>
          <w:rFonts w:ascii="Times New Roman" w:hAnsi="Times New Roman" w:cs="Times New Roman"/>
          <w:sz w:val="24"/>
          <w:szCs w:val="24"/>
        </w:rPr>
        <w:t xml:space="preserve">, </w:t>
      </w:r>
      <w:r w:rsidR="000E6DE7" w:rsidRPr="00F9550F">
        <w:rPr>
          <w:rFonts w:ascii="Times New Roman" w:hAnsi="Times New Roman" w:cs="Times New Roman"/>
          <w:sz w:val="24"/>
          <w:szCs w:val="24"/>
        </w:rPr>
        <w:t xml:space="preserve">the legislature was doing exactly that, no doubt one reason SureDeposit agreed to settle. In the new legislation, bonds are allowed but are significantly regulated, providing the same sort of rights the AG had alleged SureDeposit had not honored pre-settlement. The statute is </w:t>
      </w:r>
      <w:hyperlink r:id="rId14" w:history="1">
        <w:r w:rsidR="000E6DE7" w:rsidRPr="00F9550F">
          <w:rPr>
            <w:rStyle w:val="Hyperlink"/>
            <w:rFonts w:ascii="Times New Roman" w:hAnsi="Times New Roman" w:cs="Times New Roman"/>
            <w:sz w:val="24"/>
            <w:szCs w:val="24"/>
          </w:rPr>
          <w:t>M</w:t>
        </w:r>
        <w:r w:rsidR="00A664B5">
          <w:rPr>
            <w:rStyle w:val="Hyperlink"/>
            <w:rFonts w:ascii="Times New Roman" w:hAnsi="Times New Roman" w:cs="Times New Roman"/>
            <w:sz w:val="24"/>
            <w:szCs w:val="24"/>
          </w:rPr>
          <w:t>d. Code</w:t>
        </w:r>
        <w:r w:rsidR="000E6DE7" w:rsidRPr="00F9550F">
          <w:rPr>
            <w:rStyle w:val="Hyperlink"/>
            <w:rFonts w:ascii="Times New Roman" w:hAnsi="Times New Roman" w:cs="Times New Roman"/>
            <w:sz w:val="24"/>
            <w:szCs w:val="24"/>
          </w:rPr>
          <w:t xml:space="preserve"> § 8-203</w:t>
        </w:r>
      </w:hyperlink>
      <w:r w:rsidR="000E6DE7" w:rsidRPr="00F9550F">
        <w:rPr>
          <w:rFonts w:ascii="Times New Roman" w:hAnsi="Times New Roman" w:cs="Times New Roman"/>
          <w:sz w:val="24"/>
          <w:szCs w:val="24"/>
        </w:rPr>
        <w:t xml:space="preserve">, with the new </w:t>
      </w:r>
      <w:r w:rsidR="00C1740A" w:rsidRPr="00F9550F">
        <w:rPr>
          <w:rFonts w:ascii="Times New Roman" w:hAnsi="Times New Roman" w:cs="Times New Roman"/>
          <w:sz w:val="24"/>
          <w:szCs w:val="24"/>
        </w:rPr>
        <w:t>law</w:t>
      </w:r>
      <w:r w:rsidR="000E6DE7" w:rsidRPr="00F9550F">
        <w:rPr>
          <w:rFonts w:ascii="Times New Roman" w:hAnsi="Times New Roman" w:cs="Times New Roman"/>
          <w:sz w:val="24"/>
          <w:szCs w:val="24"/>
        </w:rPr>
        <w:t xml:space="preserve"> being the part headed “Surety bonds”.</w:t>
      </w:r>
    </w:p>
    <w:p w:rsidR="00DB210E" w:rsidRPr="00F9550F" w:rsidRDefault="00DB210E" w:rsidP="00DB210E">
      <w:pPr>
        <w:ind w:left="720"/>
        <w:rPr>
          <w:rFonts w:ascii="Times New Roman" w:hAnsi="Times New Roman" w:cs="Times New Roman"/>
          <w:sz w:val="24"/>
          <w:szCs w:val="24"/>
          <w:u w:val="single"/>
        </w:rPr>
      </w:pPr>
      <w:r w:rsidRPr="00F9550F">
        <w:rPr>
          <w:rFonts w:ascii="Times New Roman" w:hAnsi="Times New Roman" w:cs="Times New Roman"/>
          <w:sz w:val="24"/>
          <w:szCs w:val="24"/>
          <w:u w:val="single"/>
        </w:rPr>
        <w:t>Ohio direct case</w:t>
      </w:r>
    </w:p>
    <w:p w:rsidR="002C42B4" w:rsidRPr="002C42B4" w:rsidRDefault="002C42B4" w:rsidP="002C42B4">
      <w:pPr>
        <w:ind w:left="1440"/>
        <w:rPr>
          <w:rFonts w:ascii="Times New Roman" w:hAnsi="Times New Roman" w:cs="Times New Roman"/>
          <w:color w:val="222222"/>
          <w:sz w:val="24"/>
          <w:szCs w:val="24"/>
          <w:u w:val="single"/>
          <w:shd w:val="clear" w:color="auto" w:fill="FFFFFF"/>
        </w:rPr>
      </w:pPr>
      <w:r w:rsidRPr="002C42B4">
        <w:rPr>
          <w:rFonts w:ascii="Times New Roman" w:hAnsi="Times New Roman" w:cs="Times New Roman"/>
          <w:color w:val="222222"/>
          <w:sz w:val="24"/>
          <w:szCs w:val="24"/>
          <w:u w:val="single"/>
          <w:shd w:val="clear" w:color="auto" w:fill="FFFFFF"/>
        </w:rPr>
        <w:t>Facts</w:t>
      </w:r>
      <w:r w:rsidRPr="00F9550F">
        <w:rPr>
          <w:rStyle w:val="FootnoteReference"/>
          <w:rFonts w:ascii="Times New Roman" w:hAnsi="Times New Roman" w:cs="Times New Roman"/>
          <w:color w:val="222222"/>
          <w:sz w:val="24"/>
          <w:szCs w:val="24"/>
          <w:shd w:val="clear" w:color="auto" w:fill="FFFFFF"/>
        </w:rPr>
        <w:footnoteReference w:id="16"/>
      </w:r>
    </w:p>
    <w:p w:rsidR="004E33D2" w:rsidRDefault="00D67FA2"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The Ohio case is </w:t>
      </w:r>
      <w:hyperlink r:id="rId15" w:tgtFrame="_blank" w:history="1">
        <w:r w:rsidRPr="00F9550F">
          <w:rPr>
            <w:rStyle w:val="Hyperlink"/>
            <w:rFonts w:ascii="Times New Roman" w:hAnsi="Times New Roman" w:cs="Times New Roman"/>
            <w:i/>
            <w:iCs/>
            <w:color w:val="1155CC"/>
            <w:sz w:val="24"/>
            <w:szCs w:val="24"/>
            <w:shd w:val="clear" w:color="auto" w:fill="FFFFFF"/>
          </w:rPr>
          <w:t>Kopp v. Associated Estates Realty</w:t>
        </w:r>
        <w:r w:rsidRPr="00F9550F">
          <w:rPr>
            <w:rStyle w:val="Hyperlink"/>
            <w:rFonts w:ascii="Times New Roman" w:hAnsi="Times New Roman" w:cs="Times New Roman"/>
            <w:color w:val="1155CC"/>
            <w:sz w:val="24"/>
            <w:szCs w:val="24"/>
            <w:shd w:val="clear" w:color="auto" w:fill="FFFFFF"/>
          </w:rPr>
          <w:t> Corp., 2010 Ohio 1690 (Ohio Ct. App. 10</w:t>
        </w:r>
        <w:r w:rsidRPr="00F9550F">
          <w:rPr>
            <w:rStyle w:val="Hyperlink"/>
            <w:rFonts w:ascii="Times New Roman" w:hAnsi="Times New Roman" w:cs="Times New Roman"/>
            <w:color w:val="1155CC"/>
            <w:sz w:val="24"/>
            <w:szCs w:val="24"/>
            <w:shd w:val="clear" w:color="auto" w:fill="FFFFFF"/>
            <w:vertAlign w:val="superscript"/>
          </w:rPr>
          <w:t>th</w:t>
        </w:r>
        <w:r w:rsidRPr="00F9550F">
          <w:rPr>
            <w:rStyle w:val="Hyperlink"/>
            <w:rFonts w:ascii="Times New Roman" w:hAnsi="Times New Roman" w:cs="Times New Roman"/>
            <w:color w:val="1155CC"/>
            <w:sz w:val="24"/>
            <w:szCs w:val="24"/>
            <w:shd w:val="clear" w:color="auto" w:fill="FFFFFF"/>
          </w:rPr>
          <w:t xml:space="preserve"> Dist</w:t>
        </w:r>
        <w:r w:rsidR="00044330">
          <w:rPr>
            <w:rStyle w:val="Hyperlink"/>
            <w:rFonts w:ascii="Times New Roman" w:hAnsi="Times New Roman" w:cs="Times New Roman"/>
            <w:color w:val="1155CC"/>
            <w:sz w:val="24"/>
            <w:szCs w:val="24"/>
            <w:shd w:val="clear" w:color="auto" w:fill="FFFFFF"/>
          </w:rPr>
          <w:t>.</w:t>
        </w:r>
        <w:r w:rsidRPr="00F9550F">
          <w:rPr>
            <w:rStyle w:val="Hyperlink"/>
            <w:rFonts w:ascii="Times New Roman" w:hAnsi="Times New Roman" w:cs="Times New Roman"/>
            <w:color w:val="1155CC"/>
            <w:sz w:val="24"/>
            <w:szCs w:val="24"/>
            <w:shd w:val="clear" w:color="auto" w:fill="FFFFFF"/>
          </w:rPr>
          <w:t xml:space="preserve"> 2010)</w:t>
        </w:r>
      </w:hyperlink>
      <w:r w:rsidRPr="00F9550F">
        <w:rPr>
          <w:rFonts w:ascii="Times New Roman" w:hAnsi="Times New Roman" w:cs="Times New Roman"/>
          <w:color w:val="222222"/>
          <w:sz w:val="24"/>
          <w:szCs w:val="24"/>
          <w:shd w:val="clear" w:color="auto" w:fill="FFFFFF"/>
        </w:rPr>
        <w:t xml:space="preserve"> . The tenants, Kyle and Melanie Kopp, were given a choice of paying </w:t>
      </w:r>
      <w:r w:rsidR="00B449F9" w:rsidRPr="00F9550F">
        <w:rPr>
          <w:rFonts w:ascii="Times New Roman" w:hAnsi="Times New Roman" w:cs="Times New Roman"/>
          <w:color w:val="222222"/>
          <w:sz w:val="24"/>
          <w:szCs w:val="24"/>
          <w:shd w:val="clear" w:color="auto" w:fill="FFFFFF"/>
        </w:rPr>
        <w:t>an</w:t>
      </w:r>
      <w:r w:rsidRPr="00F9550F">
        <w:rPr>
          <w:rFonts w:ascii="Times New Roman" w:hAnsi="Times New Roman" w:cs="Times New Roman"/>
          <w:color w:val="222222"/>
          <w:sz w:val="24"/>
          <w:szCs w:val="24"/>
          <w:shd w:val="clear" w:color="auto" w:fill="FFFFFF"/>
        </w:rPr>
        <w:t xml:space="preserve"> $840 deposit or buying a $2500 bond from SureDeposit for a premium of $437.50. The</w:t>
      </w:r>
      <w:r w:rsidR="00BC656F" w:rsidRPr="00F9550F">
        <w:rPr>
          <w:rFonts w:ascii="Times New Roman" w:hAnsi="Times New Roman" w:cs="Times New Roman"/>
          <w:color w:val="222222"/>
          <w:sz w:val="24"/>
          <w:szCs w:val="24"/>
          <w:shd w:val="clear" w:color="auto" w:fill="FFFFFF"/>
        </w:rPr>
        <w:t>y bought the bond.</w:t>
      </w:r>
      <w:r w:rsidR="00BC656F" w:rsidRPr="00F9550F">
        <w:rPr>
          <w:rStyle w:val="FootnoteReference"/>
          <w:rFonts w:ascii="Times New Roman" w:hAnsi="Times New Roman" w:cs="Times New Roman"/>
          <w:color w:val="222222"/>
          <w:sz w:val="24"/>
          <w:szCs w:val="24"/>
          <w:shd w:val="clear" w:color="auto" w:fill="FFFFFF"/>
        </w:rPr>
        <w:t xml:space="preserve"> </w:t>
      </w:r>
      <w:r w:rsidR="004E33D2" w:rsidRPr="00F9550F">
        <w:rPr>
          <w:rFonts w:ascii="Times New Roman" w:hAnsi="Times New Roman" w:cs="Times New Roman"/>
          <w:color w:val="222222"/>
          <w:sz w:val="24"/>
          <w:szCs w:val="24"/>
          <w:shd w:val="clear" w:color="auto" w:fill="FFFFFF"/>
        </w:rPr>
        <w:t>SureDeposit kicked back 20% of that, $87.50</w:t>
      </w:r>
      <w:r w:rsidR="00066991">
        <w:rPr>
          <w:rFonts w:ascii="Times New Roman" w:hAnsi="Times New Roman" w:cs="Times New Roman"/>
          <w:color w:val="222222"/>
          <w:sz w:val="24"/>
          <w:szCs w:val="24"/>
          <w:shd w:val="clear" w:color="auto" w:fill="FFFFFF"/>
        </w:rPr>
        <w:t>,</w:t>
      </w:r>
      <w:r w:rsidR="004E33D2" w:rsidRPr="00F9550F">
        <w:rPr>
          <w:rFonts w:ascii="Times New Roman" w:hAnsi="Times New Roman" w:cs="Times New Roman"/>
          <w:color w:val="222222"/>
          <w:sz w:val="24"/>
          <w:szCs w:val="24"/>
          <w:shd w:val="clear" w:color="auto" w:fill="FFFFFF"/>
        </w:rPr>
        <w:t xml:space="preserve"> to Associated Estates Realty Corp (“AERC”).</w:t>
      </w:r>
      <w:r w:rsidR="004E33D2" w:rsidRPr="00F9550F">
        <w:rPr>
          <w:rStyle w:val="FootnoteReference"/>
          <w:rFonts w:ascii="Times New Roman" w:hAnsi="Times New Roman" w:cs="Times New Roman"/>
          <w:color w:val="222222"/>
          <w:sz w:val="24"/>
          <w:szCs w:val="24"/>
          <w:shd w:val="clear" w:color="auto" w:fill="FFFFFF"/>
        </w:rPr>
        <w:footnoteReference w:id="17"/>
      </w:r>
      <w:r w:rsidR="004E33D2" w:rsidRPr="00F9550F">
        <w:rPr>
          <w:rFonts w:ascii="Times New Roman" w:hAnsi="Times New Roman" w:cs="Times New Roman"/>
          <w:color w:val="222222"/>
          <w:sz w:val="24"/>
          <w:szCs w:val="24"/>
          <w:shd w:val="clear" w:color="auto" w:fill="FFFFFF"/>
        </w:rPr>
        <w:t xml:space="preserve"> </w:t>
      </w:r>
    </w:p>
    <w:p w:rsidR="006322F2" w:rsidRPr="00F9550F" w:rsidRDefault="004E33D2" w:rsidP="00D67FA2">
      <w:pP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At the end of their tenancy, t</w:t>
      </w:r>
      <w:r w:rsidR="00D67FA2" w:rsidRPr="00F9550F">
        <w:rPr>
          <w:rFonts w:ascii="Times New Roman" w:hAnsi="Times New Roman" w:cs="Times New Roman"/>
          <w:color w:val="222222"/>
          <w:sz w:val="24"/>
          <w:szCs w:val="24"/>
          <w:shd w:val="clear" w:color="auto" w:fill="FFFFFF"/>
        </w:rPr>
        <w:t>hey did not recei</w:t>
      </w:r>
      <w:r w:rsidR="00A37D56">
        <w:rPr>
          <w:rFonts w:ascii="Times New Roman" w:hAnsi="Times New Roman" w:cs="Times New Roman"/>
          <w:color w:val="222222"/>
          <w:sz w:val="24"/>
          <w:szCs w:val="24"/>
          <w:shd w:val="clear" w:color="auto" w:fill="FFFFFF"/>
        </w:rPr>
        <w:t xml:space="preserve">ve the itemized list of damages required </w:t>
      </w:r>
      <w:r w:rsidR="00D67FA2" w:rsidRPr="00F9550F">
        <w:rPr>
          <w:rFonts w:ascii="Times New Roman" w:hAnsi="Times New Roman" w:cs="Times New Roman"/>
          <w:color w:val="222222"/>
          <w:sz w:val="24"/>
          <w:szCs w:val="24"/>
          <w:shd w:val="clear" w:color="auto" w:fill="FFFFFF"/>
        </w:rPr>
        <w:t xml:space="preserve">by </w:t>
      </w:r>
      <w:hyperlink r:id="rId16" w:history="1">
        <w:r w:rsidR="00637930" w:rsidRPr="00F9550F">
          <w:rPr>
            <w:rStyle w:val="Hyperlink"/>
            <w:rFonts w:ascii="Times New Roman" w:hAnsi="Times New Roman" w:cs="Times New Roman"/>
            <w:sz w:val="24"/>
            <w:szCs w:val="24"/>
            <w:shd w:val="clear" w:color="auto" w:fill="FFFFFF"/>
          </w:rPr>
          <w:t>Ohio R.C. 5321.1</w:t>
        </w:r>
        <w:r w:rsidR="00672E9A" w:rsidRPr="00F9550F">
          <w:rPr>
            <w:rStyle w:val="Hyperlink"/>
            <w:rFonts w:ascii="Times New Roman" w:hAnsi="Times New Roman" w:cs="Times New Roman"/>
            <w:sz w:val="24"/>
            <w:szCs w:val="24"/>
            <w:shd w:val="clear" w:color="auto" w:fill="FFFFFF"/>
          </w:rPr>
          <w:t>6(B)</w:t>
        </w:r>
      </w:hyperlink>
      <w:r w:rsidR="00BC656F" w:rsidRPr="00F9550F">
        <w:rPr>
          <w:rFonts w:ascii="Times New Roman" w:hAnsi="Times New Roman" w:cs="Times New Roman"/>
          <w:color w:val="222222"/>
          <w:sz w:val="24"/>
          <w:szCs w:val="24"/>
          <w:shd w:val="clear" w:color="auto" w:fill="FFFFFF"/>
        </w:rPr>
        <w:t>.</w:t>
      </w:r>
      <w:r w:rsidR="00672E9A" w:rsidRPr="00F9550F">
        <w:rPr>
          <w:rStyle w:val="FootnoteReference"/>
          <w:rFonts w:ascii="Times New Roman" w:hAnsi="Times New Roman" w:cs="Times New Roman"/>
          <w:color w:val="222222"/>
          <w:sz w:val="24"/>
          <w:szCs w:val="24"/>
          <w:shd w:val="clear" w:color="auto" w:fill="FFFFFF"/>
        </w:rPr>
        <w:footnoteReference w:id="18"/>
      </w:r>
      <w:r w:rsidR="00637930" w:rsidRPr="00F9550F">
        <w:rPr>
          <w:rFonts w:ascii="Times New Roman" w:hAnsi="Times New Roman" w:cs="Times New Roman"/>
          <w:color w:val="222222"/>
          <w:sz w:val="24"/>
          <w:szCs w:val="24"/>
          <w:shd w:val="clear" w:color="auto" w:fill="FFFFFF"/>
        </w:rPr>
        <w:t xml:space="preserve"> </w:t>
      </w:r>
    </w:p>
    <w:p w:rsidR="006322F2" w:rsidRPr="00F9550F" w:rsidRDefault="006322F2" w:rsidP="00A858A5">
      <w:pPr>
        <w:ind w:left="720"/>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ab/>
      </w:r>
      <w:r w:rsidRPr="00F9550F">
        <w:rPr>
          <w:rFonts w:ascii="Times New Roman" w:hAnsi="Times New Roman" w:cs="Times New Roman"/>
          <w:color w:val="222222"/>
          <w:sz w:val="24"/>
          <w:szCs w:val="24"/>
          <w:u w:val="single"/>
          <w:shd w:val="clear" w:color="auto" w:fill="FFFFFF"/>
        </w:rPr>
        <w:t>The tenants’ claim that the bond premium was a deposit was rejected</w:t>
      </w:r>
      <w:r w:rsidRPr="00F9550F">
        <w:rPr>
          <w:rFonts w:ascii="Times New Roman" w:hAnsi="Times New Roman" w:cs="Times New Roman"/>
          <w:color w:val="222222"/>
          <w:sz w:val="24"/>
          <w:szCs w:val="24"/>
          <w:shd w:val="clear" w:color="auto" w:fill="FFFFFF"/>
        </w:rPr>
        <w:t>.</w:t>
      </w:r>
    </w:p>
    <w:p w:rsidR="00637930" w:rsidRPr="00F9550F" w:rsidRDefault="00637930"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The</w:t>
      </w:r>
      <w:r w:rsidR="00A07B12" w:rsidRPr="00F9550F">
        <w:rPr>
          <w:rFonts w:ascii="Times New Roman" w:hAnsi="Times New Roman" w:cs="Times New Roman"/>
          <w:color w:val="222222"/>
          <w:sz w:val="24"/>
          <w:szCs w:val="24"/>
          <w:shd w:val="clear" w:color="auto" w:fill="FFFFFF"/>
        </w:rPr>
        <w:t xml:space="preserve"> Kopps</w:t>
      </w:r>
      <w:r w:rsidRPr="00F9550F">
        <w:rPr>
          <w:rFonts w:ascii="Times New Roman" w:hAnsi="Times New Roman" w:cs="Times New Roman"/>
          <w:color w:val="222222"/>
          <w:sz w:val="24"/>
          <w:szCs w:val="24"/>
          <w:shd w:val="clear" w:color="auto" w:fill="FFFFFF"/>
        </w:rPr>
        <w:t xml:space="preserve"> argued that as a result their landlord</w:t>
      </w:r>
      <w:r w:rsidR="00E51377" w:rsidRPr="00F9550F">
        <w:rPr>
          <w:rFonts w:ascii="Times New Roman" w:hAnsi="Times New Roman" w:cs="Times New Roman"/>
          <w:color w:val="222222"/>
          <w:sz w:val="24"/>
          <w:szCs w:val="24"/>
          <w:shd w:val="clear" w:color="auto" w:fill="FFFFFF"/>
        </w:rPr>
        <w:t xml:space="preserve">, </w:t>
      </w:r>
      <w:r w:rsidRPr="00F9550F">
        <w:rPr>
          <w:rFonts w:ascii="Times New Roman" w:hAnsi="Times New Roman" w:cs="Times New Roman"/>
          <w:color w:val="222222"/>
          <w:sz w:val="24"/>
          <w:szCs w:val="24"/>
          <w:shd w:val="clear" w:color="auto" w:fill="FFFFFF"/>
        </w:rPr>
        <w:t>AERC</w:t>
      </w:r>
      <w:r w:rsidR="00E51377" w:rsidRPr="00F9550F">
        <w:rPr>
          <w:rFonts w:ascii="Times New Roman" w:hAnsi="Times New Roman" w:cs="Times New Roman"/>
          <w:color w:val="222222"/>
          <w:sz w:val="24"/>
          <w:szCs w:val="24"/>
          <w:shd w:val="clear" w:color="auto" w:fill="FFFFFF"/>
        </w:rPr>
        <w:t>,</w:t>
      </w:r>
      <w:r w:rsidRPr="00F9550F">
        <w:rPr>
          <w:rFonts w:ascii="Times New Roman" w:hAnsi="Times New Roman" w:cs="Times New Roman"/>
          <w:color w:val="222222"/>
          <w:sz w:val="24"/>
          <w:szCs w:val="24"/>
          <w:shd w:val="clear" w:color="auto" w:fill="FFFFFF"/>
        </w:rPr>
        <w:t xml:space="preserve"> owed them the</w:t>
      </w:r>
      <w:r w:rsidR="00672E9A" w:rsidRPr="00F9550F">
        <w:rPr>
          <w:rFonts w:ascii="Times New Roman" w:hAnsi="Times New Roman" w:cs="Times New Roman"/>
          <w:color w:val="222222"/>
          <w:sz w:val="24"/>
          <w:szCs w:val="24"/>
          <w:shd w:val="clear" w:color="auto" w:fill="FFFFFF"/>
        </w:rPr>
        <w:t xml:space="preserve"> “deposit” (apparently the bond premium) plus the </w:t>
      </w:r>
      <w:r w:rsidRPr="00F9550F">
        <w:rPr>
          <w:rFonts w:ascii="Times New Roman" w:hAnsi="Times New Roman" w:cs="Times New Roman"/>
          <w:color w:val="222222"/>
          <w:sz w:val="24"/>
          <w:szCs w:val="24"/>
          <w:shd w:val="clear" w:color="auto" w:fill="FFFFFF"/>
        </w:rPr>
        <w:t xml:space="preserve">penalties under </w:t>
      </w:r>
      <w:hyperlink r:id="rId17" w:history="1">
        <w:r w:rsidRPr="00F9550F">
          <w:rPr>
            <w:rStyle w:val="Hyperlink"/>
            <w:rFonts w:ascii="Times New Roman" w:hAnsi="Times New Roman" w:cs="Times New Roman"/>
            <w:sz w:val="24"/>
            <w:szCs w:val="24"/>
            <w:shd w:val="clear" w:color="auto" w:fill="FFFFFF"/>
          </w:rPr>
          <w:t>Ohio R.C. 5321.16(C)</w:t>
        </w:r>
      </w:hyperlink>
      <w:r w:rsidR="00725F56" w:rsidRPr="00F9550F">
        <w:rPr>
          <w:rFonts w:ascii="Times New Roman" w:hAnsi="Times New Roman" w:cs="Times New Roman"/>
          <w:color w:val="222222"/>
          <w:sz w:val="24"/>
          <w:szCs w:val="24"/>
          <w:shd w:val="clear" w:color="auto" w:fill="FFFFFF"/>
        </w:rPr>
        <w:t>.</w:t>
      </w:r>
    </w:p>
    <w:p w:rsidR="00725F56" w:rsidRPr="00F9550F" w:rsidRDefault="00725F56"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lastRenderedPageBreak/>
        <w:t>The court rejected this argument. It first quoted the definition of “security deposit” in the Ohio Landlord Tenant Act:</w:t>
      </w:r>
    </w:p>
    <w:p w:rsidR="00725F56" w:rsidRPr="00725F56" w:rsidRDefault="00725F56" w:rsidP="00725F56">
      <w:pPr>
        <w:spacing w:before="100" w:beforeAutospacing="1" w:after="100" w:afterAutospacing="1" w:line="240" w:lineRule="auto"/>
        <w:ind w:left="720"/>
        <w:rPr>
          <w:rFonts w:ascii="Times New Roman" w:eastAsia="Times New Roman" w:hAnsi="Times New Roman" w:cs="Times New Roman"/>
          <w:sz w:val="24"/>
          <w:szCs w:val="24"/>
        </w:rPr>
      </w:pPr>
      <w:r w:rsidRPr="00725F56">
        <w:rPr>
          <w:rFonts w:ascii="Times New Roman" w:eastAsia="Times New Roman" w:hAnsi="Times New Roman" w:cs="Times New Roman"/>
          <w:sz w:val="24"/>
          <w:szCs w:val="24"/>
        </w:rPr>
        <w:t>(E) "Security deposit" means any deposit of money or property to secure performance by the tenant under a rental agreement.</w:t>
      </w:r>
    </w:p>
    <w:p w:rsidR="00725F56" w:rsidRPr="00F9550F" w:rsidRDefault="00D747DA" w:rsidP="00D67FA2">
      <w:pPr>
        <w:rPr>
          <w:rFonts w:ascii="Times New Roman" w:hAnsi="Times New Roman" w:cs="Times New Roman"/>
          <w:color w:val="222222"/>
          <w:sz w:val="24"/>
          <w:szCs w:val="24"/>
          <w:shd w:val="clear" w:color="auto" w:fill="FFFFFF"/>
        </w:rPr>
      </w:pPr>
      <w:hyperlink r:id="rId18" w:history="1">
        <w:r w:rsidR="00725F56" w:rsidRPr="00F9550F">
          <w:rPr>
            <w:rStyle w:val="Hyperlink"/>
            <w:rFonts w:ascii="Times New Roman" w:hAnsi="Times New Roman" w:cs="Times New Roman"/>
            <w:sz w:val="24"/>
            <w:szCs w:val="24"/>
            <w:shd w:val="clear" w:color="auto" w:fill="FFFFFF"/>
          </w:rPr>
          <w:t>Ohio R.C. 5321.01(E</w:t>
        </w:r>
      </w:hyperlink>
      <w:r w:rsidR="00725F56" w:rsidRPr="00F9550F">
        <w:rPr>
          <w:rFonts w:ascii="Times New Roman" w:hAnsi="Times New Roman" w:cs="Times New Roman"/>
          <w:color w:val="222222"/>
          <w:sz w:val="24"/>
          <w:szCs w:val="24"/>
          <w:shd w:val="clear" w:color="auto" w:fill="FFFFFF"/>
        </w:rPr>
        <w:t xml:space="preserve">). Then it quoted </w:t>
      </w:r>
      <w:hyperlink r:id="rId19" w:history="1">
        <w:r w:rsidR="00725F56" w:rsidRPr="00B53ED7">
          <w:rPr>
            <w:rStyle w:val="Hyperlink"/>
            <w:rFonts w:ascii="Times New Roman" w:hAnsi="Times New Roman" w:cs="Times New Roman"/>
            <w:sz w:val="24"/>
            <w:szCs w:val="24"/>
            <w:shd w:val="clear" w:color="auto" w:fill="FFFFFF"/>
          </w:rPr>
          <w:t>section 5321.16(B)</w:t>
        </w:r>
      </w:hyperlink>
      <w:r w:rsidR="00725F56" w:rsidRPr="00F9550F">
        <w:rPr>
          <w:rFonts w:ascii="Times New Roman" w:hAnsi="Times New Roman" w:cs="Times New Roman"/>
          <w:color w:val="222222"/>
          <w:sz w:val="24"/>
          <w:szCs w:val="24"/>
          <w:shd w:val="clear" w:color="auto" w:fill="FFFFFF"/>
        </w:rPr>
        <w:t xml:space="preserve"> which read</w:t>
      </w:r>
      <w:r w:rsidR="004E33D2">
        <w:rPr>
          <w:rFonts w:ascii="Times New Roman" w:hAnsi="Times New Roman" w:cs="Times New Roman"/>
          <w:color w:val="222222"/>
          <w:sz w:val="24"/>
          <w:szCs w:val="24"/>
          <w:shd w:val="clear" w:color="auto" w:fill="FFFFFF"/>
        </w:rPr>
        <w:t>:</w:t>
      </w:r>
    </w:p>
    <w:p w:rsidR="00A07B12" w:rsidRPr="00F9550F" w:rsidRDefault="00725F56" w:rsidP="00BC656F">
      <w:pPr>
        <w:ind w:left="720"/>
        <w:rPr>
          <w:rFonts w:ascii="Times New Roman" w:hAnsi="Times New Roman" w:cs="Times New Roman"/>
          <w:color w:val="222222"/>
          <w:sz w:val="24"/>
          <w:szCs w:val="24"/>
          <w:shd w:val="clear" w:color="auto" w:fill="FFFFFF"/>
        </w:rPr>
      </w:pPr>
      <w:r w:rsidRPr="00F9550F">
        <w:rPr>
          <w:rFonts w:ascii="Times New Roman" w:hAnsi="Times New Roman" w:cs="Times New Roman"/>
          <w:sz w:val="24"/>
          <w:szCs w:val="24"/>
        </w:rPr>
        <w:t xml:space="preserve">(B) Upon termination of the rental agreement any property or money </w:t>
      </w:r>
      <w:r w:rsidRPr="00A32F13">
        <w:rPr>
          <w:rFonts w:ascii="Times New Roman" w:hAnsi="Times New Roman" w:cs="Times New Roman"/>
          <w:sz w:val="24"/>
          <w:szCs w:val="24"/>
          <w:u w:val="single"/>
        </w:rPr>
        <w:t>held</w:t>
      </w:r>
      <w:r w:rsidRPr="00F9550F">
        <w:rPr>
          <w:rFonts w:ascii="Times New Roman" w:hAnsi="Times New Roman" w:cs="Times New Roman"/>
          <w:sz w:val="24"/>
          <w:szCs w:val="24"/>
        </w:rPr>
        <w:t xml:space="preserve"> by the landlord as a security deposit may be applied to the payment of past due rent and to the payment of the amount of damages that the landlord has suffered by reason of the tenant's noncompliance with section </w:t>
      </w:r>
      <w:hyperlink r:id="rId20" w:history="1">
        <w:r w:rsidRPr="00F9550F">
          <w:rPr>
            <w:rStyle w:val="Hyperlink"/>
            <w:rFonts w:ascii="Times New Roman" w:hAnsi="Times New Roman" w:cs="Times New Roman"/>
            <w:sz w:val="24"/>
            <w:szCs w:val="24"/>
          </w:rPr>
          <w:t>5321.05</w:t>
        </w:r>
      </w:hyperlink>
      <w:r w:rsidRPr="00F9550F">
        <w:rPr>
          <w:rFonts w:ascii="Times New Roman" w:hAnsi="Times New Roman" w:cs="Times New Roman"/>
          <w:sz w:val="24"/>
          <w:szCs w:val="24"/>
        </w:rPr>
        <w:t xml:space="preserve"> of the Revised Code or the rental agreement. Any deduction from the security deposit shall be itemized and identified by the landlord in a written notice delivered to the tenant together with the amount due, within thirty days after termination of the rental agreement and delivery of possession. The tenant shall provide the landlord in writing with a forwarding address or new address to which the written notice and amount due from the landlord may be sent. If the tenant fails to provide the landlord with the forwarding or new address as required, the tenant shall not be entitled to damages or attorneys fees under division (C) of this section.</w:t>
      </w:r>
      <w:r w:rsidR="00A32F13">
        <w:rPr>
          <w:rFonts w:ascii="Times New Roman" w:hAnsi="Times New Roman" w:cs="Times New Roman"/>
          <w:sz w:val="24"/>
          <w:szCs w:val="24"/>
        </w:rPr>
        <w:t xml:space="preserve"> [emphasis added]</w:t>
      </w:r>
    </w:p>
    <w:p w:rsidR="00DB210E" w:rsidRPr="00F9550F" w:rsidRDefault="00F86B5E"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In somewhat cursory fashion, the court concluded that s</w:t>
      </w:r>
      <w:r w:rsidR="00BC656F" w:rsidRPr="00F9550F">
        <w:rPr>
          <w:rFonts w:ascii="Times New Roman" w:hAnsi="Times New Roman" w:cs="Times New Roman"/>
          <w:color w:val="222222"/>
          <w:sz w:val="24"/>
          <w:szCs w:val="24"/>
          <w:shd w:val="clear" w:color="auto" w:fill="FFFFFF"/>
        </w:rPr>
        <w:t>ince AERC was not paid the $437.50, “there was no sum of money held by the landlord”. 2010 Ohio 1690, ¶ 13.</w:t>
      </w:r>
      <w:r w:rsidRPr="00F9550F">
        <w:rPr>
          <w:rFonts w:ascii="Times New Roman" w:hAnsi="Times New Roman" w:cs="Times New Roman"/>
          <w:color w:val="222222"/>
          <w:sz w:val="24"/>
          <w:szCs w:val="24"/>
          <w:shd w:val="clear" w:color="auto" w:fill="FFFFFF"/>
        </w:rPr>
        <w:t xml:space="preserve"> Therefore, section 5321.16(B) did not apply. </w:t>
      </w:r>
      <w:r w:rsidRPr="00F9550F">
        <w:rPr>
          <w:rFonts w:ascii="Times New Roman" w:hAnsi="Times New Roman" w:cs="Times New Roman"/>
          <w:i/>
          <w:color w:val="222222"/>
          <w:sz w:val="24"/>
          <w:szCs w:val="24"/>
          <w:shd w:val="clear" w:color="auto" w:fill="FFFFFF"/>
        </w:rPr>
        <w:t>Id</w:t>
      </w:r>
      <w:r w:rsidRPr="00F9550F">
        <w:rPr>
          <w:rFonts w:ascii="Times New Roman" w:hAnsi="Times New Roman" w:cs="Times New Roman"/>
          <w:color w:val="222222"/>
          <w:sz w:val="24"/>
          <w:szCs w:val="24"/>
          <w:shd w:val="clear" w:color="auto" w:fill="FFFFFF"/>
        </w:rPr>
        <w:t>.</w:t>
      </w:r>
    </w:p>
    <w:p w:rsidR="00F86B5E" w:rsidRPr="00F9550F" w:rsidRDefault="00F86B5E"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As to the 20% kickback, the court’s entire reasoning was as follows:</w:t>
      </w:r>
    </w:p>
    <w:p w:rsidR="00F86B5E" w:rsidRPr="00F9550F" w:rsidRDefault="00F86B5E" w:rsidP="00F86B5E">
      <w:pPr>
        <w:ind w:left="720"/>
        <w:rPr>
          <w:rFonts w:ascii="Times New Roman" w:hAnsi="Times New Roman" w:cs="Times New Roman"/>
          <w:sz w:val="24"/>
          <w:szCs w:val="24"/>
        </w:rPr>
      </w:pPr>
      <w:r w:rsidRPr="00F9550F">
        <w:rPr>
          <w:rFonts w:ascii="Times New Roman" w:hAnsi="Times New Roman" w:cs="Times New Roman"/>
          <w:sz w:val="24"/>
          <w:szCs w:val="24"/>
        </w:rPr>
        <w:t>It is not disputed that BIC pays appellee an administrative fee calculated as 20 percent of the total premiums of all bonds purchased by appellee's tenants nationwide. However, it is equally undisputed that appellee does not "retain" any portion of what tenants submit to BIC. Rather, the payment of the administration fee is a transaction separate and apart from the bond premium paid by appellants to BIC and in no way reflects a type of deposit. [quote marks in original]</w:t>
      </w:r>
    </w:p>
    <w:p w:rsidR="00F86B5E" w:rsidRPr="00F9550F" w:rsidRDefault="00F86B5E" w:rsidP="00D67FA2">
      <w:pPr>
        <w:rPr>
          <w:rFonts w:ascii="Times New Roman" w:hAnsi="Times New Roman" w:cs="Times New Roman"/>
          <w:color w:val="222222"/>
          <w:sz w:val="24"/>
          <w:szCs w:val="24"/>
          <w:shd w:val="clear" w:color="auto" w:fill="FFFFFF"/>
        </w:rPr>
      </w:pPr>
      <w:r w:rsidRPr="00F9550F">
        <w:rPr>
          <w:rFonts w:ascii="Times New Roman" w:hAnsi="Times New Roman" w:cs="Times New Roman"/>
          <w:sz w:val="24"/>
          <w:szCs w:val="24"/>
        </w:rPr>
        <w:t xml:space="preserve">Id. at </w:t>
      </w:r>
      <w:r w:rsidRPr="00F9550F">
        <w:rPr>
          <w:rFonts w:ascii="Times New Roman" w:hAnsi="Times New Roman" w:cs="Times New Roman"/>
          <w:color w:val="222222"/>
          <w:sz w:val="24"/>
          <w:szCs w:val="24"/>
          <w:shd w:val="clear" w:color="auto" w:fill="FFFFFF"/>
        </w:rPr>
        <w:t xml:space="preserve">¶ 14. Noteworthy is that neither </w:t>
      </w:r>
      <w:r w:rsidR="00DA7A9C" w:rsidRPr="00F9550F">
        <w:rPr>
          <w:rFonts w:ascii="Times New Roman" w:hAnsi="Times New Roman" w:cs="Times New Roman"/>
          <w:color w:val="222222"/>
          <w:sz w:val="24"/>
          <w:szCs w:val="24"/>
          <w:shd w:val="clear" w:color="auto" w:fill="FFFFFF"/>
        </w:rPr>
        <w:t xml:space="preserve">the </w:t>
      </w:r>
      <w:r w:rsidRPr="00F9550F">
        <w:rPr>
          <w:rFonts w:ascii="Times New Roman" w:hAnsi="Times New Roman" w:cs="Times New Roman"/>
          <w:color w:val="222222"/>
          <w:sz w:val="24"/>
          <w:szCs w:val="24"/>
          <w:shd w:val="clear" w:color="auto" w:fill="FFFFFF"/>
        </w:rPr>
        <w:t>word “retain” nor other tenses of the word (e.g. “retained”) are in the Ohio Landlord Tenant Act.</w:t>
      </w:r>
      <w:r w:rsidR="00DA7A9C" w:rsidRPr="00F9550F">
        <w:rPr>
          <w:rFonts w:ascii="Times New Roman" w:hAnsi="Times New Roman" w:cs="Times New Roman"/>
          <w:color w:val="222222"/>
          <w:sz w:val="24"/>
          <w:szCs w:val="24"/>
          <w:shd w:val="clear" w:color="auto" w:fill="FFFFFF"/>
        </w:rPr>
        <w:t xml:space="preserve"> The proper question is whether the landlord, AERC, “held” the 20%, the $87.50. Essentially the court bought the argument that the trip the $87.50 took – as part of the original $437.50 paid to AERC by the Kopps and then back (in a sense) to AERC as part of a larger payment</w:t>
      </w:r>
      <w:r w:rsidR="00C418D9" w:rsidRPr="00F9550F">
        <w:rPr>
          <w:rFonts w:ascii="Times New Roman" w:hAnsi="Times New Roman" w:cs="Times New Roman"/>
          <w:color w:val="222222"/>
          <w:sz w:val="24"/>
          <w:szCs w:val="24"/>
          <w:shd w:val="clear" w:color="auto" w:fill="FFFFFF"/>
        </w:rPr>
        <w:t xml:space="preserve"> kickback</w:t>
      </w:r>
      <w:r w:rsidR="004E33D2">
        <w:rPr>
          <w:rFonts w:ascii="Times New Roman" w:hAnsi="Times New Roman" w:cs="Times New Roman"/>
          <w:color w:val="222222"/>
          <w:sz w:val="24"/>
          <w:szCs w:val="24"/>
          <w:shd w:val="clear" w:color="auto" w:fill="FFFFFF"/>
        </w:rPr>
        <w:t xml:space="preserve"> payment</w:t>
      </w:r>
      <w:r w:rsidR="00DA7A9C" w:rsidRPr="00F9550F">
        <w:rPr>
          <w:rFonts w:ascii="Times New Roman" w:hAnsi="Times New Roman" w:cs="Times New Roman"/>
          <w:color w:val="222222"/>
          <w:sz w:val="24"/>
          <w:szCs w:val="24"/>
          <w:shd w:val="clear" w:color="auto" w:fill="FFFFFF"/>
        </w:rPr>
        <w:t xml:space="preserve"> for several bonds</w:t>
      </w:r>
      <w:r w:rsidR="00C418D9" w:rsidRPr="00F9550F">
        <w:rPr>
          <w:rStyle w:val="FootnoteReference"/>
          <w:rFonts w:ascii="Times New Roman" w:hAnsi="Times New Roman" w:cs="Times New Roman"/>
          <w:color w:val="222222"/>
          <w:sz w:val="24"/>
          <w:szCs w:val="24"/>
          <w:shd w:val="clear" w:color="auto" w:fill="FFFFFF"/>
        </w:rPr>
        <w:footnoteReference w:id="19"/>
      </w:r>
      <w:r w:rsidR="00DA7A9C" w:rsidRPr="00F9550F">
        <w:rPr>
          <w:rFonts w:ascii="Times New Roman" w:hAnsi="Times New Roman" w:cs="Times New Roman"/>
          <w:color w:val="222222"/>
          <w:sz w:val="24"/>
          <w:szCs w:val="24"/>
          <w:shd w:val="clear" w:color="auto" w:fill="FFFFFF"/>
        </w:rPr>
        <w:t xml:space="preserve"> – rendered it not a deposit payment. At worst, this is circular reasoning. At best it strikes me as elevati</w:t>
      </w:r>
      <w:r w:rsidR="007119F1">
        <w:rPr>
          <w:rFonts w:ascii="Times New Roman" w:hAnsi="Times New Roman" w:cs="Times New Roman"/>
          <w:color w:val="222222"/>
          <w:sz w:val="24"/>
          <w:szCs w:val="24"/>
          <w:shd w:val="clear" w:color="auto" w:fill="FFFFFF"/>
        </w:rPr>
        <w:t>ng form over substance</w:t>
      </w:r>
      <w:r w:rsidR="00DA7A9C" w:rsidRPr="00F9550F">
        <w:rPr>
          <w:rFonts w:ascii="Times New Roman" w:hAnsi="Times New Roman" w:cs="Times New Roman"/>
          <w:color w:val="222222"/>
          <w:sz w:val="24"/>
          <w:szCs w:val="24"/>
          <w:shd w:val="clear" w:color="auto" w:fill="FFFFFF"/>
        </w:rPr>
        <w:t>.</w:t>
      </w:r>
    </w:p>
    <w:p w:rsidR="00ED7F5B" w:rsidRPr="00F9550F" w:rsidRDefault="00ED7F5B" w:rsidP="00D67FA2">
      <w:pPr>
        <w:rPr>
          <w:rFonts w:ascii="Times New Roman" w:eastAsia="Times New Roman" w:hAnsi="Times New Roman" w:cs="Times New Roman"/>
          <w:sz w:val="24"/>
          <w:szCs w:val="24"/>
        </w:rPr>
      </w:pPr>
      <w:r w:rsidRPr="00F9550F">
        <w:rPr>
          <w:rFonts w:ascii="Times New Roman" w:hAnsi="Times New Roman" w:cs="Times New Roman"/>
          <w:color w:val="222222"/>
          <w:sz w:val="24"/>
          <w:szCs w:val="24"/>
          <w:shd w:val="clear" w:color="auto" w:fill="FFFFFF"/>
        </w:rPr>
        <w:t>What the court did not discuss was whether the $87.50, even if “held by the landlord”</w:t>
      </w:r>
      <w:r w:rsidR="00C418D9" w:rsidRPr="00F9550F">
        <w:rPr>
          <w:rFonts w:ascii="Times New Roman" w:hAnsi="Times New Roman" w:cs="Times New Roman"/>
          <w:color w:val="222222"/>
          <w:sz w:val="24"/>
          <w:szCs w:val="24"/>
          <w:shd w:val="clear" w:color="auto" w:fill="FFFFFF"/>
        </w:rPr>
        <w:t>,</w:t>
      </w:r>
      <w:r w:rsidRPr="00F9550F">
        <w:rPr>
          <w:rFonts w:ascii="Times New Roman" w:hAnsi="Times New Roman" w:cs="Times New Roman"/>
          <w:color w:val="222222"/>
          <w:sz w:val="24"/>
          <w:szCs w:val="24"/>
          <w:shd w:val="clear" w:color="auto" w:fill="FFFFFF"/>
        </w:rPr>
        <w:t xml:space="preserve"> was </w:t>
      </w:r>
      <w:r w:rsidR="00C418D9" w:rsidRPr="00F9550F">
        <w:rPr>
          <w:rFonts w:ascii="Times New Roman" w:hAnsi="Times New Roman" w:cs="Times New Roman"/>
          <w:color w:val="222222"/>
          <w:sz w:val="24"/>
          <w:szCs w:val="24"/>
          <w:shd w:val="clear" w:color="auto" w:fill="FFFFFF"/>
        </w:rPr>
        <w:t xml:space="preserve">a </w:t>
      </w:r>
      <w:r w:rsidRPr="00F9550F">
        <w:rPr>
          <w:rFonts w:ascii="Times New Roman" w:hAnsi="Times New Roman" w:cs="Times New Roman"/>
          <w:color w:val="222222"/>
          <w:sz w:val="24"/>
          <w:szCs w:val="24"/>
          <w:shd w:val="clear" w:color="auto" w:fill="FFFFFF"/>
        </w:rPr>
        <w:t>“</w:t>
      </w:r>
      <w:r w:rsidRPr="00725F56">
        <w:rPr>
          <w:rFonts w:ascii="Times New Roman" w:eastAsia="Times New Roman" w:hAnsi="Times New Roman" w:cs="Times New Roman"/>
          <w:sz w:val="24"/>
          <w:szCs w:val="24"/>
        </w:rPr>
        <w:t>deposit of money or property to secure performance by the tenant</w:t>
      </w:r>
      <w:r w:rsidRPr="00F9550F">
        <w:rPr>
          <w:rFonts w:ascii="Times New Roman" w:eastAsia="Times New Roman" w:hAnsi="Times New Roman" w:cs="Times New Roman"/>
          <w:sz w:val="24"/>
          <w:szCs w:val="24"/>
        </w:rPr>
        <w:t xml:space="preserve">” under the definition in </w:t>
      </w:r>
      <w:r w:rsidRPr="00F9550F">
        <w:rPr>
          <w:rFonts w:ascii="Times New Roman" w:eastAsia="Times New Roman" w:hAnsi="Times New Roman" w:cs="Times New Roman"/>
          <w:sz w:val="24"/>
          <w:szCs w:val="24"/>
        </w:rPr>
        <w:lastRenderedPageBreak/>
        <w:t>section 5321.01.</w:t>
      </w:r>
      <w:r w:rsidR="00C418D9" w:rsidRPr="00F9550F">
        <w:rPr>
          <w:rFonts w:ascii="Times New Roman" w:eastAsia="Times New Roman" w:hAnsi="Times New Roman" w:cs="Times New Roman"/>
          <w:sz w:val="24"/>
          <w:szCs w:val="24"/>
        </w:rPr>
        <w:t xml:space="preserve"> </w:t>
      </w:r>
      <w:hyperlink r:id="rId21" w:history="1">
        <w:r w:rsidR="00D71E68" w:rsidRPr="00777762">
          <w:rPr>
            <w:rStyle w:val="Hyperlink"/>
            <w:rFonts w:ascii="Times New Roman" w:hAnsi="Times New Roman" w:cs="Times New Roman"/>
            <w:sz w:val="24"/>
            <w:szCs w:val="24"/>
            <w:shd w:val="clear" w:color="auto" w:fill="FFFFFF"/>
          </w:rPr>
          <w:t>AERC’s brief (Appendix 5)</w:t>
        </w:r>
      </w:hyperlink>
      <w:r w:rsidR="00D71E68">
        <w:rPr>
          <w:rFonts w:ascii="Times New Roman" w:hAnsi="Times New Roman" w:cs="Times New Roman"/>
          <w:sz w:val="24"/>
          <w:szCs w:val="24"/>
          <w:shd w:val="clear" w:color="auto" w:fill="FFFFFF"/>
        </w:rPr>
        <w:t xml:space="preserve"> </w:t>
      </w:r>
      <w:r w:rsidR="00C418D9" w:rsidRPr="00F9550F">
        <w:rPr>
          <w:rFonts w:ascii="Times New Roman" w:eastAsia="Times New Roman" w:hAnsi="Times New Roman" w:cs="Times New Roman"/>
          <w:sz w:val="24"/>
          <w:szCs w:val="24"/>
        </w:rPr>
        <w:t>(pages 10-11) raised this issue, which seems to me to be important, probably crucially important. The direct security was the bond, not the premium.</w:t>
      </w:r>
    </w:p>
    <w:p w:rsidR="00C418D9" w:rsidRPr="00F9550F" w:rsidRDefault="00C418D9" w:rsidP="00D67FA2">
      <w:pPr>
        <w:rPr>
          <w:rFonts w:ascii="Times New Roman" w:eastAsia="Times New Roman" w:hAnsi="Times New Roman" w:cs="Times New Roman"/>
          <w:sz w:val="24"/>
          <w:szCs w:val="24"/>
        </w:rPr>
      </w:pPr>
      <w:r w:rsidRPr="00F9550F">
        <w:rPr>
          <w:rFonts w:ascii="Times New Roman" w:eastAsia="Times New Roman" w:hAnsi="Times New Roman" w:cs="Times New Roman"/>
          <w:sz w:val="24"/>
          <w:szCs w:val="24"/>
        </w:rPr>
        <w:t xml:space="preserve">The Kopps’ brief </w:t>
      </w:r>
      <w:hyperlink r:id="rId22" w:history="1">
        <w:r w:rsidR="00D36CDA">
          <w:rPr>
            <w:rStyle w:val="Hyperlink"/>
            <w:rFonts w:ascii="Times New Roman" w:hAnsi="Times New Roman" w:cs="Times New Roman"/>
            <w:sz w:val="24"/>
            <w:szCs w:val="24"/>
            <w:shd w:val="clear" w:color="auto" w:fill="FFFFFF"/>
          </w:rPr>
          <w:t>(Appendix 4)</w:t>
        </w:r>
      </w:hyperlink>
      <w:r w:rsidR="00D36CDA">
        <w:rPr>
          <w:rFonts w:ascii="Times New Roman" w:eastAsia="Times New Roman" w:hAnsi="Times New Roman" w:cs="Times New Roman"/>
          <w:sz w:val="24"/>
          <w:szCs w:val="24"/>
        </w:rPr>
        <w:t xml:space="preserve"> d</w:t>
      </w:r>
      <w:r w:rsidRPr="00F9550F">
        <w:rPr>
          <w:rFonts w:ascii="Times New Roman" w:eastAsia="Times New Roman" w:hAnsi="Times New Roman" w:cs="Times New Roman"/>
          <w:sz w:val="24"/>
          <w:szCs w:val="24"/>
        </w:rPr>
        <w:t>id discuss this issue</w:t>
      </w:r>
      <w:r w:rsidR="003D0469">
        <w:rPr>
          <w:rFonts w:ascii="Times New Roman" w:eastAsia="Times New Roman" w:hAnsi="Times New Roman" w:cs="Times New Roman"/>
          <w:sz w:val="24"/>
          <w:szCs w:val="24"/>
        </w:rPr>
        <w:t xml:space="preserve"> on page</w:t>
      </w:r>
      <w:r w:rsidRPr="00F9550F">
        <w:rPr>
          <w:rFonts w:ascii="Times New Roman" w:eastAsia="Times New Roman" w:hAnsi="Times New Roman" w:cs="Times New Roman"/>
          <w:sz w:val="24"/>
          <w:szCs w:val="24"/>
        </w:rPr>
        <w:t xml:space="preserve"> 7. It argued as follows. Suppose AERC had the Kopps pay a </w:t>
      </w:r>
      <w:r w:rsidR="00A32F13">
        <w:rPr>
          <w:rFonts w:ascii="Times New Roman" w:eastAsia="Times New Roman" w:hAnsi="Times New Roman" w:cs="Times New Roman"/>
          <w:sz w:val="24"/>
          <w:szCs w:val="24"/>
        </w:rPr>
        <w:t>“</w:t>
      </w:r>
      <w:r w:rsidRPr="00F9550F">
        <w:rPr>
          <w:rFonts w:ascii="Times New Roman" w:eastAsia="Times New Roman" w:hAnsi="Times New Roman" w:cs="Times New Roman"/>
          <w:sz w:val="24"/>
          <w:szCs w:val="24"/>
        </w:rPr>
        <w:t xml:space="preserve">non-refundable </w:t>
      </w:r>
      <w:r w:rsidR="009D21CB" w:rsidRPr="00F9550F">
        <w:rPr>
          <w:rFonts w:ascii="Times New Roman" w:eastAsia="Times New Roman" w:hAnsi="Times New Roman" w:cs="Times New Roman"/>
          <w:sz w:val="24"/>
          <w:szCs w:val="24"/>
        </w:rPr>
        <w:t>security fee</w:t>
      </w:r>
      <w:r w:rsidR="00A32F13">
        <w:rPr>
          <w:rFonts w:ascii="Times New Roman" w:eastAsia="Times New Roman" w:hAnsi="Times New Roman" w:cs="Times New Roman"/>
          <w:sz w:val="24"/>
          <w:szCs w:val="24"/>
        </w:rPr>
        <w:t>”</w:t>
      </w:r>
      <w:r w:rsidR="009D21CB" w:rsidRPr="00F9550F">
        <w:rPr>
          <w:rFonts w:ascii="Times New Roman" w:eastAsia="Times New Roman" w:hAnsi="Times New Roman" w:cs="Times New Roman"/>
          <w:sz w:val="24"/>
          <w:szCs w:val="24"/>
        </w:rPr>
        <w:t xml:space="preserve"> of $437.50 and then used the $437.50, or 80% of that, to buy $2500 in insurance from SureDeposit. I.e., the actual transaction might have been different in form but it was the same in substance as this </w:t>
      </w:r>
      <w:r w:rsidR="0050612D" w:rsidRPr="00F9550F">
        <w:rPr>
          <w:rFonts w:ascii="Times New Roman" w:eastAsia="Times New Roman" w:hAnsi="Times New Roman" w:cs="Times New Roman"/>
          <w:sz w:val="24"/>
          <w:szCs w:val="24"/>
        </w:rPr>
        <w:t>“</w:t>
      </w:r>
      <w:r w:rsidR="009D21CB" w:rsidRPr="00F9550F">
        <w:rPr>
          <w:rFonts w:ascii="Times New Roman" w:eastAsia="Times New Roman" w:hAnsi="Times New Roman" w:cs="Times New Roman"/>
          <w:sz w:val="24"/>
          <w:szCs w:val="24"/>
        </w:rPr>
        <w:t>non-refundable security fee</w:t>
      </w:r>
      <w:r w:rsidR="0050612D" w:rsidRPr="00F9550F">
        <w:rPr>
          <w:rFonts w:ascii="Times New Roman" w:eastAsia="Times New Roman" w:hAnsi="Times New Roman" w:cs="Times New Roman"/>
          <w:sz w:val="24"/>
          <w:szCs w:val="24"/>
        </w:rPr>
        <w:t xml:space="preserve">”, and such fees are </w:t>
      </w:r>
      <w:r w:rsidR="009D21CB" w:rsidRPr="00F9550F">
        <w:rPr>
          <w:rFonts w:ascii="Times New Roman" w:eastAsia="Times New Roman" w:hAnsi="Times New Roman" w:cs="Times New Roman"/>
          <w:sz w:val="24"/>
          <w:szCs w:val="24"/>
        </w:rPr>
        <w:t>rendered refundable by the Ohio Landlord Tenant Act</w:t>
      </w:r>
      <w:r w:rsidR="005A7CC0" w:rsidRPr="00F9550F">
        <w:rPr>
          <w:rFonts w:ascii="Times New Roman" w:eastAsia="Times New Roman" w:hAnsi="Times New Roman" w:cs="Times New Roman"/>
          <w:sz w:val="24"/>
          <w:szCs w:val="24"/>
        </w:rPr>
        <w:t>.</w:t>
      </w:r>
    </w:p>
    <w:p w:rsidR="005A7CC0" w:rsidRPr="00F9550F" w:rsidRDefault="005A7CC0" w:rsidP="00D67FA2">
      <w:pPr>
        <w:rPr>
          <w:rFonts w:ascii="Times New Roman" w:eastAsia="Times New Roman" w:hAnsi="Times New Roman" w:cs="Times New Roman"/>
          <w:sz w:val="24"/>
          <w:szCs w:val="24"/>
        </w:rPr>
      </w:pPr>
      <w:r w:rsidRPr="00F9550F">
        <w:rPr>
          <w:rFonts w:ascii="Times New Roman" w:eastAsia="Times New Roman" w:hAnsi="Times New Roman" w:cs="Times New Roman"/>
          <w:sz w:val="24"/>
          <w:szCs w:val="24"/>
        </w:rPr>
        <w:t>That seems to me to be the tenants’ strongest argument that the full $437.50 i</w:t>
      </w:r>
      <w:r w:rsidR="003D0469">
        <w:rPr>
          <w:rFonts w:ascii="Times New Roman" w:eastAsia="Times New Roman" w:hAnsi="Times New Roman" w:cs="Times New Roman"/>
          <w:sz w:val="24"/>
          <w:szCs w:val="24"/>
        </w:rPr>
        <w:t>s actually a security deposit. However, t</w:t>
      </w:r>
      <w:r w:rsidRPr="00F9550F">
        <w:rPr>
          <w:rFonts w:ascii="Times New Roman" w:eastAsia="Times New Roman" w:hAnsi="Times New Roman" w:cs="Times New Roman"/>
          <w:sz w:val="24"/>
          <w:szCs w:val="24"/>
        </w:rPr>
        <w:t>here is a real-world problem with the argument. AERC would be unable to</w:t>
      </w:r>
      <w:r w:rsidR="00A32F13">
        <w:rPr>
          <w:rFonts w:ascii="Times New Roman" w:eastAsia="Times New Roman" w:hAnsi="Times New Roman" w:cs="Times New Roman"/>
          <w:sz w:val="24"/>
          <w:szCs w:val="24"/>
        </w:rPr>
        <w:t xml:space="preserve"> unilaterally</w:t>
      </w:r>
      <w:r w:rsidRPr="00F9550F">
        <w:rPr>
          <w:rFonts w:ascii="Times New Roman" w:eastAsia="Times New Roman" w:hAnsi="Times New Roman" w:cs="Times New Roman"/>
          <w:sz w:val="24"/>
          <w:szCs w:val="24"/>
        </w:rPr>
        <w:t xml:space="preserve"> purchase the same product at the same price. As discussed above, the bond was not insurance. Part of the bond deal was that SureDeposit had the right to collect against the tenants dollar-for-dollar what they paid to AERC.</w:t>
      </w:r>
      <w:r w:rsidR="00A32F13">
        <w:rPr>
          <w:rFonts w:ascii="Times New Roman" w:eastAsia="Times New Roman" w:hAnsi="Times New Roman" w:cs="Times New Roman"/>
          <w:sz w:val="24"/>
          <w:szCs w:val="24"/>
        </w:rPr>
        <w:t xml:space="preserve"> Without the tenants’ agreement</w:t>
      </w:r>
      <w:r w:rsidRPr="00F9550F">
        <w:rPr>
          <w:rFonts w:ascii="Times New Roman" w:eastAsia="Times New Roman" w:hAnsi="Times New Roman" w:cs="Times New Roman"/>
          <w:sz w:val="24"/>
          <w:szCs w:val="24"/>
        </w:rPr>
        <w:t>, AERC could not have purchased equivalent “insurance”. Likely, had AERC tried to buy actual insurance against</w:t>
      </w:r>
      <w:r w:rsidR="00397257">
        <w:rPr>
          <w:rFonts w:ascii="Times New Roman" w:eastAsia="Times New Roman" w:hAnsi="Times New Roman" w:cs="Times New Roman"/>
          <w:sz w:val="24"/>
          <w:szCs w:val="24"/>
        </w:rPr>
        <w:t xml:space="preserve"> both</w:t>
      </w:r>
      <w:r w:rsidRPr="00F9550F">
        <w:rPr>
          <w:rFonts w:ascii="Times New Roman" w:eastAsia="Times New Roman" w:hAnsi="Times New Roman" w:cs="Times New Roman"/>
          <w:sz w:val="24"/>
          <w:szCs w:val="24"/>
        </w:rPr>
        <w:t xml:space="preserve"> the Kopps’ defaulting </w:t>
      </w:r>
      <w:r w:rsidR="00397257">
        <w:rPr>
          <w:rFonts w:ascii="Times New Roman" w:eastAsia="Times New Roman" w:hAnsi="Times New Roman" w:cs="Times New Roman"/>
          <w:sz w:val="24"/>
          <w:szCs w:val="24"/>
        </w:rPr>
        <w:t>on</w:t>
      </w:r>
      <w:r w:rsidRPr="00F9550F">
        <w:rPr>
          <w:rFonts w:ascii="Times New Roman" w:eastAsia="Times New Roman" w:hAnsi="Times New Roman" w:cs="Times New Roman"/>
          <w:sz w:val="24"/>
          <w:szCs w:val="24"/>
        </w:rPr>
        <w:t xml:space="preserve"> </w:t>
      </w:r>
      <w:r w:rsidR="00397257">
        <w:rPr>
          <w:rFonts w:ascii="Times New Roman" w:eastAsia="Times New Roman" w:hAnsi="Times New Roman" w:cs="Times New Roman"/>
          <w:sz w:val="24"/>
          <w:szCs w:val="24"/>
        </w:rPr>
        <w:t>their duties</w:t>
      </w:r>
      <w:r w:rsidRPr="00F9550F">
        <w:rPr>
          <w:rFonts w:ascii="Times New Roman" w:eastAsia="Times New Roman" w:hAnsi="Times New Roman" w:cs="Times New Roman"/>
          <w:sz w:val="24"/>
          <w:szCs w:val="24"/>
        </w:rPr>
        <w:t xml:space="preserve"> to maintain the premises</w:t>
      </w:r>
      <w:r w:rsidR="00397257">
        <w:rPr>
          <w:rFonts w:ascii="Times New Roman" w:eastAsia="Times New Roman" w:hAnsi="Times New Roman" w:cs="Times New Roman"/>
          <w:sz w:val="24"/>
          <w:szCs w:val="24"/>
        </w:rPr>
        <w:t xml:space="preserve"> </w:t>
      </w:r>
      <w:r w:rsidR="00397257" w:rsidRPr="00397257">
        <w:rPr>
          <w:rFonts w:ascii="Times New Roman" w:eastAsia="Times New Roman" w:hAnsi="Times New Roman" w:cs="Times New Roman"/>
          <w:sz w:val="24"/>
          <w:szCs w:val="24"/>
          <w:u w:val="single"/>
        </w:rPr>
        <w:t>and</w:t>
      </w:r>
      <w:r w:rsidR="00397257">
        <w:rPr>
          <w:rFonts w:ascii="Times New Roman" w:eastAsia="Times New Roman" w:hAnsi="Times New Roman" w:cs="Times New Roman"/>
          <w:sz w:val="24"/>
          <w:szCs w:val="24"/>
        </w:rPr>
        <w:t xml:space="preserve"> to pay rent</w:t>
      </w:r>
      <w:r w:rsidR="003D0469">
        <w:rPr>
          <w:rFonts w:ascii="Times New Roman" w:eastAsia="Times New Roman" w:hAnsi="Times New Roman" w:cs="Times New Roman"/>
          <w:sz w:val="24"/>
          <w:szCs w:val="24"/>
        </w:rPr>
        <w:t>,</w:t>
      </w:r>
      <w:r w:rsidRPr="00F9550F">
        <w:rPr>
          <w:rFonts w:ascii="Times New Roman" w:eastAsia="Times New Roman" w:hAnsi="Times New Roman" w:cs="Times New Roman"/>
          <w:sz w:val="24"/>
          <w:szCs w:val="24"/>
        </w:rPr>
        <w:t xml:space="preserve"> the premium would have been higher, probably closer to $840 (one month of rent).</w:t>
      </w:r>
    </w:p>
    <w:p w:rsidR="006322F2" w:rsidRPr="00F9550F" w:rsidRDefault="006322F2" w:rsidP="00A858A5">
      <w:pPr>
        <w:ind w:left="1440"/>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u w:val="single"/>
          <w:shd w:val="clear" w:color="auto" w:fill="FFFFFF"/>
        </w:rPr>
        <w:t>The tenants’ claim that the bond deal was unconscionable was also rejected</w:t>
      </w:r>
      <w:r w:rsidRPr="00F9550F">
        <w:rPr>
          <w:rFonts w:ascii="Times New Roman" w:hAnsi="Times New Roman" w:cs="Times New Roman"/>
          <w:color w:val="222222"/>
          <w:sz w:val="24"/>
          <w:szCs w:val="24"/>
          <w:shd w:val="clear" w:color="auto" w:fill="FFFFFF"/>
        </w:rPr>
        <w:t>.</w:t>
      </w:r>
    </w:p>
    <w:p w:rsidR="006322F2" w:rsidRPr="00F9550F" w:rsidRDefault="001B2BDD" w:rsidP="001B2BDD">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 xml:space="preserve">The Kopps also argued that the entire bonding scheme was unconscionable. </w:t>
      </w:r>
      <w:hyperlink r:id="rId23" w:history="1">
        <w:r w:rsidR="00F77C05" w:rsidRPr="00777762">
          <w:rPr>
            <w:rStyle w:val="Hyperlink"/>
            <w:rFonts w:ascii="Times New Roman" w:hAnsi="Times New Roman" w:cs="Times New Roman"/>
            <w:sz w:val="24"/>
            <w:szCs w:val="24"/>
            <w:shd w:val="clear" w:color="auto" w:fill="FFFFFF"/>
          </w:rPr>
          <w:t>Tenants’ bri</w:t>
        </w:r>
        <w:r w:rsidR="00F77C05">
          <w:rPr>
            <w:rStyle w:val="Hyperlink"/>
            <w:rFonts w:ascii="Times New Roman" w:hAnsi="Times New Roman" w:cs="Times New Roman"/>
            <w:sz w:val="24"/>
            <w:szCs w:val="24"/>
            <w:shd w:val="clear" w:color="auto" w:fill="FFFFFF"/>
          </w:rPr>
          <w:t>ef (Appendix 4)</w:t>
        </w:r>
      </w:hyperlink>
      <w:r w:rsidR="00F77C05">
        <w:rPr>
          <w:rFonts w:ascii="Times New Roman" w:hAnsi="Times New Roman" w:cs="Times New Roman"/>
          <w:sz w:val="24"/>
          <w:szCs w:val="24"/>
          <w:shd w:val="clear" w:color="auto" w:fill="FFFFFF"/>
        </w:rPr>
        <w:t xml:space="preserve"> at 9-10</w:t>
      </w:r>
      <w:r w:rsidRPr="00F9550F">
        <w:rPr>
          <w:rFonts w:ascii="Times New Roman" w:hAnsi="Times New Roman" w:cs="Times New Roman"/>
          <w:color w:val="FF0000"/>
          <w:sz w:val="24"/>
          <w:szCs w:val="24"/>
          <w:shd w:val="clear" w:color="auto" w:fill="FFFFFF"/>
        </w:rPr>
        <w:t>.</w:t>
      </w:r>
      <w:r w:rsidRPr="00F9550F">
        <w:rPr>
          <w:rFonts w:ascii="Times New Roman" w:hAnsi="Times New Roman" w:cs="Times New Roman"/>
          <w:color w:val="222222"/>
          <w:sz w:val="24"/>
          <w:szCs w:val="24"/>
          <w:shd w:val="clear" w:color="auto" w:fill="FFFFFF"/>
        </w:rPr>
        <w:t xml:space="preserve"> They made two points. First, the deal was so one-sided as to be one that no informed tenant would make. Second, AERC hid all the facts from the Kopps, much as the Maryland AG claimed SureDeposit hid facts from Maryland tenants. Indeed, the Kopps’ brief cited the Maryland litigation. </w:t>
      </w:r>
      <w:r w:rsidRPr="00F9550F">
        <w:rPr>
          <w:rFonts w:ascii="Times New Roman" w:hAnsi="Times New Roman" w:cs="Times New Roman"/>
          <w:i/>
          <w:color w:val="222222"/>
          <w:sz w:val="24"/>
          <w:szCs w:val="24"/>
          <w:shd w:val="clear" w:color="auto" w:fill="FFFFFF"/>
        </w:rPr>
        <w:t>Id</w:t>
      </w:r>
      <w:r w:rsidRPr="00F9550F">
        <w:rPr>
          <w:rFonts w:ascii="Times New Roman" w:hAnsi="Times New Roman" w:cs="Times New Roman"/>
          <w:color w:val="222222"/>
          <w:sz w:val="24"/>
          <w:szCs w:val="24"/>
          <w:shd w:val="clear" w:color="auto" w:fill="FFFFFF"/>
        </w:rPr>
        <w:t>. at 11-12.</w:t>
      </w:r>
    </w:p>
    <w:p w:rsidR="001B2BDD" w:rsidRPr="00F9550F" w:rsidRDefault="001B2BDD" w:rsidP="001B2BDD">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The court did not deal with the second argument. It rejected the first one on the grounds that unconscionability only applies when the consumer has no good choice. Since the Kopps had a choice of a traditional $840 deposit, the doctrine of unconscionability did not apply.</w:t>
      </w:r>
      <w:r w:rsidR="009D39AF">
        <w:rPr>
          <w:rFonts w:ascii="Times New Roman" w:hAnsi="Times New Roman" w:cs="Times New Roman"/>
          <w:color w:val="222222"/>
          <w:sz w:val="24"/>
          <w:szCs w:val="24"/>
          <w:shd w:val="clear" w:color="auto" w:fill="FFFFFF"/>
        </w:rPr>
        <w:t xml:space="preserve"> </w:t>
      </w:r>
      <w:r w:rsidR="009D39AF" w:rsidRPr="00F9550F">
        <w:rPr>
          <w:rFonts w:ascii="Times New Roman" w:hAnsi="Times New Roman" w:cs="Times New Roman"/>
          <w:color w:val="222222"/>
          <w:sz w:val="24"/>
          <w:szCs w:val="24"/>
          <w:shd w:val="clear" w:color="auto" w:fill="FFFFFF"/>
        </w:rPr>
        <w:t>2010 Ohio 1690, ¶ 17.</w:t>
      </w:r>
    </w:p>
    <w:p w:rsidR="001B2BDD" w:rsidRPr="00F9550F" w:rsidRDefault="001B2BDD" w:rsidP="001B2BDD">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Obviously, this leaves open the question of whether an Ohio lease that required a SureDeposit bond would be unconscionable.</w:t>
      </w:r>
    </w:p>
    <w:p w:rsidR="00A858A5" w:rsidRPr="00DA4219" w:rsidRDefault="00A858A5" w:rsidP="00A858A5">
      <w:pPr>
        <w:ind w:left="720"/>
        <w:rPr>
          <w:rFonts w:ascii="Times New Roman" w:hAnsi="Times New Roman" w:cs="Times New Roman"/>
          <w:color w:val="222222"/>
          <w:sz w:val="24"/>
          <w:szCs w:val="24"/>
          <w:u w:val="single"/>
          <w:shd w:val="clear" w:color="auto" w:fill="FFFFFF"/>
        </w:rPr>
      </w:pPr>
      <w:r w:rsidRPr="00DA4219">
        <w:rPr>
          <w:rFonts w:ascii="Times New Roman" w:hAnsi="Times New Roman" w:cs="Times New Roman"/>
          <w:color w:val="222222"/>
          <w:sz w:val="24"/>
          <w:szCs w:val="24"/>
          <w:u w:val="single"/>
          <w:shd w:val="clear" w:color="auto" w:fill="FFFFFF"/>
        </w:rPr>
        <w:t>Summary and comment about the named parties</w:t>
      </w:r>
    </w:p>
    <w:p w:rsidR="00A858A5" w:rsidRPr="00F9550F" w:rsidRDefault="00A858A5" w:rsidP="001B2BDD">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With somewhat cursory reasoning, the Ohio court held [1] the bond premium was not a “security deposit”; and [2] since the tenants had a choice of either buying a bond or paying a typical security deposit equal to a month’s rent, that choice was not unconscionable.</w:t>
      </w:r>
    </w:p>
    <w:p w:rsidR="00A858A5" w:rsidRDefault="00A858A5" w:rsidP="001B2BDD">
      <w:pPr>
        <w:rPr>
          <w:rFonts w:ascii="Times New Roman" w:hAnsi="Times New Roman" w:cs="Times New Roman"/>
          <w:color w:val="222222"/>
          <w:sz w:val="24"/>
          <w:szCs w:val="24"/>
          <w:shd w:val="clear" w:color="auto" w:fill="FFFFFF"/>
        </w:rPr>
      </w:pPr>
      <w:r w:rsidRPr="00F9550F">
        <w:rPr>
          <w:rFonts w:ascii="Times New Roman" w:hAnsi="Times New Roman" w:cs="Times New Roman"/>
          <w:color w:val="222222"/>
          <w:sz w:val="24"/>
          <w:szCs w:val="24"/>
          <w:shd w:val="clear" w:color="auto" w:fill="FFFFFF"/>
        </w:rPr>
        <w:t>Noteworthy is that the Kopps only sued their landlord and not the bonding company. It remains an open question in Ohio whether the bonding company would have a duty to treat either the bond premium or the entire bond amount as a security deposit under Chapter 5321 of the Ohio Revised Code.</w:t>
      </w:r>
    </w:p>
    <w:p w:rsidR="00066991" w:rsidRDefault="00066991" w:rsidP="001B2BDD">
      <w:pPr>
        <w:rPr>
          <w:rFonts w:ascii="Times New Roman" w:hAnsi="Times New Roman" w:cs="Times New Roman"/>
          <w:color w:val="222222"/>
          <w:sz w:val="24"/>
          <w:szCs w:val="24"/>
          <w:shd w:val="clear" w:color="auto" w:fill="FFFFFF"/>
        </w:rPr>
      </w:pPr>
    </w:p>
    <w:p w:rsidR="00066991" w:rsidRPr="00F9550F" w:rsidRDefault="00066991" w:rsidP="001B2BDD">
      <w:pPr>
        <w:rPr>
          <w:rFonts w:ascii="Times New Roman" w:hAnsi="Times New Roman" w:cs="Times New Roman"/>
          <w:color w:val="222222"/>
          <w:sz w:val="24"/>
          <w:szCs w:val="24"/>
          <w:shd w:val="clear" w:color="auto" w:fill="FFFFFF"/>
        </w:rPr>
      </w:pPr>
    </w:p>
    <w:p w:rsidR="009A7B72" w:rsidRPr="008778D4" w:rsidRDefault="00DA4219" w:rsidP="00DA4219">
      <w:pPr>
        <w:rPr>
          <w:rFonts w:ascii="Times New Roman" w:hAnsi="Times New Roman" w:cs="Times New Roman"/>
          <w:sz w:val="24"/>
          <w:szCs w:val="24"/>
          <w:u w:val="single"/>
        </w:rPr>
      </w:pPr>
      <w:r w:rsidRPr="008778D4">
        <w:rPr>
          <w:rFonts w:ascii="Times New Roman" w:hAnsi="Times New Roman" w:cs="Times New Roman"/>
          <w:sz w:val="24"/>
          <w:szCs w:val="24"/>
          <w:u w:val="single"/>
        </w:rPr>
        <w:lastRenderedPageBreak/>
        <w:t xml:space="preserve">Analysis of Minn. Stat. § 504B.178 </w:t>
      </w:r>
    </w:p>
    <w:p w:rsidR="00DA4219" w:rsidRDefault="00DA4219" w:rsidP="00DA4219">
      <w:pPr>
        <w:rPr>
          <w:rFonts w:ascii="Times New Roman" w:hAnsi="Times New Roman" w:cs="Times New Roman"/>
          <w:sz w:val="24"/>
          <w:szCs w:val="24"/>
        </w:rPr>
      </w:pPr>
      <w:r>
        <w:rPr>
          <w:rFonts w:ascii="Times New Roman" w:hAnsi="Times New Roman" w:cs="Times New Roman"/>
          <w:sz w:val="24"/>
          <w:szCs w:val="24"/>
        </w:rPr>
        <w:t>Assume a Minnesota landlord and a bonding company work together to sell a security deposit bond to a residential tenant and do so with full disclosure, so that the</w:t>
      </w:r>
      <w:r w:rsidR="0068520E">
        <w:rPr>
          <w:rFonts w:ascii="Times New Roman" w:hAnsi="Times New Roman" w:cs="Times New Roman"/>
          <w:sz w:val="24"/>
          <w:szCs w:val="24"/>
        </w:rPr>
        <w:t xml:space="preserve"> type of</w:t>
      </w:r>
      <w:r>
        <w:rPr>
          <w:rFonts w:ascii="Times New Roman" w:hAnsi="Times New Roman" w:cs="Times New Roman"/>
          <w:sz w:val="24"/>
          <w:szCs w:val="24"/>
        </w:rPr>
        <w:t xml:space="preserve"> concerns about trickery raised in the Maryland litigation are not present. </w:t>
      </w:r>
      <w:r w:rsidR="0095121C">
        <w:rPr>
          <w:rFonts w:ascii="Times New Roman" w:hAnsi="Times New Roman" w:cs="Times New Roman"/>
          <w:sz w:val="24"/>
          <w:szCs w:val="24"/>
        </w:rPr>
        <w:t xml:space="preserve">Assume further that the tenant is given a real choice between a traditional security deposit and a bond in the same amount. </w:t>
      </w:r>
      <w:r>
        <w:rPr>
          <w:rFonts w:ascii="Times New Roman" w:hAnsi="Times New Roman" w:cs="Times New Roman"/>
          <w:sz w:val="24"/>
          <w:szCs w:val="24"/>
        </w:rPr>
        <w:t xml:space="preserve">Is that bond regulated by </w:t>
      </w:r>
      <w:r w:rsidRPr="00DA4219">
        <w:rPr>
          <w:rFonts w:ascii="Times New Roman" w:hAnsi="Times New Roman" w:cs="Times New Roman"/>
          <w:sz w:val="24"/>
          <w:szCs w:val="24"/>
        </w:rPr>
        <w:t>Minn. Stat. § 504B.178?</w:t>
      </w:r>
    </w:p>
    <w:p w:rsidR="00F606E3" w:rsidRPr="00F606E3" w:rsidRDefault="00F606E3" w:rsidP="00DA4219">
      <w:pPr>
        <w:rPr>
          <w:rFonts w:ascii="Times New Roman" w:hAnsi="Times New Roman" w:cs="Times New Roman"/>
          <w:sz w:val="24"/>
          <w:szCs w:val="24"/>
          <w:u w:val="single"/>
        </w:rPr>
      </w:pPr>
      <w:r>
        <w:rPr>
          <w:rFonts w:ascii="Times New Roman" w:hAnsi="Times New Roman" w:cs="Times New Roman"/>
          <w:sz w:val="24"/>
          <w:szCs w:val="24"/>
        </w:rPr>
        <w:tab/>
      </w:r>
      <w:r w:rsidR="0009398B">
        <w:rPr>
          <w:rFonts w:ascii="Times New Roman" w:hAnsi="Times New Roman" w:cs="Times New Roman"/>
          <w:sz w:val="24"/>
          <w:szCs w:val="24"/>
          <w:u w:val="single"/>
        </w:rPr>
        <w:t>The p</w:t>
      </w:r>
      <w:r w:rsidRPr="00F606E3">
        <w:rPr>
          <w:rFonts w:ascii="Times New Roman" w:hAnsi="Times New Roman" w:cs="Times New Roman"/>
          <w:sz w:val="24"/>
          <w:szCs w:val="24"/>
          <w:u w:val="single"/>
        </w:rPr>
        <w:t xml:space="preserve">lain </w:t>
      </w:r>
      <w:r w:rsidR="00675977">
        <w:rPr>
          <w:rFonts w:ascii="Times New Roman" w:hAnsi="Times New Roman" w:cs="Times New Roman"/>
          <w:sz w:val="24"/>
          <w:szCs w:val="24"/>
          <w:u w:val="single"/>
        </w:rPr>
        <w:t>language</w:t>
      </w:r>
      <w:r w:rsidRPr="00F606E3">
        <w:rPr>
          <w:rFonts w:ascii="Times New Roman" w:hAnsi="Times New Roman" w:cs="Times New Roman"/>
          <w:sz w:val="24"/>
          <w:szCs w:val="24"/>
          <w:u w:val="single"/>
        </w:rPr>
        <w:t xml:space="preserve"> </w:t>
      </w:r>
      <w:r w:rsidR="0009398B">
        <w:rPr>
          <w:rFonts w:ascii="Times New Roman" w:hAnsi="Times New Roman" w:cs="Times New Roman"/>
          <w:sz w:val="24"/>
          <w:szCs w:val="24"/>
          <w:u w:val="single"/>
        </w:rPr>
        <w:t xml:space="preserve">of </w:t>
      </w:r>
      <w:r w:rsidR="0009398B" w:rsidRPr="008778D4">
        <w:rPr>
          <w:rFonts w:ascii="Times New Roman" w:hAnsi="Times New Roman" w:cs="Times New Roman"/>
          <w:sz w:val="24"/>
          <w:szCs w:val="24"/>
          <w:u w:val="single"/>
        </w:rPr>
        <w:t>Minn. Stat. § 504B.178</w:t>
      </w:r>
    </w:p>
    <w:p w:rsidR="0068520E" w:rsidRDefault="00F606E3" w:rsidP="00DA4219">
      <w:pPr>
        <w:rPr>
          <w:rFonts w:ascii="Times New Roman" w:hAnsi="Times New Roman" w:cs="Times New Roman"/>
          <w:sz w:val="24"/>
          <w:szCs w:val="24"/>
        </w:rPr>
      </w:pPr>
      <w:r>
        <w:rPr>
          <w:rFonts w:ascii="Times New Roman" w:hAnsi="Times New Roman" w:cs="Times New Roman"/>
          <w:sz w:val="24"/>
          <w:szCs w:val="24"/>
        </w:rPr>
        <w:t>The reach of section 504B.178 is largely set out in its first two subdivisions, which read:</w:t>
      </w:r>
    </w:p>
    <w:p w:rsidR="00F606E3" w:rsidRDefault="00CB0C1F" w:rsidP="00CB0C1F">
      <w:pPr>
        <w:pStyle w:val="NormalWeb"/>
        <w:ind w:left="720"/>
      </w:pPr>
      <w:r>
        <w:t xml:space="preserve">Subdivision 1. </w:t>
      </w:r>
      <w:r w:rsidRPr="00CB0C1F">
        <w:rPr>
          <w:b/>
        </w:rPr>
        <w:t>Applicability</w:t>
      </w:r>
      <w:r>
        <w:t xml:space="preserve">. </w:t>
      </w:r>
      <w:r w:rsidR="00F606E3">
        <w:t>Any deposit of money, the function of which is to secure the performance of a residential rental agreement or any part of such an agreement, other than a deposit which is exclusively an advance payment of rent, shall be governed by the provisions of this section.</w:t>
      </w:r>
    </w:p>
    <w:p w:rsidR="00F606E3" w:rsidRDefault="00CB0C1F" w:rsidP="00CB0C1F">
      <w:pPr>
        <w:pStyle w:val="NormalWeb"/>
        <w:ind w:left="720"/>
      </w:pPr>
      <w:r>
        <w:t xml:space="preserve">Subd. 2 </w:t>
      </w:r>
      <w:r>
        <w:rPr>
          <w:b/>
        </w:rPr>
        <w:t>Interest</w:t>
      </w:r>
      <w:r>
        <w:t xml:space="preserve">. </w:t>
      </w:r>
      <w:r w:rsidR="00F606E3">
        <w:t xml:space="preserve">Any deposit of money shall not be considered received in a fiduciary capacity within the meaning of section </w:t>
      </w:r>
      <w:r w:rsidR="00F606E3" w:rsidRPr="00CB0C1F">
        <w:t>82.55, subdivision 26</w:t>
      </w:r>
      <w:r w:rsidR="00F606E3">
        <w:t>, but shall be held by the landlord for the tenant who is party to the agreement and shall bear simple noncompounded interes</w:t>
      </w:r>
      <w:r w:rsidR="00D169B7">
        <w:t>t</w:t>
      </w:r>
      <w:r w:rsidR="00F606E3">
        <w:t xml:space="preserve"> </w:t>
      </w:r>
      <w:r>
        <w:t>[calculated as follows]</w:t>
      </w:r>
      <w:r w:rsidR="00D169B7">
        <w:t xml:space="preserve"> ….</w:t>
      </w:r>
    </w:p>
    <w:p w:rsidR="00CB0C1F" w:rsidRDefault="00CB0C1F" w:rsidP="00F606E3">
      <w:pPr>
        <w:pStyle w:val="NormalWeb"/>
      </w:pPr>
      <w:r>
        <w:t>Subdivision 1 has three prongs. The payment must be [i] a deposit; [ii] of money; and [iii] secure the performance of a residential rental agreement.</w:t>
      </w:r>
    </w:p>
    <w:p w:rsidR="00CB0C1F" w:rsidRDefault="00CB0C1F" w:rsidP="00CB0C1F">
      <w:pPr>
        <w:pStyle w:val="NormalWeb"/>
      </w:pPr>
      <w:r>
        <w:t xml:space="preserve">Clearly the bonding arrangement – the premium, the bond, or both – </w:t>
      </w:r>
      <w:r w:rsidR="009D39AF">
        <w:t>is</w:t>
      </w:r>
      <w:r>
        <w:t xml:space="preserve"> designed to secure the performance of the tenant’s lease (“residential rental agreement”), so prong #iii is met.</w:t>
      </w:r>
    </w:p>
    <w:p w:rsidR="00C34DB0" w:rsidRDefault="00C34DB0" w:rsidP="00CB0C1F">
      <w:pPr>
        <w:pStyle w:val="NormalWeb"/>
      </w:pPr>
      <w:r>
        <w:t xml:space="preserve">As discussed in my previous blog, “money” </w:t>
      </w:r>
      <w:r w:rsidRPr="00395149">
        <w:t>means “law</w:t>
      </w:r>
      <w:r>
        <w:t xml:space="preserve">ful money of the United States” and extends to items that are denominated and spent/doled out as such. </w:t>
      </w:r>
      <w:hyperlink r:id="rId24" w:history="1">
        <w:r w:rsidRPr="00395149">
          <w:rPr>
            <w:rStyle w:val="Hyperlink"/>
            <w:i/>
            <w:iCs/>
          </w:rPr>
          <w:t>Rathbun v. W.T. Grant Co.,</w:t>
        </w:r>
        <w:r w:rsidRPr="00395149">
          <w:rPr>
            <w:rStyle w:val="Hyperlink"/>
          </w:rPr>
          <w:t xml:space="preserve"> 300 Minn. 223, 219 N.W.2d 641 (1974)</w:t>
        </w:r>
      </w:hyperlink>
      <w:r>
        <w:t xml:space="preserve"> (coupons denominated in dollars but only good for buying items at the W.T. Grant department stores are “money”). The bond premiums obviously are money as they are paid by dollar</w:t>
      </w:r>
      <w:r w:rsidR="00656974">
        <w:t>-denominated</w:t>
      </w:r>
      <w:r>
        <w:t xml:space="preserve"> checks.</w:t>
      </w:r>
      <w:r w:rsidR="00656974">
        <w:t xml:space="preserve"> The bond itself, if paid, is paid in dollars. Until it is claimed, it is not actually dollars but a pledge to pay dollars, similar to the landlord’s pledge to return the tenant’s traditional deposit if the tenant leaves debt free, so that two should qualify as “money.” Thus prong #ii is met.</w:t>
      </w:r>
    </w:p>
    <w:p w:rsidR="00F606E3" w:rsidRDefault="00FA0F8B" w:rsidP="00DA421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word “deposit” is not defined in </w:t>
      </w:r>
      <w:r w:rsidR="00017464">
        <w:rPr>
          <w:rFonts w:ascii="Times New Roman" w:eastAsia="Times New Roman" w:hAnsi="Times New Roman" w:cs="Times New Roman"/>
          <w:sz w:val="24"/>
          <w:szCs w:val="24"/>
        </w:rPr>
        <w:t>Minn. Stat. Chap</w:t>
      </w:r>
      <w:r w:rsidR="00973E03">
        <w:rPr>
          <w:rFonts w:ascii="Times New Roman" w:eastAsia="Times New Roman" w:hAnsi="Times New Roman" w:cs="Times New Roman"/>
          <w:sz w:val="24"/>
          <w:szCs w:val="24"/>
        </w:rPr>
        <w:t>ters</w:t>
      </w:r>
      <w:r>
        <w:rPr>
          <w:rFonts w:ascii="Times New Roman" w:eastAsia="Times New Roman" w:hAnsi="Times New Roman" w:cs="Times New Roman"/>
          <w:sz w:val="24"/>
          <w:szCs w:val="24"/>
        </w:rPr>
        <w:t xml:space="preserve"> 504B or </w:t>
      </w:r>
      <w:r w:rsidR="00FA3EDF">
        <w:rPr>
          <w:rFonts w:ascii="Times New Roman" w:eastAsia="Times New Roman" w:hAnsi="Times New Roman" w:cs="Times New Roman"/>
          <w:sz w:val="24"/>
          <w:szCs w:val="24"/>
        </w:rPr>
        <w:t>645 (the construction-of-statutes chapter)</w:t>
      </w:r>
      <w:r>
        <w:rPr>
          <w:rFonts w:ascii="Times New Roman" w:eastAsia="Times New Roman" w:hAnsi="Times New Roman" w:cs="Times New Roman"/>
          <w:sz w:val="24"/>
          <w:szCs w:val="24"/>
        </w:rPr>
        <w:t xml:space="preserve">. The one Minnesota case discussing possible definitions is </w:t>
      </w:r>
      <w:hyperlink r:id="rId25" w:history="1">
        <w:r w:rsidRPr="004A3ED3">
          <w:rPr>
            <w:rStyle w:val="Hyperlink"/>
            <w:rFonts w:ascii="Times New Roman" w:eastAsia="Times New Roman" w:hAnsi="Times New Roman" w:cs="Times New Roman"/>
            <w:i/>
            <w:iCs/>
            <w:sz w:val="24"/>
            <w:szCs w:val="24"/>
          </w:rPr>
          <w:t>State v. Keehn</w:t>
        </w:r>
        <w:r w:rsidRPr="004A3ED3">
          <w:rPr>
            <w:rStyle w:val="Hyperlink"/>
            <w:rFonts w:ascii="Times New Roman" w:eastAsia="Times New Roman" w:hAnsi="Times New Roman" w:cs="Times New Roman"/>
            <w:sz w:val="24"/>
            <w:szCs w:val="24"/>
          </w:rPr>
          <w:t xml:space="preserve">, </w:t>
        </w:r>
        <w:r w:rsidR="004A3ED3" w:rsidRPr="004A3ED3">
          <w:rPr>
            <w:rStyle w:val="Hyperlink"/>
            <w:rFonts w:ascii="Times New Roman" w:eastAsia="Times New Roman" w:hAnsi="Times New Roman" w:cs="Times New Roman"/>
            <w:sz w:val="24"/>
            <w:szCs w:val="24"/>
          </w:rPr>
          <w:t>554 N.W.2d 405</w:t>
        </w:r>
        <w:r w:rsidRPr="004A3ED3">
          <w:rPr>
            <w:rStyle w:val="Hyperlink"/>
            <w:rFonts w:ascii="Times New Roman" w:eastAsia="Times New Roman" w:hAnsi="Times New Roman" w:cs="Times New Roman"/>
            <w:sz w:val="24"/>
            <w:szCs w:val="24"/>
          </w:rPr>
          <w:t xml:space="preserve"> (Minn. App. 1996)</w:t>
        </w:r>
      </w:hyperlink>
      <w:r>
        <w:rPr>
          <w:rFonts w:ascii="Times New Roman" w:eastAsia="Times New Roman" w:hAnsi="Times New Roman" w:cs="Times New Roman"/>
          <w:sz w:val="24"/>
          <w:szCs w:val="24"/>
        </w:rPr>
        <w:t>.</w:t>
      </w:r>
      <w:r w:rsidR="004A3ED3">
        <w:rPr>
          <w:rFonts w:ascii="Times New Roman" w:eastAsia="Times New Roman" w:hAnsi="Times New Roman" w:cs="Times New Roman"/>
          <w:sz w:val="24"/>
          <w:szCs w:val="24"/>
        </w:rPr>
        <w:t xml:space="preserve"> The court had to determine if certain restitution claims by a crime victim which she called “deposits” were expenditures (valid claims) or refundable (not valid claims) and it wrote as follows:</w:t>
      </w:r>
    </w:p>
    <w:p w:rsidR="004A3ED3" w:rsidRDefault="004A3ED3" w:rsidP="004A3ED3">
      <w:pPr>
        <w:pStyle w:val="NormalWeb"/>
        <w:ind w:left="720"/>
      </w:pPr>
      <w:r>
        <w:t xml:space="preserve">The district court's restitution order, tracking the language of C.K.'s affidavit, lists her relocation expenses as deposits rather than payments or expenses. But neither the affidavit nor the order indicates whether the deposits may be refunded. The term </w:t>
      </w:r>
      <w:r w:rsidRPr="004A3ED3">
        <w:rPr>
          <w:u w:val="single"/>
        </w:rPr>
        <w:t xml:space="preserve">"deposit" has multiple meanings. Most common is the definition supporting the notion </w:t>
      </w:r>
      <w:r w:rsidRPr="004A3ED3">
        <w:rPr>
          <w:u w:val="single"/>
        </w:rPr>
        <w:lastRenderedPageBreak/>
        <w:t>that a deposit is refundable.</w:t>
      </w:r>
      <w:r>
        <w:t xml:space="preserve"> A security deposit on a new apartment, for example, is normally returned at the end of the tenancy. Refundable deposits like the security deposit are not losses for which restitution is appropriate….</w:t>
      </w:r>
    </w:p>
    <w:p w:rsidR="004A3ED3" w:rsidRDefault="004A3ED3" w:rsidP="004A3ED3">
      <w:pPr>
        <w:pStyle w:val="NormalWeb"/>
        <w:ind w:left="720"/>
      </w:pPr>
      <w:r w:rsidRPr="004A3ED3">
        <w:rPr>
          <w:u w:val="single"/>
        </w:rPr>
        <w:t>But a deposit can also be a "partial or initial payment of a cost or debt."</w:t>
      </w:r>
      <w:r>
        <w:t xml:space="preserve"> </w:t>
      </w:r>
      <w:r>
        <w:rPr>
          <w:i/>
          <w:iCs/>
        </w:rPr>
        <w:t>The American Heritage Dictionary of the English Language</w:t>
      </w:r>
      <w:r>
        <w:t xml:space="preserve"> 502 (3d ed. 1992). In other words, "deposit" does not necessarily imply "refund." We cannot determine on this record whether the expenses labeled "deposits" were down payments or refundable collateral. </w:t>
      </w:r>
    </w:p>
    <w:p w:rsidR="00CC638F" w:rsidRDefault="004A3ED3" w:rsidP="004A3ED3">
      <w:pPr>
        <w:pStyle w:val="NormalWeb"/>
      </w:pPr>
      <w:r>
        <w:t xml:space="preserve">Id. at </w:t>
      </w:r>
      <w:r w:rsidRPr="00FA0F8B">
        <w:t>407-408</w:t>
      </w:r>
      <w:r>
        <w:t xml:space="preserve"> (emphasis added).</w:t>
      </w:r>
    </w:p>
    <w:p w:rsidR="00AA4C44" w:rsidRPr="00AA4C44" w:rsidRDefault="002F727C" w:rsidP="00397257">
      <w:pPr>
        <w:pStyle w:val="NormalWeb"/>
      </w:pPr>
      <w:r>
        <w:t>D</w:t>
      </w:r>
      <w:r w:rsidR="00397257">
        <w:t xml:space="preserve">efinitions </w:t>
      </w:r>
      <w:r>
        <w:t>in dictionaries available in 1973</w:t>
      </w:r>
      <w:r>
        <w:rPr>
          <w:rStyle w:val="FootnoteReference"/>
        </w:rPr>
        <w:footnoteReference w:id="20"/>
      </w:r>
      <w:r w:rsidR="00675977">
        <w:t xml:space="preserve"> follow those in </w:t>
      </w:r>
      <w:r w:rsidR="00675977" w:rsidRPr="00397257">
        <w:rPr>
          <w:i/>
        </w:rPr>
        <w:t>Keehn</w:t>
      </w:r>
      <w:r w:rsidR="00675977">
        <w:rPr>
          <w:i/>
        </w:rPr>
        <w:t>.</w:t>
      </w:r>
      <w:r w:rsidR="00397257">
        <w:t xml:space="preserve"> </w:t>
      </w:r>
      <w:hyperlink r:id="rId26" w:history="1">
        <w:r w:rsidR="004A3ED3" w:rsidRPr="00AA4C44">
          <w:rPr>
            <w:rStyle w:val="Hyperlink"/>
          </w:rPr>
          <w:t>Black’s Law Dictionary</w:t>
        </w:r>
        <w:r w:rsidR="006D2E16" w:rsidRPr="00AA4C44">
          <w:rPr>
            <w:rStyle w:val="Hyperlink"/>
          </w:rPr>
          <w:t xml:space="preserve"> </w:t>
        </w:r>
        <w:r>
          <w:rPr>
            <w:rStyle w:val="Hyperlink"/>
          </w:rPr>
          <w:t>(</w:t>
        </w:r>
        <w:r w:rsidR="006D2E16" w:rsidRPr="00AA4C44">
          <w:rPr>
            <w:rStyle w:val="Hyperlink"/>
          </w:rPr>
          <w:t>4</w:t>
        </w:r>
        <w:r w:rsidR="006D2E16" w:rsidRPr="00AA4C44">
          <w:rPr>
            <w:rStyle w:val="Hyperlink"/>
            <w:vertAlign w:val="superscript"/>
          </w:rPr>
          <w:t>th</w:t>
        </w:r>
        <w:r w:rsidR="00B449F9">
          <w:rPr>
            <w:rStyle w:val="Hyperlink"/>
          </w:rPr>
          <w:t xml:space="preserve"> ed. </w:t>
        </w:r>
        <w:r>
          <w:rPr>
            <w:rStyle w:val="Hyperlink"/>
          </w:rPr>
          <w:t>1951)</w:t>
        </w:r>
        <w:r w:rsidR="00CC638F" w:rsidRPr="00AA4C44">
          <w:rPr>
            <w:rStyle w:val="Hyperlink"/>
          </w:rPr>
          <w:t xml:space="preserve"> page 526</w:t>
        </w:r>
      </w:hyperlink>
      <w:r w:rsidR="004A3ED3" w:rsidRPr="00AA4C44">
        <w:t xml:space="preserve"> </w:t>
      </w:r>
      <w:r w:rsidR="00AA4C44" w:rsidRPr="00AA4C44">
        <w:t>defines “deposit” as</w:t>
      </w:r>
    </w:p>
    <w:p w:rsidR="004A3ED3" w:rsidRDefault="00CC638F" w:rsidP="00AA4C44">
      <w:pPr>
        <w:pStyle w:val="FootnoteText"/>
        <w:ind w:left="720"/>
        <w:rPr>
          <w:rFonts w:ascii="Times New Roman" w:hAnsi="Times New Roman" w:cs="Times New Roman"/>
          <w:sz w:val="24"/>
          <w:szCs w:val="24"/>
        </w:rPr>
      </w:pPr>
      <w:r w:rsidRPr="00AA4C44">
        <w:rPr>
          <w:rFonts w:ascii="Times New Roman" w:hAnsi="Times New Roman" w:cs="Times New Roman"/>
          <w:sz w:val="24"/>
          <w:szCs w:val="24"/>
        </w:rPr>
        <w:t>m</w:t>
      </w:r>
      <w:r w:rsidR="004A3ED3" w:rsidRPr="00AA4C44">
        <w:rPr>
          <w:rFonts w:ascii="Times New Roman" w:hAnsi="Times New Roman" w:cs="Times New Roman"/>
          <w:sz w:val="24"/>
          <w:szCs w:val="24"/>
        </w:rPr>
        <w:t>oney</w:t>
      </w:r>
      <w:r w:rsidR="006D2E16" w:rsidRPr="00AA4C44">
        <w:rPr>
          <w:rFonts w:ascii="Times New Roman" w:hAnsi="Times New Roman" w:cs="Times New Roman"/>
          <w:sz w:val="24"/>
          <w:szCs w:val="24"/>
        </w:rPr>
        <w:t xml:space="preserve"> lodged with a person as earnest or security for the performance of some contract to be </w:t>
      </w:r>
      <w:r w:rsidR="00703776" w:rsidRPr="00AA4C44">
        <w:rPr>
          <w:rFonts w:ascii="Times New Roman" w:hAnsi="Times New Roman" w:cs="Times New Roman"/>
          <w:sz w:val="24"/>
          <w:szCs w:val="24"/>
        </w:rPr>
        <w:t>forfeited</w:t>
      </w:r>
      <w:r w:rsidR="006D2E16" w:rsidRPr="00AA4C44">
        <w:rPr>
          <w:rFonts w:ascii="Times New Roman" w:hAnsi="Times New Roman" w:cs="Times New Roman"/>
          <w:sz w:val="24"/>
          <w:szCs w:val="24"/>
        </w:rPr>
        <w:t xml:space="preserve"> if the depositor fails in his undertaking. It may be deemed to be part payment, and to that extent may constitute the purchaser the actual owner of the estate.</w:t>
      </w:r>
    </w:p>
    <w:p w:rsidR="00397257" w:rsidRDefault="00397257" w:rsidP="00AA4C44">
      <w:pPr>
        <w:pStyle w:val="FootnoteText"/>
        <w:ind w:left="720"/>
        <w:rPr>
          <w:rFonts w:ascii="Times New Roman" w:hAnsi="Times New Roman" w:cs="Times New Roman"/>
          <w:sz w:val="24"/>
          <w:szCs w:val="24"/>
        </w:rPr>
      </w:pPr>
    </w:p>
    <w:p w:rsidR="002F727C" w:rsidRPr="002F727C" w:rsidRDefault="00397257" w:rsidP="002F727C">
      <w:pPr>
        <w:pStyle w:val="FootnoteText"/>
        <w:rPr>
          <w:rFonts w:ascii="Times New Roman" w:hAnsi="Times New Roman" w:cs="Times New Roman"/>
          <w:sz w:val="24"/>
          <w:szCs w:val="24"/>
        </w:rPr>
      </w:pPr>
      <w:r w:rsidRPr="002F727C">
        <w:rPr>
          <w:rFonts w:ascii="Times New Roman" w:hAnsi="Times New Roman" w:cs="Times New Roman"/>
          <w:iCs/>
          <w:sz w:val="24"/>
          <w:szCs w:val="24"/>
        </w:rPr>
        <w:t>The</w:t>
      </w:r>
      <w:r w:rsidRPr="002F727C">
        <w:rPr>
          <w:rFonts w:ascii="Times New Roman" w:hAnsi="Times New Roman" w:cs="Times New Roman"/>
          <w:i/>
          <w:iCs/>
          <w:sz w:val="24"/>
          <w:szCs w:val="24"/>
        </w:rPr>
        <w:t xml:space="preserve"> </w:t>
      </w:r>
      <w:r w:rsidR="00EB6A2B">
        <w:rPr>
          <w:rFonts w:ascii="Times New Roman" w:hAnsi="Times New Roman" w:cs="Times New Roman"/>
          <w:i/>
          <w:iCs/>
          <w:sz w:val="24"/>
          <w:szCs w:val="24"/>
        </w:rPr>
        <w:t xml:space="preserve">American </w:t>
      </w:r>
      <w:r w:rsidRPr="002F727C">
        <w:rPr>
          <w:rFonts w:ascii="Times New Roman" w:hAnsi="Times New Roman" w:cs="Times New Roman"/>
          <w:i/>
          <w:iCs/>
          <w:sz w:val="24"/>
          <w:szCs w:val="24"/>
        </w:rPr>
        <w:t>Heritage Dictionary of the English Language</w:t>
      </w:r>
      <w:r w:rsidRPr="002F727C">
        <w:rPr>
          <w:rFonts w:ascii="Times New Roman" w:hAnsi="Times New Roman" w:cs="Times New Roman"/>
          <w:sz w:val="24"/>
          <w:szCs w:val="24"/>
        </w:rPr>
        <w:t xml:space="preserve"> </w:t>
      </w:r>
      <w:r w:rsidR="002F727C" w:rsidRPr="002F727C">
        <w:rPr>
          <w:rFonts w:ascii="Times New Roman" w:hAnsi="Times New Roman" w:cs="Times New Roman"/>
          <w:sz w:val="24"/>
          <w:szCs w:val="24"/>
        </w:rPr>
        <w:t xml:space="preserve">(1st ed. 1969) </w:t>
      </w:r>
      <w:r w:rsidRPr="002F727C">
        <w:rPr>
          <w:rFonts w:ascii="Times New Roman" w:hAnsi="Times New Roman" w:cs="Times New Roman"/>
          <w:sz w:val="24"/>
          <w:szCs w:val="24"/>
        </w:rPr>
        <w:t>has the same definition as the 1992 edition.</w:t>
      </w:r>
    </w:p>
    <w:p w:rsidR="002F727C" w:rsidRDefault="002F727C" w:rsidP="002F727C">
      <w:pPr>
        <w:pStyle w:val="FootnoteText"/>
        <w:rPr>
          <w:rFonts w:ascii="Times New Roman" w:hAnsi="Times New Roman" w:cs="Times New Roman"/>
          <w:sz w:val="24"/>
          <w:szCs w:val="24"/>
        </w:rPr>
      </w:pPr>
    </w:p>
    <w:p w:rsidR="00675977" w:rsidRDefault="00506260" w:rsidP="00506260">
      <w:pPr>
        <w:rPr>
          <w:rFonts w:ascii="Times New Roman" w:hAnsi="Times New Roman" w:cs="Times New Roman"/>
          <w:sz w:val="24"/>
          <w:szCs w:val="24"/>
        </w:rPr>
      </w:pPr>
      <w:r w:rsidRPr="00E01EAD">
        <w:rPr>
          <w:rFonts w:ascii="Times New Roman" w:hAnsi="Times New Roman" w:cs="Times New Roman"/>
          <w:sz w:val="24"/>
          <w:szCs w:val="24"/>
        </w:rPr>
        <w:t>A</w:t>
      </w:r>
      <w:r w:rsidR="006D2E16" w:rsidRPr="00E01EAD">
        <w:rPr>
          <w:rFonts w:ascii="Times New Roman" w:hAnsi="Times New Roman" w:cs="Times New Roman"/>
          <w:sz w:val="24"/>
          <w:szCs w:val="24"/>
        </w:rPr>
        <w:t>cc</w:t>
      </w:r>
      <w:r w:rsidRPr="00E01EAD">
        <w:rPr>
          <w:rFonts w:ascii="Times New Roman" w:hAnsi="Times New Roman" w:cs="Times New Roman"/>
          <w:sz w:val="24"/>
          <w:szCs w:val="24"/>
        </w:rPr>
        <w:t>ording to the bonding agreement</w:t>
      </w:r>
      <w:r w:rsidR="006D2E16" w:rsidRPr="00E01EAD">
        <w:rPr>
          <w:rFonts w:ascii="Times New Roman" w:hAnsi="Times New Roman" w:cs="Times New Roman"/>
          <w:sz w:val="24"/>
          <w:szCs w:val="24"/>
        </w:rPr>
        <w:t xml:space="preserve"> the bond premium does not meet the first definition </w:t>
      </w:r>
      <w:r w:rsidR="00CC638F" w:rsidRPr="00E01EAD">
        <w:rPr>
          <w:rFonts w:ascii="Times New Roman" w:hAnsi="Times New Roman" w:cs="Times New Roman"/>
          <w:sz w:val="24"/>
          <w:szCs w:val="24"/>
        </w:rPr>
        <w:t>since</w:t>
      </w:r>
      <w:r w:rsidR="006D2E16" w:rsidRPr="00E01EAD">
        <w:rPr>
          <w:rFonts w:ascii="Times New Roman" w:hAnsi="Times New Roman" w:cs="Times New Roman"/>
          <w:sz w:val="24"/>
          <w:szCs w:val="24"/>
        </w:rPr>
        <w:t xml:space="preserve"> the agreement says the bond premium is nonrefundable. The bond itself is not refundable to the tenant. </w:t>
      </w:r>
    </w:p>
    <w:p w:rsidR="00675977" w:rsidRPr="00C02D10" w:rsidRDefault="006D2E16" w:rsidP="00506260">
      <w:pPr>
        <w:rPr>
          <w:rFonts w:ascii="Times New Roman" w:hAnsi="Times New Roman" w:cs="Times New Roman"/>
          <w:sz w:val="24"/>
          <w:szCs w:val="24"/>
        </w:rPr>
      </w:pPr>
      <w:r w:rsidRPr="00C02D10">
        <w:rPr>
          <w:rFonts w:ascii="Times New Roman" w:hAnsi="Times New Roman" w:cs="Times New Roman"/>
          <w:sz w:val="24"/>
          <w:szCs w:val="24"/>
        </w:rPr>
        <w:t xml:space="preserve">Of course, this leads to a circular-reasoning problem. </w:t>
      </w:r>
      <w:r w:rsidR="00475F20" w:rsidRPr="00C02D10">
        <w:rPr>
          <w:rFonts w:ascii="Times New Roman" w:hAnsi="Times New Roman" w:cs="Times New Roman"/>
          <w:sz w:val="24"/>
          <w:szCs w:val="24"/>
        </w:rPr>
        <w:t>Minn. Stat. § 504B.178 is non waivable, so perhaps the parties cannot make the bond premium nonrefundable by agreement</w:t>
      </w:r>
      <w:r w:rsidR="00CC638F" w:rsidRPr="00C02D10">
        <w:rPr>
          <w:rFonts w:ascii="Times New Roman" w:hAnsi="Times New Roman" w:cs="Times New Roman"/>
          <w:sz w:val="24"/>
          <w:szCs w:val="24"/>
        </w:rPr>
        <w:t xml:space="preserve">. </w:t>
      </w:r>
    </w:p>
    <w:p w:rsidR="00506260" w:rsidRPr="00E01EAD" w:rsidRDefault="00506260" w:rsidP="00506260">
      <w:pPr>
        <w:rPr>
          <w:rFonts w:ascii="Times New Roman" w:hAnsi="Times New Roman" w:cs="Times New Roman"/>
        </w:rPr>
      </w:pPr>
      <w:r w:rsidRPr="00E01EAD">
        <w:rPr>
          <w:rFonts w:ascii="Times New Roman" w:hAnsi="Times New Roman" w:cs="Times New Roman"/>
          <w:sz w:val="24"/>
          <w:szCs w:val="24"/>
        </w:rPr>
        <w:t>The premium does not meet the second definition since it is full payment</w:t>
      </w:r>
      <w:r w:rsidR="00E01EAD">
        <w:rPr>
          <w:rFonts w:ascii="Times New Roman" w:hAnsi="Times New Roman" w:cs="Times New Roman"/>
          <w:sz w:val="24"/>
          <w:szCs w:val="24"/>
        </w:rPr>
        <w:t xml:space="preserve"> for the bond</w:t>
      </w:r>
      <w:r w:rsidRPr="00E01EAD">
        <w:rPr>
          <w:rFonts w:ascii="Times New Roman" w:hAnsi="Times New Roman" w:cs="Times New Roman"/>
          <w:sz w:val="24"/>
          <w:szCs w:val="24"/>
        </w:rPr>
        <w:t>. The bond might meet the second definition when the bond does not fully cover the damage a tenant does.</w:t>
      </w:r>
    </w:p>
    <w:p w:rsidR="004A3ED3" w:rsidRPr="00C02D10" w:rsidRDefault="00CC638F" w:rsidP="00506260">
      <w:pPr>
        <w:rPr>
          <w:rFonts w:ascii="Times New Roman" w:hAnsi="Times New Roman" w:cs="Times New Roman"/>
          <w:sz w:val="24"/>
          <w:szCs w:val="24"/>
        </w:rPr>
      </w:pPr>
      <w:r w:rsidRPr="00C02D10">
        <w:rPr>
          <w:rFonts w:ascii="Times New Roman" w:hAnsi="Times New Roman" w:cs="Times New Roman"/>
          <w:sz w:val="24"/>
          <w:szCs w:val="24"/>
        </w:rPr>
        <w:t>Th</w:t>
      </w:r>
      <w:r w:rsidR="00E01EAD" w:rsidRPr="00C02D10">
        <w:rPr>
          <w:rFonts w:ascii="Times New Roman" w:hAnsi="Times New Roman" w:cs="Times New Roman"/>
          <w:sz w:val="24"/>
          <w:szCs w:val="24"/>
        </w:rPr>
        <w:t xml:space="preserve">us it is unclear if either </w:t>
      </w:r>
      <w:r w:rsidR="00475F20" w:rsidRPr="00C02D10">
        <w:rPr>
          <w:rFonts w:ascii="Times New Roman" w:hAnsi="Times New Roman" w:cs="Times New Roman"/>
          <w:sz w:val="24"/>
          <w:szCs w:val="24"/>
        </w:rPr>
        <w:t>the bond premium or t</w:t>
      </w:r>
      <w:r w:rsidR="00E01EAD" w:rsidRPr="00C02D10">
        <w:rPr>
          <w:rFonts w:ascii="Times New Roman" w:hAnsi="Times New Roman" w:cs="Times New Roman"/>
          <w:sz w:val="24"/>
          <w:szCs w:val="24"/>
        </w:rPr>
        <w:t>he bond itself are “deposits”</w:t>
      </w:r>
      <w:r w:rsidR="00475F20" w:rsidRPr="00C02D10">
        <w:rPr>
          <w:rFonts w:ascii="Times New Roman" w:hAnsi="Times New Roman" w:cs="Times New Roman"/>
          <w:sz w:val="24"/>
          <w:szCs w:val="24"/>
        </w:rPr>
        <w:t xml:space="preserve">. </w:t>
      </w:r>
      <w:r w:rsidR="00E01EAD" w:rsidRPr="00C02D10">
        <w:rPr>
          <w:rFonts w:ascii="Times New Roman" w:hAnsi="Times New Roman" w:cs="Times New Roman"/>
          <w:sz w:val="24"/>
          <w:szCs w:val="24"/>
        </w:rPr>
        <w:t xml:space="preserve">Based only on </w:t>
      </w:r>
      <w:r w:rsidR="00475F20" w:rsidRPr="00C02D10">
        <w:rPr>
          <w:rFonts w:ascii="Times New Roman" w:hAnsi="Times New Roman" w:cs="Times New Roman"/>
          <w:sz w:val="24"/>
          <w:szCs w:val="24"/>
        </w:rPr>
        <w:t xml:space="preserve">subdivision 1 it is not </w:t>
      </w:r>
      <w:r w:rsidR="00E01EAD" w:rsidRPr="00C02D10">
        <w:rPr>
          <w:rFonts w:ascii="Times New Roman" w:hAnsi="Times New Roman" w:cs="Times New Roman"/>
          <w:sz w:val="24"/>
          <w:szCs w:val="24"/>
        </w:rPr>
        <w:t>clear-cut</w:t>
      </w:r>
      <w:r w:rsidR="00475F20" w:rsidRPr="00C02D10">
        <w:rPr>
          <w:rFonts w:ascii="Times New Roman" w:hAnsi="Times New Roman" w:cs="Times New Roman"/>
          <w:sz w:val="24"/>
          <w:szCs w:val="24"/>
        </w:rPr>
        <w:t xml:space="preserve"> if prong #</w:t>
      </w:r>
      <w:r w:rsidR="00675977" w:rsidRPr="00C02D10">
        <w:rPr>
          <w:rFonts w:ascii="Times New Roman" w:hAnsi="Times New Roman" w:cs="Times New Roman"/>
          <w:sz w:val="24"/>
          <w:szCs w:val="24"/>
        </w:rPr>
        <w:t>i</w:t>
      </w:r>
      <w:r w:rsidR="00475F20" w:rsidRPr="00C02D10">
        <w:rPr>
          <w:rFonts w:ascii="Times New Roman" w:hAnsi="Times New Roman" w:cs="Times New Roman"/>
          <w:sz w:val="24"/>
          <w:szCs w:val="24"/>
        </w:rPr>
        <w:t xml:space="preserve"> is met.</w:t>
      </w:r>
    </w:p>
    <w:p w:rsidR="00475F20" w:rsidRDefault="00E01EAD" w:rsidP="00475F20">
      <w:pPr>
        <w:pStyle w:val="NormalWeb"/>
      </w:pPr>
      <w:r>
        <w:t xml:space="preserve">Other parts </w:t>
      </w:r>
      <w:r w:rsidR="00475F20">
        <w:t xml:space="preserve">of </w:t>
      </w:r>
      <w:r w:rsidR="00475F20" w:rsidRPr="00475F20">
        <w:t>Minn. Stat. § 504B.178</w:t>
      </w:r>
      <w:r w:rsidR="00475F20">
        <w:t xml:space="preserve"> </w:t>
      </w:r>
      <w:r>
        <w:t xml:space="preserve">indicate </w:t>
      </w:r>
      <w:r w:rsidR="00475F20">
        <w:t xml:space="preserve">that </w:t>
      </w:r>
      <w:r>
        <w:t xml:space="preserve">neither </w:t>
      </w:r>
      <w:r w:rsidR="00475F20">
        <w:t xml:space="preserve">the bond premium </w:t>
      </w:r>
      <w:r>
        <w:t>n</w:t>
      </w:r>
      <w:r w:rsidR="00475F20">
        <w:t>or the bond are “security deposits”. Subdivision 2 says the “deposit … shall be held by the land</w:t>
      </w:r>
      <w:r w:rsidR="009872AF">
        <w:t>lord for the tenant”. A</w:t>
      </w:r>
      <w:r w:rsidR="00475F20">
        <w:t>ssuming no kickback, the premium and the bond</w:t>
      </w:r>
      <w:r w:rsidR="009872AF">
        <w:t xml:space="preserve"> are</w:t>
      </w:r>
      <w:r w:rsidR="00475F20">
        <w:t xml:space="preserve"> both held by the bonding company, suggesting they were never “</w:t>
      </w:r>
      <w:r w:rsidR="00CC638F">
        <w:t>deposits” under prong #i. Also, s</w:t>
      </w:r>
      <w:r w:rsidR="00475F20">
        <w:t>ubdivision 3 requires the landlord to “return the deposit to the tenant” absent tenant debts. If the landlord never touched the premium, he cannot “return” the deposit.</w:t>
      </w:r>
    </w:p>
    <w:p w:rsidR="00BF7C6E" w:rsidRDefault="00BF7C6E" w:rsidP="00475F20">
      <w:pPr>
        <w:pStyle w:val="NormalWeb"/>
      </w:pPr>
      <w:r w:rsidRPr="008933D7">
        <w:t xml:space="preserve">When the landlord takes a 20% kickback, then that 20% amount more readily fits within the definition of “security deposit” in Minn. Stat. § 504B.178. The 20% money is deposited one way </w:t>
      </w:r>
      <w:r w:rsidRPr="008933D7">
        <w:lastRenderedPageBreak/>
        <w:t>or another with the landlord, who in turn can readily return the 20% money, with interest, to the tenant at the end of the tenancy</w:t>
      </w:r>
    </w:p>
    <w:p w:rsidR="00B7299C" w:rsidRPr="00E24973" w:rsidRDefault="00BF7C6E" w:rsidP="00475F20">
      <w:pPr>
        <w:pStyle w:val="NormalWeb"/>
      </w:pPr>
      <w:r>
        <w:t>The</w:t>
      </w:r>
      <w:r w:rsidR="00675977">
        <w:t xml:space="preserve"> indication</w:t>
      </w:r>
      <w:r w:rsidR="00B41E84">
        <w:t xml:space="preserve"> from subdivisions 2 and 3 that the bond premium</w:t>
      </w:r>
      <w:r>
        <w:t>s</w:t>
      </w:r>
      <w:r w:rsidR="00B41E84">
        <w:t xml:space="preserve"> and </w:t>
      </w:r>
      <w:r>
        <w:t xml:space="preserve">bonds– at least those </w:t>
      </w:r>
      <w:r w:rsidR="00675977">
        <w:t>not in hands of the landlord --</w:t>
      </w:r>
      <w:r>
        <w:t xml:space="preserve"> </w:t>
      </w:r>
      <w:r w:rsidR="00B41E84">
        <w:t>are not “security deposits” probably arise</w:t>
      </w:r>
      <w:r w:rsidR="00487C5D">
        <w:t>s</w:t>
      </w:r>
      <w:r w:rsidR="00B41E84">
        <w:t xml:space="preserve"> from the fact that when the statute was enacted in 1973 no one even though</w:t>
      </w:r>
      <w:r w:rsidR="00307A4D">
        <w:t>t about security deposit bonds.</w:t>
      </w:r>
      <w:r w:rsidR="00E01EAD">
        <w:t xml:space="preserve"> </w:t>
      </w:r>
      <w:r w:rsidR="0004092B">
        <w:t>Historically</w:t>
      </w:r>
      <w:r w:rsidR="009872AF" w:rsidRPr="00E24973">
        <w:t xml:space="preserve">, both security deposits and security deposit bonds were governed by the common law of contracts. </w:t>
      </w:r>
      <w:r w:rsidR="006958F2" w:rsidRPr="00E24973">
        <w:t>By enacting Minn. Stat. § 504B.178, the legislature w</w:t>
      </w:r>
      <w:r w:rsidR="0004092B">
        <w:t>as abrogating common law</w:t>
      </w:r>
      <w:r w:rsidR="006958F2" w:rsidRPr="00E24973">
        <w:t xml:space="preserve">. One </w:t>
      </w:r>
      <w:r w:rsidR="00B7299C" w:rsidRPr="00E24973">
        <w:t xml:space="preserve">canon </w:t>
      </w:r>
      <w:r w:rsidR="006958F2" w:rsidRPr="00E24973">
        <w:t xml:space="preserve">of statutory construction states </w:t>
      </w:r>
      <w:r w:rsidR="00B7299C" w:rsidRPr="00E24973">
        <w:t>that if “statutory enactment is to abrogate common law, the abrogation must be by express wording or necessary implication”</w:t>
      </w:r>
      <w:r w:rsidR="006958F2" w:rsidRPr="00E24973">
        <w:t>.</w:t>
      </w:r>
      <w:r w:rsidR="00E24973" w:rsidRPr="00E24973">
        <w:t xml:space="preserve"> </w:t>
      </w:r>
      <w:hyperlink r:id="rId27" w:history="1">
        <w:r w:rsidR="00E24973" w:rsidRPr="00E24973">
          <w:rPr>
            <w:rStyle w:val="Hyperlink"/>
            <w:i/>
            <w:iCs/>
            <w:color w:val="1A0DAB"/>
            <w:shd w:val="clear" w:color="auto" w:fill="FFFFFF"/>
          </w:rPr>
          <w:t>Wirig v. Kinney Shoe Corp.,</w:t>
        </w:r>
        <w:r w:rsidR="00E24973" w:rsidRPr="00E24973">
          <w:rPr>
            <w:rStyle w:val="Hyperlink"/>
            <w:color w:val="1A0DAB"/>
            <w:shd w:val="clear" w:color="auto" w:fill="FFFFFF"/>
          </w:rPr>
          <w:t> 461 N.W.2d 374, 377-378 (Minn.1990)</w:t>
        </w:r>
      </w:hyperlink>
      <w:r w:rsidR="00E24973">
        <w:t>.</w:t>
      </w:r>
      <w:r w:rsidR="00675977">
        <w:rPr>
          <w:rStyle w:val="FootnoteReference"/>
        </w:rPr>
        <w:footnoteReference w:id="21"/>
      </w:r>
      <w:r w:rsidR="006958F2" w:rsidRPr="00E24973">
        <w:t xml:space="preserve"> </w:t>
      </w:r>
      <w:r w:rsidR="0004092B">
        <w:t>Based on this</w:t>
      </w:r>
      <w:r w:rsidR="006958F2" w:rsidRPr="00E24973">
        <w:t xml:space="preserve"> canon</w:t>
      </w:r>
      <w:r w:rsidR="00675977">
        <w:t xml:space="preserve"> </w:t>
      </w:r>
      <w:r w:rsidR="00675977" w:rsidRPr="00E24973">
        <w:t xml:space="preserve">a court </w:t>
      </w:r>
      <w:r w:rsidR="00675977">
        <w:t>would</w:t>
      </w:r>
      <w:r w:rsidR="00675977" w:rsidRPr="00E24973">
        <w:t xml:space="preserve"> lean toward ruling that</w:t>
      </w:r>
      <w:r w:rsidR="0004092B">
        <w:t xml:space="preserve"> </w:t>
      </w:r>
      <w:r w:rsidR="006958F2" w:rsidRPr="00E24973">
        <w:t>M</w:t>
      </w:r>
      <w:r w:rsidR="00B7299C" w:rsidRPr="00E24973">
        <w:t>inn. Stat. § 504B.</w:t>
      </w:r>
      <w:r w:rsidR="006958F2" w:rsidRPr="00E24973">
        <w:t xml:space="preserve">178 </w:t>
      </w:r>
      <w:r w:rsidR="00675977">
        <w:t xml:space="preserve">does not </w:t>
      </w:r>
      <w:r w:rsidR="006958F2" w:rsidRPr="00E24973">
        <w:t>regulate</w:t>
      </w:r>
      <w:r w:rsidR="00675977">
        <w:t xml:space="preserve"> security deposit bonds</w:t>
      </w:r>
      <w:r w:rsidR="006958F2" w:rsidRPr="00E24973">
        <w:t>.</w:t>
      </w:r>
    </w:p>
    <w:p w:rsidR="00B7299C" w:rsidRDefault="00B7299C" w:rsidP="00475F20">
      <w:pPr>
        <w:pStyle w:val="NormalWeb"/>
      </w:pPr>
      <w:r>
        <w:t xml:space="preserve">In summary, the language of </w:t>
      </w:r>
      <w:r w:rsidRPr="00475F20">
        <w:t>Minn. Stat. § 504B.178</w:t>
      </w:r>
      <w:r>
        <w:t xml:space="preserve"> </w:t>
      </w:r>
      <w:r w:rsidR="00CE1C98">
        <w:t>indicates</w:t>
      </w:r>
      <w:r>
        <w:t xml:space="preserve"> that it does not cover security bonds or their premiums, at least as to the money not kicked back to the landlord, but the language is not definitive.</w:t>
      </w:r>
    </w:p>
    <w:p w:rsidR="00692A2E" w:rsidRPr="00692A2E" w:rsidRDefault="00692A2E" w:rsidP="00475F20">
      <w:pPr>
        <w:pStyle w:val="NormalWeb"/>
        <w:rPr>
          <w:u w:val="single"/>
        </w:rPr>
      </w:pPr>
      <w:r>
        <w:tab/>
      </w:r>
      <w:r w:rsidRPr="00692A2E">
        <w:rPr>
          <w:u w:val="single"/>
        </w:rPr>
        <w:t xml:space="preserve">Comparison to </w:t>
      </w:r>
      <w:r w:rsidRPr="00692A2E">
        <w:rPr>
          <w:i/>
          <w:u w:val="single"/>
        </w:rPr>
        <w:t>Kopp</w:t>
      </w:r>
    </w:p>
    <w:p w:rsidR="0095121C" w:rsidRDefault="0095121C" w:rsidP="00475F20">
      <w:pPr>
        <w:pStyle w:val="NormalWeb"/>
      </w:pPr>
      <w:r>
        <w:t xml:space="preserve">As discussed above, I think the analysis in </w:t>
      </w:r>
      <w:r w:rsidR="007A2918" w:rsidRPr="00DF2504">
        <w:rPr>
          <w:i/>
        </w:rPr>
        <w:t>Kopp v. Associated Estates Realty Corp</w:t>
      </w:r>
      <w:r w:rsidR="007A2918" w:rsidRPr="007A2918">
        <w:t xml:space="preserve"> </w:t>
      </w:r>
      <w:r>
        <w:t>was cursory. However, its</w:t>
      </w:r>
      <w:r w:rsidR="00DF2504">
        <w:t xml:space="preserve"> holding that the Ohio security-</w:t>
      </w:r>
      <w:r>
        <w:t>deposit law did not govern</w:t>
      </w:r>
      <w:r w:rsidR="00E00C23">
        <w:t xml:space="preserve"> bonds is clear. T</w:t>
      </w:r>
      <w:r w:rsidR="007A2918">
        <w:t xml:space="preserve">he language of </w:t>
      </w:r>
      <w:r w:rsidR="007A2918" w:rsidRPr="00475F20">
        <w:t>Minn. Stat. § 504B.178</w:t>
      </w:r>
      <w:r w:rsidR="007A2918">
        <w:t xml:space="preserve"> </w:t>
      </w:r>
      <w:r w:rsidR="00E00C23">
        <w:t>is very similar to the language of the Ohio statute</w:t>
      </w:r>
      <w:r w:rsidR="007A2918">
        <w:t xml:space="preserve">. If a Minnesota court were to follow </w:t>
      </w:r>
      <w:r w:rsidR="007A2918" w:rsidRPr="00E00C23">
        <w:rPr>
          <w:i/>
        </w:rPr>
        <w:t>Kopp</w:t>
      </w:r>
      <w:r w:rsidR="007A2918">
        <w:t>, it would very likely rule against the tenant, at least if the tenant were only suing her landlord.</w:t>
      </w:r>
    </w:p>
    <w:p w:rsidR="00692A2E" w:rsidRPr="00887F89" w:rsidRDefault="00692A2E" w:rsidP="00475F20">
      <w:pPr>
        <w:pStyle w:val="NormalWeb"/>
        <w:rPr>
          <w:u w:val="single"/>
        </w:rPr>
      </w:pPr>
      <w:r>
        <w:tab/>
      </w:r>
      <w:r w:rsidR="0009398B">
        <w:rPr>
          <w:u w:val="single"/>
        </w:rPr>
        <w:t>The l</w:t>
      </w:r>
      <w:r w:rsidRPr="00887F89">
        <w:rPr>
          <w:u w:val="single"/>
        </w:rPr>
        <w:t>egislative histor</w:t>
      </w:r>
      <w:r w:rsidR="0009398B">
        <w:rPr>
          <w:u w:val="single"/>
        </w:rPr>
        <w:t>y of Minn. Stat. § 504B.178</w:t>
      </w:r>
    </w:p>
    <w:p w:rsidR="00E00C23" w:rsidRDefault="00887F89" w:rsidP="00475F20">
      <w:pPr>
        <w:pStyle w:val="NormalWeb"/>
      </w:pPr>
      <w:r>
        <w:t xml:space="preserve">Perhaps the legislative history of </w:t>
      </w:r>
      <w:r w:rsidRPr="00475F20">
        <w:t>Minn. Stat. § 504B.178</w:t>
      </w:r>
      <w:r>
        <w:t xml:space="preserve"> sheds light on its meaning. </w:t>
      </w:r>
    </w:p>
    <w:p w:rsidR="00887F89" w:rsidRPr="00B26D2A" w:rsidRDefault="00887F89" w:rsidP="00475F20">
      <w:pPr>
        <w:pStyle w:val="NormalWeb"/>
      </w:pPr>
      <w:r>
        <w:t xml:space="preserve">Except for the changes to the interest rate over time, </w:t>
      </w:r>
      <w:r w:rsidR="009D4A2C">
        <w:t xml:space="preserve">the </w:t>
      </w:r>
      <w:r w:rsidR="00672C6F">
        <w:t xml:space="preserve">language of </w:t>
      </w:r>
      <w:r w:rsidR="009D4A2C">
        <w:t>first two subdivisions</w:t>
      </w:r>
      <w:r w:rsidR="00672C6F">
        <w:t xml:space="preserve"> of section 504B.178</w:t>
      </w:r>
      <w:r w:rsidR="0009398B">
        <w:t xml:space="preserve"> is</w:t>
      </w:r>
      <w:r w:rsidR="009D4A2C">
        <w:t xml:space="preserve"> unchanged since the </w:t>
      </w:r>
      <w:r w:rsidR="0009398B">
        <w:t>original statute was enacted i</w:t>
      </w:r>
      <w:r w:rsidR="009D4A2C">
        <w:t xml:space="preserve">n 1973. Compare </w:t>
      </w:r>
      <w:hyperlink r:id="rId28" w:history="1">
        <w:r w:rsidR="009D4A2C" w:rsidRPr="008C51B8">
          <w:rPr>
            <w:rStyle w:val="Hyperlink"/>
          </w:rPr>
          <w:t>Minn. Stat. § 504.20 (1973)</w:t>
        </w:r>
      </w:hyperlink>
      <w:r w:rsidR="009D4A2C" w:rsidRPr="008C51B8">
        <w:t xml:space="preserve"> </w:t>
      </w:r>
      <w:r w:rsidR="009D4A2C" w:rsidRPr="00BF5C2E">
        <w:t xml:space="preserve">and </w:t>
      </w:r>
      <w:hyperlink r:id="rId29" w:history="1">
        <w:r w:rsidR="009D4A2C" w:rsidRPr="008C51B8">
          <w:rPr>
            <w:rStyle w:val="Hyperlink"/>
          </w:rPr>
          <w:t>Minn. Stat. § 504B.178 (2020)</w:t>
        </w:r>
      </w:hyperlink>
      <w:r w:rsidR="009D4A2C">
        <w:t>.</w:t>
      </w:r>
      <w:r w:rsidR="00EF62B5">
        <w:rPr>
          <w:rStyle w:val="FootnoteReference"/>
        </w:rPr>
        <w:footnoteReference w:id="22"/>
      </w:r>
      <w:r w:rsidR="00D97E75">
        <w:t xml:space="preserve"> I am unaware of any </w:t>
      </w:r>
      <w:r w:rsidR="00E00C23">
        <w:t xml:space="preserve">post-1973 </w:t>
      </w:r>
      <w:r w:rsidR="00D97E75">
        <w:t>legislative effort to modify</w:t>
      </w:r>
      <w:r w:rsidR="00D251E3">
        <w:t xml:space="preserve"> the first two subdivisions of</w:t>
      </w:r>
      <w:r w:rsidR="00D97E75">
        <w:t xml:space="preserve"> </w:t>
      </w:r>
      <w:r w:rsidR="00D97E75" w:rsidRPr="00B26D2A">
        <w:t>Minn. Stat. § 504.20 (1973</w:t>
      </w:r>
      <w:r w:rsidR="00BB3AA6">
        <w:t>)</w:t>
      </w:r>
      <w:r w:rsidR="00570249">
        <w:t>. Thus,</w:t>
      </w:r>
      <w:r w:rsidR="00BB3AA6">
        <w:t xml:space="preserve"> only</w:t>
      </w:r>
      <w:r w:rsidR="00D97E75" w:rsidRPr="00B26D2A">
        <w:t xml:space="preserve"> the </w:t>
      </w:r>
      <w:r w:rsidR="00B26D2A" w:rsidRPr="00B26D2A">
        <w:t>1973 legislative history matter</w:t>
      </w:r>
      <w:r w:rsidR="00330A9A">
        <w:t>s for</w:t>
      </w:r>
      <w:r w:rsidR="00D251E3">
        <w:t xml:space="preserve"> the </w:t>
      </w:r>
      <w:r w:rsidR="00B14372">
        <w:t xml:space="preserve">bonds-as-deposits </w:t>
      </w:r>
      <w:r w:rsidR="00D251E3">
        <w:t>issue</w:t>
      </w:r>
      <w:r w:rsidR="00B26D2A" w:rsidRPr="00B26D2A">
        <w:t>.</w:t>
      </w:r>
    </w:p>
    <w:p w:rsidR="00810B03" w:rsidRPr="00810B03" w:rsidRDefault="00810B03" w:rsidP="005C3426">
      <w:pPr>
        <w:pStyle w:val="NormalWeb"/>
        <w:ind w:left="720"/>
        <w:rPr>
          <w:u w:val="single"/>
        </w:rPr>
      </w:pPr>
      <w:r>
        <w:tab/>
      </w:r>
      <w:r w:rsidRPr="00810B03">
        <w:rPr>
          <w:u w:val="single"/>
        </w:rPr>
        <w:t>Records at the Gale library</w:t>
      </w:r>
    </w:p>
    <w:p w:rsidR="00083D1D" w:rsidRDefault="005F56BD" w:rsidP="00475F20">
      <w:pPr>
        <w:pStyle w:val="NormalWeb"/>
      </w:pPr>
      <w:r>
        <w:t>In 2002</w:t>
      </w:r>
      <w:r w:rsidR="00655EB1">
        <w:t xml:space="preserve"> Adam van Alstyne</w:t>
      </w:r>
      <w:r w:rsidR="00083D1D">
        <w:t>,</w:t>
      </w:r>
      <w:r w:rsidR="00655EB1">
        <w:t xml:space="preserve"> a very sharp </w:t>
      </w:r>
      <w:r w:rsidR="00083D1D">
        <w:t xml:space="preserve">law-school-student </w:t>
      </w:r>
      <w:r w:rsidR="00655EB1">
        <w:t xml:space="preserve">intern at HOME Line, </w:t>
      </w:r>
      <w:r w:rsidR="008D153F">
        <w:t>complied</w:t>
      </w:r>
      <w:r w:rsidR="00655EB1">
        <w:t xml:space="preserve"> a comprehensive collection of the </w:t>
      </w:r>
      <w:r w:rsidR="0007685A">
        <w:t>paper records</w:t>
      </w:r>
      <w:r w:rsidR="00655EB1">
        <w:t xml:space="preserve"> of </w:t>
      </w:r>
      <w:r w:rsidR="0007685A">
        <w:t xml:space="preserve">the </w:t>
      </w:r>
      <w:r w:rsidR="00655EB1">
        <w:t xml:space="preserve">Minnesota legislature’s files at the Gale </w:t>
      </w:r>
      <w:r w:rsidR="00655EB1">
        <w:lastRenderedPageBreak/>
        <w:t>Library of the Minnesota History Museum</w:t>
      </w:r>
      <w:r w:rsidR="0007685A">
        <w:t xml:space="preserve"> related to the 1973 law</w:t>
      </w:r>
      <w:r w:rsidR="00655EB1">
        <w:t xml:space="preserve">, </w:t>
      </w:r>
      <w:hyperlink r:id="rId30" w:history="1">
        <w:r w:rsidR="00655EB1" w:rsidRPr="00777762">
          <w:rPr>
            <w:rStyle w:val="Hyperlink"/>
          </w:rPr>
          <w:t xml:space="preserve">Appendix </w:t>
        </w:r>
        <w:r w:rsidR="00553F70" w:rsidRPr="00777762">
          <w:rPr>
            <w:rStyle w:val="Hyperlink"/>
          </w:rPr>
          <w:t>7</w:t>
        </w:r>
      </w:hyperlink>
      <w:r w:rsidR="00327EBD">
        <w:t xml:space="preserve"> (large file, </w:t>
      </w:r>
      <w:r w:rsidR="00327EBD" w:rsidRPr="00327EBD">
        <w:rPr>
          <w:color w:val="222222"/>
          <w:shd w:val="clear" w:color="auto" w:fill="FFFFFF"/>
        </w:rPr>
        <w:t>44,740 KB</w:t>
      </w:r>
      <w:r w:rsidR="00327EBD">
        <w:rPr>
          <w:rFonts w:ascii="Arial" w:hAnsi="Arial" w:cs="Arial"/>
          <w:color w:val="222222"/>
          <w:shd w:val="clear" w:color="auto" w:fill="FFFFFF"/>
        </w:rPr>
        <w:t>).</w:t>
      </w:r>
      <w:r w:rsidR="00655EB1">
        <w:t xml:space="preserve"> </w:t>
      </w:r>
      <w:r w:rsidR="006529B7">
        <w:t xml:space="preserve">By that time, the library had long since discarded </w:t>
      </w:r>
      <w:r w:rsidR="00570249">
        <w:t xml:space="preserve">its </w:t>
      </w:r>
      <w:r w:rsidR="006529B7">
        <w:t>audio tapes of 1973 committee meetings and floor debates.</w:t>
      </w:r>
    </w:p>
    <w:p w:rsidR="00107D9E" w:rsidRDefault="00083D1D" w:rsidP="00475F20">
      <w:pPr>
        <w:pStyle w:val="NormalWeb"/>
      </w:pPr>
      <w:r>
        <w:t xml:space="preserve">The Gale </w:t>
      </w:r>
      <w:r w:rsidR="00FD1CA0">
        <w:t>L</w:t>
      </w:r>
      <w:r>
        <w:t>ibrary also maintains records donated by some former state legislators. Among these are</w:t>
      </w:r>
      <w:r w:rsidR="00570249">
        <w:t xml:space="preserve"> the</w:t>
      </w:r>
      <w:r>
        <w:t xml:space="preserve"> files </w:t>
      </w:r>
      <w:r w:rsidR="00570249">
        <w:t>of</w:t>
      </w:r>
      <w:r>
        <w:t xml:space="preserve"> former State Senator Robert Tennessen, </w:t>
      </w:r>
      <w:r w:rsidR="00FD1CA0">
        <w:t xml:space="preserve">who was </w:t>
      </w:r>
      <w:r>
        <w:t xml:space="preserve">the chief author of 1973 SF 965, the bill that became </w:t>
      </w:r>
      <w:hyperlink r:id="rId31" w:history="1">
        <w:r w:rsidRPr="004272BB">
          <w:rPr>
            <w:rStyle w:val="Hyperlink"/>
          </w:rPr>
          <w:t>1973 Minn. Laws c 561</w:t>
        </w:r>
      </w:hyperlink>
      <w:r>
        <w:t xml:space="preserve">, </w:t>
      </w:r>
      <w:hyperlink r:id="rId32" w:history="1">
        <w:r w:rsidRPr="000313E9">
          <w:rPr>
            <w:rStyle w:val="Hyperlink"/>
          </w:rPr>
          <w:t>Minn. Stat. § 504.20 (1973)</w:t>
        </w:r>
      </w:hyperlink>
      <w:r>
        <w:t>.</w:t>
      </w:r>
      <w:r w:rsidR="0007685A">
        <w:t xml:space="preserve"> </w:t>
      </w:r>
      <w:r>
        <w:t xml:space="preserve">Tennessen’s files </w:t>
      </w:r>
      <w:r w:rsidR="00570249">
        <w:t>include</w:t>
      </w:r>
      <w:r>
        <w:t xml:space="preserve"> </w:t>
      </w:r>
      <w:r w:rsidR="004272BB">
        <w:t xml:space="preserve">two </w:t>
      </w:r>
      <w:r>
        <w:t xml:space="preserve">documents of interest; these are displayed in </w:t>
      </w:r>
      <w:hyperlink r:id="rId33" w:history="1">
        <w:r w:rsidRPr="00777762">
          <w:rPr>
            <w:rStyle w:val="Hyperlink"/>
          </w:rPr>
          <w:t xml:space="preserve">Appendix </w:t>
        </w:r>
        <w:r w:rsidR="00553F70" w:rsidRPr="00777762">
          <w:rPr>
            <w:rStyle w:val="Hyperlink"/>
          </w:rPr>
          <w:t>8</w:t>
        </w:r>
      </w:hyperlink>
      <w:r>
        <w:t>.</w:t>
      </w:r>
      <w:r w:rsidR="00107D9E">
        <w:t xml:space="preserve"> The chief author of the companion House bill, former State Representative Tom Berg, has not donated his files.</w:t>
      </w:r>
      <w:r w:rsidR="004272BB">
        <w:t xml:space="preserve"> When I recently asked him if he still had </w:t>
      </w:r>
      <w:r w:rsidR="00570249">
        <w:t>any</w:t>
      </w:r>
      <w:r w:rsidR="004272BB">
        <w:t xml:space="preserve"> relevant file</w:t>
      </w:r>
      <w:r w:rsidR="00570249">
        <w:t>s</w:t>
      </w:r>
      <w:r w:rsidR="004272BB">
        <w:t xml:space="preserve"> he said he did not.</w:t>
      </w:r>
    </w:p>
    <w:p w:rsidR="001E0AC5" w:rsidRDefault="00107D9E" w:rsidP="00475F20">
      <w:pPr>
        <w:pStyle w:val="NormalWeb"/>
      </w:pPr>
      <w:r>
        <w:t>Th</w:t>
      </w:r>
      <w:r w:rsidR="00083D1D">
        <w:t xml:space="preserve">e legislature’s own files don’t shed light on the bonds-as-deposits issue. The committee minutes say nothing about </w:t>
      </w:r>
      <w:r w:rsidR="001E0AC5">
        <w:t>the issue</w:t>
      </w:r>
      <w:r w:rsidR="00570249">
        <w:t>. W</w:t>
      </w:r>
      <w:r w:rsidR="00083D1D">
        <w:t>ith one exception the final law’s first two subdivisions are the same as the original</w:t>
      </w:r>
      <w:r w:rsidR="008D153F">
        <w:t xml:space="preserve"> (identical) </w:t>
      </w:r>
      <w:r w:rsidR="00083D1D">
        <w:t>House and Senate bills (</w:t>
      </w:r>
      <w:r w:rsidR="006C216D">
        <w:t>1973 HF 1034 and 1973 SF 965). The exception was the addition of the first clause in subdivision 2. As discussed in my previous blog, this change was aimed at avoiding a conflict with another chapter</w:t>
      </w:r>
      <w:r w:rsidR="004272BB">
        <w:t xml:space="preserve"> related to the interest rate; it</w:t>
      </w:r>
      <w:r w:rsidR="006C216D">
        <w:t xml:space="preserve"> had nothing to do with the bonds-as-deposits issue</w:t>
      </w:r>
      <w:r w:rsidR="001E0AC5">
        <w:t xml:space="preserve">. </w:t>
      </w:r>
    </w:p>
    <w:p w:rsidR="00083D1D" w:rsidRPr="005F56BD" w:rsidRDefault="001E0AC5" w:rsidP="00475F20">
      <w:pPr>
        <w:pStyle w:val="NormalWeb"/>
        <w:rPr>
          <w:color w:val="FF0000"/>
        </w:rPr>
      </w:pPr>
      <w:r>
        <w:t>1973 HF 1034</w:t>
      </w:r>
      <w:r w:rsidR="004272BB">
        <w:t xml:space="preserve">, </w:t>
      </w:r>
      <w:r>
        <w:t>1973 SF 965</w:t>
      </w:r>
      <w:r w:rsidR="004272BB">
        <w:t xml:space="preserve"> </w:t>
      </w:r>
      <w:r w:rsidR="00570249">
        <w:t xml:space="preserve">(and thus </w:t>
      </w:r>
      <w:r w:rsidR="004272BB">
        <w:t xml:space="preserve">the enacted law </w:t>
      </w:r>
      <w:r w:rsidR="004272BB" w:rsidRPr="004272BB">
        <w:t>1973 Minn. Laws c 561</w:t>
      </w:r>
      <w:r w:rsidR="004272BB">
        <w:t>/</w:t>
      </w:r>
      <w:r w:rsidR="00570249">
        <w:t xml:space="preserve">Minn. Stat. § 504.20 [1973]) </w:t>
      </w:r>
      <w:r>
        <w:t xml:space="preserve">repealed and replaced the prior law, </w:t>
      </w:r>
      <w:hyperlink r:id="rId34" w:history="1">
        <w:r w:rsidR="00570249" w:rsidRPr="004272BB">
          <w:rPr>
            <w:rStyle w:val="Hyperlink"/>
          </w:rPr>
          <w:t>Minn. Stat. § 504.1</w:t>
        </w:r>
        <w:r w:rsidR="00570249">
          <w:rPr>
            <w:rStyle w:val="Hyperlink"/>
          </w:rPr>
          <w:t>9 (1971)</w:t>
        </w:r>
      </w:hyperlink>
      <w:r>
        <w:t>. Other security-deposit bills were introduced</w:t>
      </w:r>
      <w:r w:rsidR="00570249">
        <w:t xml:space="preserve">. They were not repeal-and-replace bills; instead they amended </w:t>
      </w:r>
      <w:r w:rsidR="00570249" w:rsidRPr="004272BB">
        <w:t xml:space="preserve">Minn. Stat. § 504.19 </w:t>
      </w:r>
      <w:r w:rsidR="00570249">
        <w:t xml:space="preserve">in various ways. However, as </w:t>
      </w:r>
      <w:hyperlink r:id="rId35" w:history="1">
        <w:r w:rsidR="00570249" w:rsidRPr="00777762">
          <w:rPr>
            <w:rStyle w:val="Hyperlink"/>
          </w:rPr>
          <w:t>Appendix 7</w:t>
        </w:r>
      </w:hyperlink>
      <w:r>
        <w:t xml:space="preserve"> shows, none of them advanced once Tennessen and Berg introduced their comprehensive legislation. Moreover, none of those other bills modified any language i</w:t>
      </w:r>
      <w:r w:rsidR="00570249">
        <w:t>n Minn. Stat. § 504.19</w:t>
      </w:r>
      <w:r>
        <w:t xml:space="preserve"> related to the bonds-as-deposits issue.</w:t>
      </w:r>
    </w:p>
    <w:p w:rsidR="001621BA" w:rsidRDefault="001621BA" w:rsidP="00475F20">
      <w:pPr>
        <w:pStyle w:val="NormalWeb"/>
      </w:pPr>
      <w:r>
        <w:t>Senator Tennessen’s files do include a summary of the bill prepared by U</w:t>
      </w:r>
      <w:r w:rsidR="00570249">
        <w:t>niversity</w:t>
      </w:r>
      <w:r>
        <w:t xml:space="preserve"> of M</w:t>
      </w:r>
      <w:r w:rsidR="00570249">
        <w:t>innesota</w:t>
      </w:r>
      <w:r>
        <w:t xml:space="preserve"> law professor (later Dean) Robert Stein. It’s unclear if this summary was used </w:t>
      </w:r>
      <w:r w:rsidR="00CD3D21">
        <w:t>in committee testimony. Regard</w:t>
      </w:r>
      <w:r>
        <w:t>less, Stein’s summary says nothing about subdivision 1 and as to subdivision 2 only states the interest rate as 5% per year non-compounded.</w:t>
      </w:r>
    </w:p>
    <w:p w:rsidR="009D5D9A" w:rsidRDefault="009D5D9A" w:rsidP="00475F20">
      <w:pPr>
        <w:pStyle w:val="NormalWeb"/>
      </w:pPr>
      <w:r>
        <w:t>In summary, the legislature’s and legislator’s files at the Gale Library shed little light on the bonds-as-deposits issue.</w:t>
      </w:r>
    </w:p>
    <w:p w:rsidR="00CD75C3" w:rsidRPr="00CD75C3" w:rsidRDefault="00CD75C3" w:rsidP="005C3426">
      <w:pPr>
        <w:pStyle w:val="NormalWeb"/>
        <w:ind w:left="720"/>
        <w:rPr>
          <w:u w:val="single"/>
        </w:rPr>
      </w:pPr>
      <w:r>
        <w:tab/>
      </w:r>
      <w:r w:rsidRPr="00CD75C3">
        <w:rPr>
          <w:u w:val="single"/>
        </w:rPr>
        <w:t>Discussions with the chief authors</w:t>
      </w:r>
    </w:p>
    <w:p w:rsidR="00CD75C3" w:rsidRDefault="00CD75C3" w:rsidP="00475F20">
      <w:pPr>
        <w:pStyle w:val="NormalWeb"/>
      </w:pPr>
      <w:r>
        <w:t xml:space="preserve">I corresponded with the two chief authors. Neither recalled the bonds-as-deposits issue coming up and nor recalled thinking about it at the time. The nature of their replies suggested that this could mean it came up and they don’t recall what was said or that it didn’t come up, although probably the latter. I’ve spoken to both fairly recently and the problem is not their brains going downhill – far from it – but just that it was 48 years ago. </w:t>
      </w:r>
    </w:p>
    <w:p w:rsidR="00CD75C3" w:rsidRPr="009A4744" w:rsidRDefault="00CD75C3" w:rsidP="00475F20">
      <w:pPr>
        <w:pStyle w:val="NormalWeb"/>
        <w:rPr>
          <w:color w:val="222222"/>
          <w:shd w:val="clear" w:color="auto" w:fill="FFFFFF"/>
        </w:rPr>
      </w:pPr>
      <w:r w:rsidRPr="009A4744">
        <w:t>Tom Berg did write</w:t>
      </w:r>
      <w:r w:rsidR="000E478B">
        <w:t xml:space="preserve"> me</w:t>
      </w:r>
      <w:r w:rsidRPr="009A4744">
        <w:t xml:space="preserve">, </w:t>
      </w:r>
      <w:r w:rsidRPr="009A4744">
        <w:rPr>
          <w:color w:val="222222"/>
          <w:shd w:val="clear" w:color="auto" w:fill="FFFFFF"/>
        </w:rPr>
        <w:t>“As for the source [of</w:t>
      </w:r>
      <w:r w:rsidR="009A4744" w:rsidRPr="009A4744">
        <w:rPr>
          <w:color w:val="222222"/>
          <w:shd w:val="clear" w:color="auto" w:fill="FFFFFF"/>
        </w:rPr>
        <w:t xml:space="preserve"> 1973</w:t>
      </w:r>
      <w:r w:rsidRPr="009A4744">
        <w:rPr>
          <w:color w:val="222222"/>
          <w:shd w:val="clear" w:color="auto" w:fill="FFFFFF"/>
        </w:rPr>
        <w:t xml:space="preserve"> HF 1034], this bill came from my friends at Legal Aid. I remember Paul Marino and my law school classmate Bernie Becker. They did the basic drafting and may have worked with someone in the Revisor of Statutes office. I heavily relied on their expertise and good political judgement.” Both Mr. Marino and Mr. Becker have since died so I could not talk to them.</w:t>
      </w:r>
    </w:p>
    <w:p w:rsidR="009A4744" w:rsidRPr="009A4744" w:rsidRDefault="00382C9C" w:rsidP="005C3426">
      <w:pPr>
        <w:pStyle w:val="NormalWeb"/>
        <w:ind w:left="1440"/>
        <w:rPr>
          <w:color w:val="222222"/>
          <w:u w:val="single"/>
          <w:shd w:val="clear" w:color="auto" w:fill="FFFFFF"/>
        </w:rPr>
      </w:pPr>
      <w:r>
        <w:rPr>
          <w:color w:val="222222"/>
          <w:u w:val="single"/>
          <w:shd w:val="clear" w:color="auto" w:fill="FFFFFF"/>
        </w:rPr>
        <w:lastRenderedPageBreak/>
        <w:t>The p</w:t>
      </w:r>
      <w:r w:rsidR="009A4744" w:rsidRPr="009A4744">
        <w:rPr>
          <w:color w:val="222222"/>
          <w:u w:val="single"/>
          <w:shd w:val="clear" w:color="auto" w:fill="FFFFFF"/>
        </w:rPr>
        <w:t>robable source of the 1973 bill</w:t>
      </w:r>
      <w:r>
        <w:rPr>
          <w:color w:val="222222"/>
          <w:u w:val="single"/>
          <w:shd w:val="clear" w:color="auto" w:fill="FFFFFF"/>
        </w:rPr>
        <w:t>s is</w:t>
      </w:r>
      <w:r w:rsidR="005C3426">
        <w:rPr>
          <w:color w:val="222222"/>
          <w:u w:val="single"/>
          <w:shd w:val="clear" w:color="auto" w:fill="FFFFFF"/>
        </w:rPr>
        <w:t xml:space="preserve"> a Model Code; implications from that code</w:t>
      </w:r>
    </w:p>
    <w:p w:rsidR="009A4744" w:rsidRDefault="009A4744" w:rsidP="00475F20">
      <w:pPr>
        <w:pStyle w:val="NormalWeb"/>
        <w:rPr>
          <w:color w:val="222222"/>
          <w:shd w:val="clear" w:color="auto" w:fill="FFFFFF"/>
        </w:rPr>
      </w:pPr>
      <w:r>
        <w:t xml:space="preserve">The language of </w:t>
      </w:r>
      <w:r w:rsidRPr="009A4744">
        <w:rPr>
          <w:color w:val="222222"/>
          <w:shd w:val="clear" w:color="auto" w:fill="FFFFFF"/>
        </w:rPr>
        <w:t>1973 HF 1034</w:t>
      </w:r>
      <w:r>
        <w:rPr>
          <w:color w:val="222222"/>
          <w:shd w:val="clear" w:color="auto" w:fill="FFFFFF"/>
        </w:rPr>
        <w:t>/</w:t>
      </w:r>
      <w:r w:rsidRPr="009A4744">
        <w:rPr>
          <w:color w:val="222222"/>
          <w:shd w:val="clear" w:color="auto" w:fill="FFFFFF"/>
        </w:rPr>
        <w:t>1973</w:t>
      </w:r>
      <w:r>
        <w:rPr>
          <w:color w:val="222222"/>
          <w:shd w:val="clear" w:color="auto" w:fill="FFFFFF"/>
        </w:rPr>
        <w:t xml:space="preserve"> S</w:t>
      </w:r>
      <w:r w:rsidRPr="009A4744">
        <w:rPr>
          <w:color w:val="222222"/>
          <w:shd w:val="clear" w:color="auto" w:fill="FFFFFF"/>
        </w:rPr>
        <w:t xml:space="preserve">F </w:t>
      </w:r>
      <w:r>
        <w:rPr>
          <w:color w:val="222222"/>
          <w:shd w:val="clear" w:color="auto" w:fill="FFFFFF"/>
        </w:rPr>
        <w:t xml:space="preserve">965 bears a striking resemblance to a 1950 California law, </w:t>
      </w:r>
      <w:r w:rsidR="00703366">
        <w:rPr>
          <w:color w:val="222222"/>
          <w:shd w:val="clear" w:color="auto" w:fill="FFFFFF"/>
        </w:rPr>
        <w:t>Cal. Stats. 1970, c. 1317, p. 2453, § 1</w:t>
      </w:r>
      <w:r>
        <w:rPr>
          <w:color w:val="222222"/>
          <w:shd w:val="clear" w:color="auto" w:fill="FFFFFF"/>
        </w:rPr>
        <w:t xml:space="preserve">, </w:t>
      </w:r>
      <w:r w:rsidR="000E478B">
        <w:rPr>
          <w:color w:val="222222"/>
          <w:shd w:val="clear" w:color="auto" w:fill="FFFFFF"/>
        </w:rPr>
        <w:t xml:space="preserve">which is </w:t>
      </w:r>
      <w:r>
        <w:rPr>
          <w:color w:val="222222"/>
          <w:shd w:val="clear" w:color="auto" w:fill="FFFFFF"/>
        </w:rPr>
        <w:t xml:space="preserve">quoted in its entirety in </w:t>
      </w:r>
      <w:hyperlink r:id="rId36" w:history="1">
        <w:r w:rsidR="005C3426">
          <w:rPr>
            <w:rStyle w:val="Hyperlink"/>
            <w:i/>
            <w:iCs/>
          </w:rPr>
          <w:t>Bauman</w:t>
        </w:r>
        <w:r w:rsidR="005C3426">
          <w:rPr>
            <w:rStyle w:val="Hyperlink"/>
          </w:rPr>
          <w:t xml:space="preserve"> v. </w:t>
        </w:r>
        <w:r w:rsidR="005C3426">
          <w:rPr>
            <w:rStyle w:val="Hyperlink"/>
            <w:i/>
            <w:iCs/>
          </w:rPr>
          <w:t>Islay Investments</w:t>
        </w:r>
        <w:r w:rsidR="005C3426">
          <w:rPr>
            <w:rStyle w:val="Hyperlink"/>
          </w:rPr>
          <w:t xml:space="preserve">, 30 Cal. App.3d 752, 761 </w:t>
        </w:r>
        <w:r w:rsidR="005C3426" w:rsidRPr="005C3426">
          <w:rPr>
            <w:rStyle w:val="Hyperlink"/>
          </w:rPr>
          <w:t>(</w:t>
        </w:r>
        <w:r w:rsidR="005C3426">
          <w:rPr>
            <w:rStyle w:val="Hyperlink"/>
          </w:rPr>
          <w:t>Cal. C</w:t>
        </w:r>
        <w:r w:rsidR="00703366">
          <w:rPr>
            <w:rStyle w:val="Hyperlink"/>
          </w:rPr>
          <w:t>t. App.</w:t>
        </w:r>
        <w:r w:rsidR="000E478B">
          <w:rPr>
            <w:rStyle w:val="Hyperlink"/>
          </w:rPr>
          <w:t xml:space="preserve"> Feb. 22, </w:t>
        </w:r>
        <w:r w:rsidR="005C3426" w:rsidRPr="005C3426">
          <w:rPr>
            <w:rStyle w:val="Hyperlink"/>
          </w:rPr>
          <w:t>1973)</w:t>
        </w:r>
      </w:hyperlink>
      <w:r>
        <w:rPr>
          <w:color w:val="222222"/>
          <w:shd w:val="clear" w:color="auto" w:fill="FFFFFF"/>
        </w:rPr>
        <w:t xml:space="preserve">. Other state statutes </w:t>
      </w:r>
      <w:r w:rsidR="000E478B">
        <w:rPr>
          <w:color w:val="222222"/>
          <w:shd w:val="clear" w:color="auto" w:fill="FFFFFF"/>
        </w:rPr>
        <w:t>also resemble the California statute</w:t>
      </w:r>
      <w:r>
        <w:rPr>
          <w:color w:val="222222"/>
          <w:shd w:val="clear" w:color="auto" w:fill="FFFFFF"/>
        </w:rPr>
        <w:t>, but I don’t think any of them were enacted before the 1973 Minnesota law.</w:t>
      </w:r>
    </w:p>
    <w:p w:rsidR="009A4744" w:rsidRDefault="009A4744" w:rsidP="00475F20">
      <w:pPr>
        <w:pStyle w:val="NormalWeb"/>
        <w:rPr>
          <w:color w:val="222222"/>
          <w:shd w:val="clear" w:color="auto" w:fill="FFFFFF"/>
        </w:rPr>
      </w:pPr>
      <w:r>
        <w:rPr>
          <w:color w:val="222222"/>
          <w:shd w:val="clear" w:color="auto" w:fill="FFFFFF"/>
        </w:rPr>
        <w:t xml:space="preserve">As </w:t>
      </w:r>
      <w:r w:rsidR="0045615A" w:rsidRPr="0045615A">
        <w:rPr>
          <w:i/>
          <w:color w:val="222222"/>
          <w:shd w:val="clear" w:color="auto" w:fill="FFFFFF"/>
        </w:rPr>
        <w:t>Bauman</w:t>
      </w:r>
      <w:r>
        <w:rPr>
          <w:color w:val="222222"/>
          <w:shd w:val="clear" w:color="auto" w:fill="FFFFFF"/>
        </w:rPr>
        <w:t xml:space="preserve"> </w:t>
      </w:r>
      <w:r w:rsidRPr="0045615A">
        <w:rPr>
          <w:shd w:val="clear" w:color="auto" w:fill="FFFFFF"/>
        </w:rPr>
        <w:t>states, the C</w:t>
      </w:r>
      <w:r w:rsidR="0045615A">
        <w:rPr>
          <w:shd w:val="clear" w:color="auto" w:fill="FFFFFF"/>
        </w:rPr>
        <w:t>alifornia</w:t>
      </w:r>
      <w:r w:rsidRPr="0045615A">
        <w:rPr>
          <w:shd w:val="clear" w:color="auto" w:fill="FFFFFF"/>
        </w:rPr>
        <w:t xml:space="preserve"> law, and by implication the Minnesota law, were copied, at least in part, from </w:t>
      </w:r>
      <w:r w:rsidR="00382C9C" w:rsidRPr="0045615A">
        <w:rPr>
          <w:shd w:val="clear" w:color="auto" w:fill="FFFFFF"/>
        </w:rPr>
        <w:t>the</w:t>
      </w:r>
      <w:r w:rsidRPr="0045615A">
        <w:rPr>
          <w:shd w:val="clear" w:color="auto" w:fill="FFFFFF"/>
        </w:rPr>
        <w:t xml:space="preserve"> </w:t>
      </w:r>
      <w:r w:rsidRPr="0045615A">
        <w:rPr>
          <w:i/>
          <w:shd w:val="clear" w:color="auto" w:fill="FFFFFF"/>
        </w:rPr>
        <w:t>Model</w:t>
      </w:r>
      <w:r w:rsidR="00382C9C" w:rsidRPr="0045615A">
        <w:rPr>
          <w:i/>
          <w:shd w:val="clear" w:color="auto" w:fill="FFFFFF"/>
        </w:rPr>
        <w:t xml:space="preserve"> Residential Landlord-Tenant</w:t>
      </w:r>
      <w:r w:rsidRPr="0045615A">
        <w:rPr>
          <w:i/>
          <w:shd w:val="clear" w:color="auto" w:fill="FFFFFF"/>
        </w:rPr>
        <w:t xml:space="preserve"> Code</w:t>
      </w:r>
      <w:r w:rsidR="00382C9C" w:rsidRPr="0045615A">
        <w:rPr>
          <w:i/>
          <w:shd w:val="clear" w:color="auto" w:fill="FFFFFF"/>
        </w:rPr>
        <w:t>, Tentative Draft</w:t>
      </w:r>
      <w:r w:rsidR="00382C9C" w:rsidRPr="0045615A">
        <w:rPr>
          <w:shd w:val="clear" w:color="auto" w:fill="FFFFFF"/>
        </w:rPr>
        <w:t xml:space="preserve"> (</w:t>
      </w:r>
      <w:r w:rsidR="0045615A" w:rsidRPr="0045615A">
        <w:rPr>
          <w:shd w:val="clear" w:color="auto" w:fill="FFFFFF"/>
        </w:rPr>
        <w:t xml:space="preserve">American Bar Foundation </w:t>
      </w:r>
      <w:r w:rsidR="00382C9C" w:rsidRPr="0045615A">
        <w:rPr>
          <w:shd w:val="clear" w:color="auto" w:fill="FFFFFF"/>
        </w:rPr>
        <w:t>1969) (“Model Code”)</w:t>
      </w:r>
      <w:r w:rsidR="0045615A" w:rsidRPr="0045615A">
        <w:rPr>
          <w:shd w:val="clear" w:color="auto" w:fill="FFFFFF"/>
        </w:rPr>
        <w:t>.</w:t>
      </w:r>
      <w:r w:rsidR="0045615A" w:rsidRPr="0045615A">
        <w:rPr>
          <w:rStyle w:val="FootnoteReference"/>
          <w:shd w:val="clear" w:color="auto" w:fill="FFFFFF"/>
        </w:rPr>
        <w:footnoteReference w:id="23"/>
      </w:r>
      <w:r w:rsidRPr="0045615A">
        <w:rPr>
          <w:shd w:val="clear" w:color="auto" w:fill="FFFFFF"/>
        </w:rPr>
        <w:t xml:space="preserve"> I have copied the part related to security deposits plus associated definitions </w:t>
      </w:r>
      <w:r w:rsidR="0010600E">
        <w:rPr>
          <w:shd w:val="clear" w:color="auto" w:fill="FFFFFF"/>
        </w:rPr>
        <w:t>in</w:t>
      </w:r>
      <w:r w:rsidRPr="0045615A">
        <w:rPr>
          <w:shd w:val="clear" w:color="auto" w:fill="FFFFFF"/>
        </w:rPr>
        <w:t xml:space="preserve"> </w:t>
      </w:r>
      <w:hyperlink r:id="rId37" w:history="1">
        <w:r w:rsidRPr="00777762">
          <w:rPr>
            <w:rStyle w:val="Hyperlink"/>
            <w:shd w:val="clear" w:color="auto" w:fill="FFFFFF"/>
          </w:rPr>
          <w:t xml:space="preserve">Appendix </w:t>
        </w:r>
        <w:r w:rsidR="00553F70" w:rsidRPr="00777762">
          <w:rPr>
            <w:rStyle w:val="Hyperlink"/>
            <w:shd w:val="clear" w:color="auto" w:fill="FFFFFF"/>
          </w:rPr>
          <w:t>9</w:t>
        </w:r>
      </w:hyperlink>
      <w:r>
        <w:rPr>
          <w:color w:val="222222"/>
          <w:shd w:val="clear" w:color="auto" w:fill="FFFFFF"/>
        </w:rPr>
        <w:t>.</w:t>
      </w:r>
      <w:r w:rsidR="00EF10BE">
        <w:rPr>
          <w:rStyle w:val="FootnoteReference"/>
          <w:color w:val="222222"/>
          <w:shd w:val="clear" w:color="auto" w:fill="FFFFFF"/>
        </w:rPr>
        <w:footnoteReference w:id="24"/>
      </w:r>
    </w:p>
    <w:p w:rsidR="009A4744" w:rsidRDefault="009A4744" w:rsidP="00475F20">
      <w:pPr>
        <w:pStyle w:val="NormalWeb"/>
      </w:pPr>
      <w:r>
        <w:rPr>
          <w:color w:val="222222"/>
          <w:shd w:val="clear" w:color="auto" w:fill="FFFFFF"/>
        </w:rPr>
        <w:t>Reading the Model Code and the Minnesota law, one can see that the Minnesota law was copied in large part from the Model Code.</w:t>
      </w:r>
      <w:r w:rsidR="00A831AF">
        <w:rPr>
          <w:rStyle w:val="FootnoteReference"/>
          <w:color w:val="222222"/>
          <w:shd w:val="clear" w:color="auto" w:fill="FFFFFF"/>
        </w:rPr>
        <w:footnoteReference w:id="25"/>
      </w:r>
      <w:r>
        <w:rPr>
          <w:color w:val="222222"/>
          <w:shd w:val="clear" w:color="auto" w:fill="FFFFFF"/>
        </w:rPr>
        <w:t xml:space="preserve"> The drafters disagreed with th</w:t>
      </w:r>
      <w:r w:rsidR="005E73B0">
        <w:rPr>
          <w:color w:val="222222"/>
          <w:shd w:val="clear" w:color="auto" w:fill="FFFFFF"/>
        </w:rPr>
        <w:t xml:space="preserve">e Model </w:t>
      </w:r>
      <w:r w:rsidR="001A1F61">
        <w:rPr>
          <w:color w:val="222222"/>
          <w:shd w:val="clear" w:color="auto" w:fill="FFFFFF"/>
        </w:rPr>
        <w:t xml:space="preserve">Code’s no-interest rule, the rule regarding prepayment of last month rent, </w:t>
      </w:r>
      <w:r w:rsidR="005E73B0">
        <w:rPr>
          <w:color w:val="222222"/>
          <w:shd w:val="clear" w:color="auto" w:fill="FFFFFF"/>
        </w:rPr>
        <w:t xml:space="preserve">and the criminal-law penalty for </w:t>
      </w:r>
      <w:r w:rsidR="00B449F9">
        <w:rPr>
          <w:color w:val="222222"/>
          <w:shd w:val="clear" w:color="auto" w:fill="FFFFFF"/>
        </w:rPr>
        <w:t>noncompliance</w:t>
      </w:r>
      <w:r w:rsidR="00B168F9">
        <w:rPr>
          <w:color w:val="222222"/>
          <w:shd w:val="clear" w:color="auto" w:fill="FFFFFF"/>
        </w:rPr>
        <w:t xml:space="preserve">, but </w:t>
      </w:r>
      <w:r w:rsidR="005E73B0">
        <w:rPr>
          <w:color w:val="222222"/>
          <w:shd w:val="clear" w:color="auto" w:fill="FFFFFF"/>
        </w:rPr>
        <w:t xml:space="preserve">otherwise the laws were similar, especially the parts that </w:t>
      </w:r>
      <w:r w:rsidR="00B168F9">
        <w:rPr>
          <w:color w:val="222222"/>
          <w:shd w:val="clear" w:color="auto" w:fill="FFFFFF"/>
        </w:rPr>
        <w:t xml:space="preserve">became </w:t>
      </w:r>
      <w:r w:rsidR="005E73B0">
        <w:rPr>
          <w:color w:val="222222"/>
          <w:shd w:val="clear" w:color="auto" w:fill="FFFFFF"/>
        </w:rPr>
        <w:t xml:space="preserve">the first two subdivisions of </w:t>
      </w:r>
      <w:r w:rsidR="005E73B0" w:rsidRPr="00B26D2A">
        <w:t>Minn. Stat. § 504.20</w:t>
      </w:r>
      <w:r w:rsidR="005E73B0">
        <w:t xml:space="preserve"> (1973).</w:t>
      </w:r>
    </w:p>
    <w:p w:rsidR="001A1F61" w:rsidRDefault="001A1F61" w:rsidP="00475F20">
      <w:pPr>
        <w:pStyle w:val="NormalWeb"/>
      </w:pPr>
      <w:r>
        <w:t>This is especially true of the first sentence in each law. Compare:</w:t>
      </w:r>
    </w:p>
    <w:p w:rsidR="001A1F61" w:rsidRDefault="001A1F61" w:rsidP="001A1F61">
      <w:pPr>
        <w:pStyle w:val="NormalWeb"/>
        <w:ind w:left="720"/>
      </w:pPr>
      <w:r w:rsidRPr="009267D2">
        <w:rPr>
          <w:smallCaps/>
        </w:rPr>
        <w:t>[1973 Minnesota law, subdivision 1</w:t>
      </w:r>
      <w:r>
        <w:t xml:space="preserve">] </w:t>
      </w:r>
      <w:r w:rsidRPr="001A1F61">
        <w:rPr>
          <w:u w:val="single"/>
        </w:rPr>
        <w:t>Any deposit of money, the function of which is to secure the performance of a residential rental agreement or any part of such an agreement</w:t>
      </w:r>
      <w:r>
        <w:t xml:space="preserve">, other than a deposit which is exclusively an advance payment of rent, </w:t>
      </w:r>
      <w:r w:rsidRPr="009267D2">
        <w:rPr>
          <w:u w:val="single"/>
        </w:rPr>
        <w:t>shall be governed by the provisions of this section</w:t>
      </w:r>
      <w:r w:rsidRPr="001A1F61">
        <w:t>. [emphasis added]</w:t>
      </w:r>
    </w:p>
    <w:p w:rsidR="00B546C4" w:rsidRDefault="00B546C4" w:rsidP="00B546C4">
      <w:pPr>
        <w:pStyle w:val="NormalWeb"/>
      </w:pPr>
      <w:r>
        <w:t>to</w:t>
      </w:r>
    </w:p>
    <w:p w:rsidR="001A1F61" w:rsidRPr="001A1F61" w:rsidRDefault="001A1F61" w:rsidP="001A1F61">
      <w:pPr>
        <w:pStyle w:val="NormalWeb"/>
        <w:ind w:left="720"/>
        <w:rPr>
          <w:u w:val="single"/>
        </w:rPr>
      </w:pPr>
      <w:r w:rsidRPr="009267D2">
        <w:rPr>
          <w:smallCaps/>
        </w:rPr>
        <w:t>[Model Code, section 2-401(1)</w:t>
      </w:r>
      <w:r w:rsidR="009267D2" w:rsidRPr="009267D2">
        <w:rPr>
          <w:smallCaps/>
        </w:rPr>
        <w:t>]</w:t>
      </w:r>
      <w:r>
        <w:t xml:space="preserve"> </w:t>
      </w:r>
      <w:r w:rsidRPr="001A1F61">
        <w:rPr>
          <w:u w:val="single"/>
        </w:rPr>
        <w:t>Any</w:t>
      </w:r>
      <w:r w:rsidR="00B546C4">
        <w:rPr>
          <w:u w:val="single"/>
        </w:rPr>
        <w:t xml:space="preserve"> </w:t>
      </w:r>
      <w:r w:rsidR="00B546C4" w:rsidRPr="00B546C4">
        <w:t>advance or</w:t>
      </w:r>
      <w:r w:rsidRPr="001A1F61">
        <w:rPr>
          <w:u w:val="single"/>
        </w:rPr>
        <w:t xml:space="preserve"> deposit of money, </w:t>
      </w:r>
      <w:r w:rsidR="00B546C4" w:rsidRPr="00B546C4">
        <w:t xml:space="preserve">regardless of its </w:t>
      </w:r>
      <w:r w:rsidR="00B546C4" w:rsidRPr="009267D2">
        <w:t>denomination</w:t>
      </w:r>
      <w:r w:rsidR="009267D2">
        <w:t xml:space="preserve">, </w:t>
      </w:r>
      <w:r w:rsidR="009267D2">
        <w:rPr>
          <w:u w:val="single"/>
        </w:rPr>
        <w:t>t</w:t>
      </w:r>
      <w:r w:rsidRPr="001A1F61">
        <w:rPr>
          <w:u w:val="single"/>
        </w:rPr>
        <w:t xml:space="preserve">he function of which is to secure the performance of a </w:t>
      </w:r>
      <w:r w:rsidR="00B546C4">
        <w:rPr>
          <w:u w:val="single"/>
        </w:rPr>
        <w:t>[</w:t>
      </w:r>
      <w:r w:rsidRPr="001A1F61">
        <w:rPr>
          <w:u w:val="single"/>
        </w:rPr>
        <w:t>residential</w:t>
      </w:r>
      <w:r w:rsidR="00B546C4">
        <w:rPr>
          <w:u w:val="single"/>
        </w:rPr>
        <w:t>]</w:t>
      </w:r>
      <w:r w:rsidR="00466517">
        <w:rPr>
          <w:rStyle w:val="FootnoteReference"/>
          <w:u w:val="single"/>
        </w:rPr>
        <w:footnoteReference w:id="26"/>
      </w:r>
      <w:r w:rsidRPr="001A1F61">
        <w:rPr>
          <w:u w:val="single"/>
        </w:rPr>
        <w:t xml:space="preserve"> </w:t>
      </w:r>
      <w:r w:rsidRPr="001A1F61">
        <w:rPr>
          <w:u w:val="single"/>
        </w:rPr>
        <w:lastRenderedPageBreak/>
        <w:t xml:space="preserve">rental agreement or any part </w:t>
      </w:r>
      <w:r w:rsidR="00B546C4">
        <w:rPr>
          <w:u w:val="single"/>
        </w:rPr>
        <w:t>thereof</w:t>
      </w:r>
      <w:r>
        <w:t xml:space="preserve">, </w:t>
      </w:r>
      <w:r w:rsidRPr="00B546C4">
        <w:rPr>
          <w:u w:val="single"/>
        </w:rPr>
        <w:t>shall be governed by the provisions of this section</w:t>
      </w:r>
      <w:r w:rsidRPr="001A1F61">
        <w:t>. [emphasis added]</w:t>
      </w:r>
    </w:p>
    <w:p w:rsidR="001A1F61" w:rsidRPr="00466517" w:rsidRDefault="00466517" w:rsidP="00466517">
      <w:pPr>
        <w:pStyle w:val="NormalWeb"/>
      </w:pPr>
      <w:r w:rsidRPr="00466517">
        <w:t>As stated above, the Minnesota drafters made a policy choice to exclude prepaid rent from the statute’s reach</w:t>
      </w:r>
      <w:r w:rsidR="009267D2">
        <w:t xml:space="preserve"> and apparently</w:t>
      </w:r>
      <w:r w:rsidR="000E478B">
        <w:t xml:space="preserve"> also</w:t>
      </w:r>
      <w:r w:rsidR="009267D2">
        <w:t xml:space="preserve"> disliked payment in foreign currency</w:t>
      </w:r>
      <w:r w:rsidRPr="00466517">
        <w:t>. Otherwise, the provisions are the same.</w:t>
      </w:r>
    </w:p>
    <w:p w:rsidR="00B168F9" w:rsidRDefault="00466517" w:rsidP="00B168F9">
      <w:pPr>
        <w:pStyle w:val="NormalWeb"/>
      </w:pPr>
      <w:r>
        <w:t>Typically when model codes are adopted by the legislature, the comments by the model-code drafters are given some credence. It is even possible that the testifiers to the 1973 commit</w:t>
      </w:r>
      <w:r w:rsidR="005C3426">
        <w:t>t</w:t>
      </w:r>
      <w:r>
        <w:t>ees discussed the comments.</w:t>
      </w:r>
      <w:r w:rsidR="00B168F9">
        <w:t xml:space="preserve"> </w:t>
      </w:r>
      <w:r>
        <w:t xml:space="preserve">The relevant comment is the very first sentence under “COMMENT”, to wit, </w:t>
      </w:r>
    </w:p>
    <w:p w:rsidR="000E478B" w:rsidRPr="00B168F9" w:rsidRDefault="00466517" w:rsidP="00B168F9">
      <w:pPr>
        <w:pStyle w:val="NormalWeb"/>
        <w:ind w:left="720"/>
        <w:rPr>
          <w:rFonts w:ascii="Arial" w:hAnsi="Arial" w:cs="Arial"/>
          <w:sz w:val="21"/>
          <w:szCs w:val="21"/>
        </w:rPr>
      </w:pPr>
      <w:r w:rsidRPr="00B168F9">
        <w:rPr>
          <w:rFonts w:ascii="Arial" w:hAnsi="Arial" w:cs="Arial"/>
          <w:sz w:val="21"/>
          <w:szCs w:val="21"/>
        </w:rPr>
        <w:t xml:space="preserve">The first sentence of </w:t>
      </w:r>
      <w:r w:rsidR="00713E90" w:rsidRPr="00B168F9">
        <w:rPr>
          <w:rFonts w:ascii="Arial" w:hAnsi="Arial" w:cs="Arial"/>
          <w:sz w:val="21"/>
          <w:szCs w:val="21"/>
        </w:rPr>
        <w:t xml:space="preserve">[Model Code Section 2-401,] </w:t>
      </w:r>
      <w:r w:rsidRPr="00B168F9">
        <w:rPr>
          <w:rFonts w:ascii="Arial" w:hAnsi="Arial" w:cs="Arial"/>
          <w:sz w:val="21"/>
          <w:szCs w:val="21"/>
        </w:rPr>
        <w:t xml:space="preserve">subdivision (1) defines “security deposit” in terms of </w:t>
      </w:r>
      <w:r w:rsidR="00B168F9" w:rsidRPr="00B168F9">
        <w:rPr>
          <w:rFonts w:ascii="Arial" w:hAnsi="Arial" w:cs="Arial"/>
          <w:sz w:val="21"/>
          <w:szCs w:val="21"/>
        </w:rPr>
        <w:t>its intended security function.</w:t>
      </w:r>
    </w:p>
    <w:p w:rsidR="00466517" w:rsidRDefault="00AA25BE" w:rsidP="00475F20">
      <w:pPr>
        <w:pStyle w:val="NormalWeb"/>
      </w:pPr>
      <w:r>
        <w:t xml:space="preserve">The comment is hardly definitive but </w:t>
      </w:r>
      <w:r w:rsidR="00B168F9">
        <w:t>it does suggest</w:t>
      </w:r>
      <w:r>
        <w:t xml:space="preserve"> a broad reach of “security deposit”, possibly broad enough to encompass security deposit bonds.</w:t>
      </w:r>
    </w:p>
    <w:p w:rsidR="00AA25BE" w:rsidRDefault="00AA25BE" w:rsidP="00475F20">
      <w:pPr>
        <w:pStyle w:val="NormalWeb"/>
      </w:pPr>
      <w:r>
        <w:t>A more attenuated argument can be made on the basis of two other parts of the Model Code. Since they are not part of the code that t</w:t>
      </w:r>
      <w:r w:rsidR="00B168F9">
        <w:t xml:space="preserve">he Minnesota legislature copied, </w:t>
      </w:r>
      <w:r>
        <w:t>their import is less than the comment just quoted. Nonetheless, I call attention to the following two provisions in the Model Code:</w:t>
      </w:r>
    </w:p>
    <w:p w:rsidR="00AA25BE" w:rsidRPr="00B168F9" w:rsidRDefault="00AA25BE" w:rsidP="00C34A2E">
      <w:pPr>
        <w:pStyle w:val="NormalWeb"/>
        <w:ind w:left="720"/>
        <w:rPr>
          <w:rFonts w:ascii="Arial" w:hAnsi="Arial" w:cs="Arial"/>
          <w:sz w:val="21"/>
          <w:szCs w:val="21"/>
        </w:rPr>
      </w:pPr>
      <w:r w:rsidRPr="00B168F9">
        <w:rPr>
          <w:rFonts w:ascii="Arial" w:hAnsi="Arial" w:cs="Arial"/>
          <w:sz w:val="21"/>
          <w:szCs w:val="21"/>
        </w:rPr>
        <w:t>Section 1-104. Applicability of the Act</w:t>
      </w:r>
    </w:p>
    <w:p w:rsidR="00475F20" w:rsidRPr="00B168F9" w:rsidRDefault="00AA25BE" w:rsidP="00C34A2E">
      <w:pPr>
        <w:pStyle w:val="NormalWeb"/>
        <w:ind w:left="720"/>
        <w:rPr>
          <w:rFonts w:ascii="Arial" w:hAnsi="Arial" w:cs="Arial"/>
          <w:sz w:val="21"/>
          <w:szCs w:val="21"/>
        </w:rPr>
      </w:pPr>
      <w:r w:rsidRPr="00B168F9">
        <w:rPr>
          <w:rFonts w:ascii="Arial" w:hAnsi="Arial" w:cs="Arial"/>
          <w:sz w:val="21"/>
          <w:szCs w:val="21"/>
        </w:rPr>
        <w:t xml:space="preserve">This Act shall regulate and determine all legal rights, remedies, and obligations </w:t>
      </w:r>
      <w:r w:rsidR="006F686C" w:rsidRPr="00B168F9">
        <w:rPr>
          <w:rFonts w:ascii="Arial" w:hAnsi="Arial" w:cs="Arial"/>
          <w:sz w:val="21"/>
          <w:szCs w:val="21"/>
        </w:rPr>
        <w:t>of the parties and</w:t>
      </w:r>
      <w:r w:rsidR="00C34A2E" w:rsidRPr="00B168F9">
        <w:rPr>
          <w:rFonts w:ascii="Arial" w:hAnsi="Arial" w:cs="Arial"/>
          <w:sz w:val="21"/>
          <w:szCs w:val="21"/>
        </w:rPr>
        <w:t xml:space="preserve"> </w:t>
      </w:r>
      <w:r w:rsidRPr="00B168F9">
        <w:rPr>
          <w:rFonts w:ascii="Arial" w:hAnsi="Arial" w:cs="Arial"/>
          <w:sz w:val="21"/>
          <w:szCs w:val="21"/>
        </w:rPr>
        <w:t>be</w:t>
      </w:r>
      <w:r w:rsidR="00C34A2E" w:rsidRPr="00B168F9">
        <w:rPr>
          <w:rFonts w:ascii="Arial" w:hAnsi="Arial" w:cs="Arial"/>
          <w:sz w:val="21"/>
          <w:szCs w:val="21"/>
        </w:rPr>
        <w:t>neficiaries</w:t>
      </w:r>
      <w:r w:rsidRPr="00B168F9">
        <w:rPr>
          <w:rFonts w:ascii="Arial" w:hAnsi="Arial" w:cs="Arial"/>
          <w:sz w:val="21"/>
          <w:szCs w:val="21"/>
        </w:rPr>
        <w:t xml:space="preserve"> of any rental agreement</w:t>
      </w:r>
      <w:r w:rsidR="00D55F0F" w:rsidRPr="00B168F9">
        <w:rPr>
          <w:rFonts w:ascii="Arial" w:hAnsi="Arial" w:cs="Arial"/>
          <w:sz w:val="21"/>
          <w:szCs w:val="21"/>
        </w:rPr>
        <w:t xml:space="preserve"> </w:t>
      </w:r>
      <w:r w:rsidR="006F686C" w:rsidRPr="00B168F9">
        <w:rPr>
          <w:rFonts w:ascii="Arial" w:hAnsi="Arial" w:cs="Arial"/>
          <w:sz w:val="21"/>
          <w:szCs w:val="21"/>
        </w:rPr>
        <w:t>for</w:t>
      </w:r>
      <w:r w:rsidR="00D55F0F" w:rsidRPr="00B168F9">
        <w:rPr>
          <w:rFonts w:ascii="Arial" w:hAnsi="Arial" w:cs="Arial"/>
          <w:sz w:val="21"/>
          <w:szCs w:val="21"/>
        </w:rPr>
        <w:t xml:space="preserve"> a dwelling unit within this Stat</w:t>
      </w:r>
      <w:r w:rsidR="00741BB1" w:rsidRPr="00B168F9">
        <w:rPr>
          <w:rFonts w:ascii="Arial" w:hAnsi="Arial" w:cs="Arial"/>
          <w:sz w:val="21"/>
          <w:szCs w:val="21"/>
        </w:rPr>
        <w:t>e</w:t>
      </w:r>
      <w:r w:rsidR="00D55F0F" w:rsidRPr="00B168F9">
        <w:rPr>
          <w:rFonts w:ascii="Arial" w:hAnsi="Arial" w:cs="Arial"/>
          <w:sz w:val="21"/>
          <w:szCs w:val="21"/>
        </w:rPr>
        <w:t xml:space="preserve">, wherever executed. Any agreement, whether written or </w:t>
      </w:r>
      <w:r w:rsidR="006F686C" w:rsidRPr="00B168F9">
        <w:rPr>
          <w:rFonts w:ascii="Arial" w:hAnsi="Arial" w:cs="Arial"/>
          <w:sz w:val="21"/>
          <w:szCs w:val="21"/>
        </w:rPr>
        <w:t>oral</w:t>
      </w:r>
      <w:r w:rsidR="00D55F0F" w:rsidRPr="00B168F9">
        <w:rPr>
          <w:rFonts w:ascii="Arial" w:hAnsi="Arial" w:cs="Arial"/>
          <w:sz w:val="21"/>
          <w:szCs w:val="21"/>
        </w:rPr>
        <w:t xml:space="preserve">, shall be unenforceable insofar as </w:t>
      </w:r>
      <w:r w:rsidR="006F686C" w:rsidRPr="00B168F9">
        <w:rPr>
          <w:rFonts w:ascii="Arial" w:hAnsi="Arial" w:cs="Arial"/>
          <w:sz w:val="21"/>
          <w:szCs w:val="21"/>
        </w:rPr>
        <w:t>the</w:t>
      </w:r>
      <w:r w:rsidR="00D55F0F" w:rsidRPr="00B168F9">
        <w:rPr>
          <w:rFonts w:ascii="Arial" w:hAnsi="Arial" w:cs="Arial"/>
          <w:sz w:val="21"/>
          <w:szCs w:val="21"/>
        </w:rPr>
        <w:t xml:space="preserve"> agreement or any provision thereof conflicts with any provision of </w:t>
      </w:r>
      <w:r w:rsidR="006F686C" w:rsidRPr="00B168F9">
        <w:rPr>
          <w:rFonts w:ascii="Arial" w:hAnsi="Arial" w:cs="Arial"/>
          <w:sz w:val="21"/>
          <w:szCs w:val="21"/>
        </w:rPr>
        <w:t>this</w:t>
      </w:r>
      <w:r w:rsidR="00D55F0F" w:rsidRPr="00B168F9">
        <w:rPr>
          <w:rFonts w:ascii="Arial" w:hAnsi="Arial" w:cs="Arial"/>
          <w:sz w:val="21"/>
          <w:szCs w:val="21"/>
        </w:rPr>
        <w:t xml:space="preserve"> Act and is not expressly authorized herein. Such </w:t>
      </w:r>
      <w:r w:rsidR="006F686C" w:rsidRPr="00B168F9">
        <w:rPr>
          <w:rFonts w:ascii="Arial" w:hAnsi="Arial" w:cs="Arial"/>
          <w:sz w:val="21"/>
          <w:szCs w:val="21"/>
        </w:rPr>
        <w:t>unenforceability</w:t>
      </w:r>
      <w:r w:rsidR="00D55F0F" w:rsidRPr="00B168F9">
        <w:rPr>
          <w:rFonts w:ascii="Arial" w:hAnsi="Arial" w:cs="Arial"/>
          <w:sz w:val="21"/>
          <w:szCs w:val="21"/>
        </w:rPr>
        <w:t xml:space="preserve"> shall </w:t>
      </w:r>
      <w:r w:rsidR="006F686C" w:rsidRPr="00B168F9">
        <w:rPr>
          <w:rFonts w:ascii="Arial" w:hAnsi="Arial" w:cs="Arial"/>
          <w:sz w:val="21"/>
          <w:szCs w:val="21"/>
        </w:rPr>
        <w:t>not</w:t>
      </w:r>
      <w:r w:rsidR="00D55F0F" w:rsidRPr="00B168F9">
        <w:rPr>
          <w:rFonts w:ascii="Arial" w:hAnsi="Arial" w:cs="Arial"/>
          <w:sz w:val="21"/>
          <w:szCs w:val="21"/>
        </w:rPr>
        <w:t xml:space="preserve"> affect </w:t>
      </w:r>
      <w:r w:rsidR="006F686C" w:rsidRPr="00B168F9">
        <w:rPr>
          <w:rFonts w:ascii="Arial" w:hAnsi="Arial" w:cs="Arial"/>
          <w:sz w:val="21"/>
          <w:szCs w:val="21"/>
        </w:rPr>
        <w:t>other</w:t>
      </w:r>
      <w:r w:rsidR="00D55F0F" w:rsidRPr="00B168F9">
        <w:rPr>
          <w:rFonts w:ascii="Arial" w:hAnsi="Arial" w:cs="Arial"/>
          <w:sz w:val="21"/>
          <w:szCs w:val="21"/>
        </w:rPr>
        <w:t xml:space="preserve"> provisions of</w:t>
      </w:r>
      <w:r w:rsidR="00BD2116" w:rsidRPr="00B168F9">
        <w:rPr>
          <w:rFonts w:ascii="Arial" w:hAnsi="Arial" w:cs="Arial"/>
          <w:sz w:val="21"/>
          <w:szCs w:val="21"/>
        </w:rPr>
        <w:t xml:space="preserve"> the</w:t>
      </w:r>
      <w:r w:rsidR="00D55F0F" w:rsidRPr="00B168F9">
        <w:rPr>
          <w:rFonts w:ascii="Arial" w:hAnsi="Arial" w:cs="Arial"/>
          <w:sz w:val="21"/>
          <w:szCs w:val="21"/>
        </w:rPr>
        <w:t xml:space="preserve"> </w:t>
      </w:r>
      <w:r w:rsidR="006F686C" w:rsidRPr="00B168F9">
        <w:rPr>
          <w:rFonts w:ascii="Arial" w:hAnsi="Arial" w:cs="Arial"/>
          <w:sz w:val="21"/>
          <w:szCs w:val="21"/>
        </w:rPr>
        <w:t>agreement</w:t>
      </w:r>
      <w:r w:rsidR="00D55F0F" w:rsidRPr="00B168F9">
        <w:rPr>
          <w:rFonts w:ascii="Arial" w:hAnsi="Arial" w:cs="Arial"/>
          <w:sz w:val="21"/>
          <w:szCs w:val="21"/>
        </w:rPr>
        <w:t xml:space="preserve"> </w:t>
      </w:r>
      <w:r w:rsidR="006F686C" w:rsidRPr="00B168F9">
        <w:rPr>
          <w:rFonts w:ascii="Arial" w:hAnsi="Arial" w:cs="Arial"/>
          <w:sz w:val="21"/>
          <w:szCs w:val="21"/>
        </w:rPr>
        <w:t>which</w:t>
      </w:r>
      <w:r w:rsidR="00BD2116" w:rsidRPr="00B168F9">
        <w:rPr>
          <w:rFonts w:ascii="Arial" w:hAnsi="Arial" w:cs="Arial"/>
          <w:sz w:val="21"/>
          <w:szCs w:val="21"/>
        </w:rPr>
        <w:t xml:space="preserve"> can be given effect without such </w:t>
      </w:r>
      <w:r w:rsidR="00D55F0F" w:rsidRPr="00B168F9">
        <w:rPr>
          <w:rFonts w:ascii="Arial" w:hAnsi="Arial" w:cs="Arial"/>
          <w:sz w:val="21"/>
          <w:szCs w:val="21"/>
        </w:rPr>
        <w:t>void provisions.</w:t>
      </w:r>
    </w:p>
    <w:p w:rsidR="00C34A2E" w:rsidRPr="00B168F9" w:rsidRDefault="00C34A2E" w:rsidP="00C34A2E">
      <w:pPr>
        <w:pStyle w:val="NormalWeb"/>
      </w:pPr>
      <w:r w:rsidRPr="00B168F9">
        <w:t>and</w:t>
      </w:r>
    </w:p>
    <w:p w:rsidR="00C34A2E" w:rsidRPr="00B168F9" w:rsidRDefault="00C34A2E" w:rsidP="00C34A2E">
      <w:pPr>
        <w:pStyle w:val="NormalWeb"/>
        <w:ind w:left="720"/>
        <w:rPr>
          <w:rFonts w:ascii="Arial" w:hAnsi="Arial" w:cs="Arial"/>
          <w:sz w:val="21"/>
          <w:szCs w:val="21"/>
        </w:rPr>
      </w:pPr>
      <w:r w:rsidRPr="00B168F9">
        <w:rPr>
          <w:rFonts w:ascii="Arial" w:hAnsi="Arial" w:cs="Arial"/>
          <w:sz w:val="21"/>
          <w:szCs w:val="21"/>
        </w:rPr>
        <w:t>Section 1-207. Rental Agreement</w:t>
      </w:r>
    </w:p>
    <w:p w:rsidR="00C34A2E" w:rsidRPr="00B168F9" w:rsidRDefault="00C34A2E" w:rsidP="00C34A2E">
      <w:pPr>
        <w:pStyle w:val="NormalWeb"/>
        <w:ind w:left="720"/>
        <w:rPr>
          <w:rFonts w:ascii="Arial" w:hAnsi="Arial" w:cs="Arial"/>
          <w:sz w:val="21"/>
          <w:szCs w:val="21"/>
        </w:rPr>
      </w:pPr>
      <w:r w:rsidRPr="00B168F9">
        <w:rPr>
          <w:rFonts w:ascii="Arial" w:hAnsi="Arial" w:cs="Arial"/>
          <w:sz w:val="21"/>
          <w:szCs w:val="21"/>
          <w:u w:val="single"/>
        </w:rPr>
        <w:t>Rental Agreement</w:t>
      </w:r>
      <w:r w:rsidRPr="00B168F9">
        <w:rPr>
          <w:rFonts w:ascii="Arial" w:hAnsi="Arial" w:cs="Arial"/>
          <w:sz w:val="21"/>
          <w:szCs w:val="21"/>
        </w:rPr>
        <w:t xml:space="preserve"> means and includes all agreements, written or oral, which establish or modify the terms, conditions, rule, regulations, or any other provisions concerning the use and occupancy of a dwelling unit.</w:t>
      </w:r>
    </w:p>
    <w:p w:rsidR="00C34A2E" w:rsidRDefault="00C34A2E" w:rsidP="00AA25BE">
      <w:pPr>
        <w:pStyle w:val="NormalWeb"/>
      </w:pPr>
      <w:r>
        <w:t xml:space="preserve">The definition of “Rental Agreement” is broad enough to cover the bonding agreement, especially since it is almost always </w:t>
      </w:r>
      <w:r w:rsidR="000E478B">
        <w:t>incorporated into</w:t>
      </w:r>
      <w:r>
        <w:t xml:space="preserve"> the lease.</w:t>
      </w:r>
      <w:r w:rsidR="00741BB1">
        <w:t xml:space="preserve"> Thus the Model Code</w:t>
      </w:r>
      <w:r w:rsidR="00B168F9">
        <w:t>’s security-deposit provision w</w:t>
      </w:r>
      <w:r w:rsidR="00741BB1">
        <w:t>ould draw security deposit bonds within its reach. Combined with Section 1-104, the nonrefundability of the bond premium is</w:t>
      </w:r>
      <w:r w:rsidR="000E478B">
        <w:t xml:space="preserve"> </w:t>
      </w:r>
      <w:r w:rsidR="00741BB1">
        <w:t xml:space="preserve">called into question under the Model Code. This is a doubly attenuated argument since it involves assuming that the Minnesota law should be interpreted the way the drafters wanted the Model Code to be interpreted plus assuming that </w:t>
      </w:r>
      <w:r w:rsidR="00741BB1">
        <w:lastRenderedPageBreak/>
        <w:t>this interpretation should include parts of the code that (sections 1</w:t>
      </w:r>
      <w:r w:rsidR="00B14372">
        <w:t>-</w:t>
      </w:r>
      <w:r w:rsidR="00741BB1">
        <w:t xml:space="preserve">104 and 1-207) that were not copied </w:t>
      </w:r>
      <w:r w:rsidR="00C920D9">
        <w:t>into Minnesota law. Nevertheless, it is food for thoug</w:t>
      </w:r>
      <w:r w:rsidR="00B14372">
        <w:t>h</w:t>
      </w:r>
      <w:r w:rsidR="00C920D9">
        <w:t>t.</w:t>
      </w:r>
      <w:r w:rsidR="00B14372">
        <w:rPr>
          <w:rStyle w:val="FootnoteReference"/>
        </w:rPr>
        <w:footnoteReference w:id="27"/>
      </w:r>
    </w:p>
    <w:p w:rsidR="00BE5C99" w:rsidRPr="00BE5C99" w:rsidRDefault="00BE5C99" w:rsidP="00BE5C99">
      <w:pPr>
        <w:pStyle w:val="NormalWeb"/>
        <w:ind w:left="1440"/>
        <w:rPr>
          <w:color w:val="222222"/>
          <w:u w:val="single"/>
          <w:shd w:val="clear" w:color="auto" w:fill="FFFFFF"/>
        </w:rPr>
      </w:pPr>
      <w:r w:rsidRPr="00BE5C99">
        <w:rPr>
          <w:i/>
          <w:iCs/>
          <w:u w:val="single"/>
        </w:rPr>
        <w:t>Bauman</w:t>
      </w:r>
      <w:r w:rsidRPr="00BE5C99">
        <w:rPr>
          <w:u w:val="single"/>
        </w:rPr>
        <w:t xml:space="preserve"> v. </w:t>
      </w:r>
      <w:r w:rsidRPr="00BE5C99">
        <w:rPr>
          <w:i/>
          <w:iCs/>
          <w:u w:val="single"/>
        </w:rPr>
        <w:t>Islay Investments</w:t>
      </w:r>
      <w:r w:rsidRPr="00BE5C99">
        <w:rPr>
          <w:u w:val="single"/>
        </w:rPr>
        <w:t>, 30 Cal. App.3d 752, 761 (Cal. Ct. App. Feb. 22, 1973)</w:t>
      </w:r>
      <w:r w:rsidRPr="00BE5C99">
        <w:rPr>
          <w:color w:val="222222"/>
          <w:u w:val="single"/>
          <w:shd w:val="clear" w:color="auto" w:fill="FFFFFF"/>
        </w:rPr>
        <w:t xml:space="preserve">. </w:t>
      </w:r>
    </w:p>
    <w:p w:rsidR="0045615A" w:rsidRDefault="00BE5C99" w:rsidP="00AA25BE">
      <w:pPr>
        <w:pStyle w:val="NormalWeb"/>
      </w:pPr>
      <w:r>
        <w:rPr>
          <w:color w:val="222222"/>
          <w:shd w:val="clear" w:color="auto" w:fill="FFFFFF"/>
        </w:rPr>
        <w:t>“</w:t>
      </w:r>
      <w:r w:rsidR="0045615A">
        <w:t>Laws uniform with those of other states shall be interpreted and construed to effect their general purpose to make uniform the laws of those states which enact them.</w:t>
      </w:r>
      <w:r>
        <w:t>”</w:t>
      </w:r>
      <w:r w:rsidR="0045615A">
        <w:t xml:space="preserve"> </w:t>
      </w:r>
      <w:r w:rsidR="0045615A" w:rsidRPr="00475F20">
        <w:t>Minn.</w:t>
      </w:r>
      <w:r w:rsidR="0045615A">
        <w:t xml:space="preserve"> Stat. § 645.22. Also, </w:t>
      </w:r>
      <w:r>
        <w:t xml:space="preserve">“when </w:t>
      </w:r>
      <w:r w:rsidR="0045615A">
        <w:t>a court of last resort has construed the language of a law, the legislature in subsequent laws on the same subject matter intends the same construction to be placed upon such language</w:t>
      </w:r>
      <w:r>
        <w:t xml:space="preserve">.” </w:t>
      </w:r>
      <w:r w:rsidR="0045615A" w:rsidRPr="00475F20">
        <w:t>Minn.</w:t>
      </w:r>
      <w:r w:rsidR="0045615A">
        <w:t xml:space="preserve"> Stat. § 645.17(4). Therefore, the construction by the </w:t>
      </w:r>
      <w:r w:rsidR="0045615A" w:rsidRPr="000E478B">
        <w:rPr>
          <w:i/>
        </w:rPr>
        <w:t>Bauman</w:t>
      </w:r>
      <w:r w:rsidR="0045615A">
        <w:t xml:space="preserve"> court – albeit not by the California Supreme Court but of a uniform law – should be given respect by Minnesota courts. Furth</w:t>
      </w:r>
      <w:r>
        <w:t xml:space="preserve">ermore, since </w:t>
      </w:r>
      <w:r w:rsidR="00CD3D21" w:rsidRPr="000E478B">
        <w:rPr>
          <w:i/>
        </w:rPr>
        <w:t>Bauman</w:t>
      </w:r>
      <w:r w:rsidR="00CD3D21">
        <w:t xml:space="preserve"> </w:t>
      </w:r>
      <w:r>
        <w:t>was decided before 1973 HF 1034 and 1973 SF 965 were introduced</w:t>
      </w:r>
      <w:r w:rsidR="000E478B">
        <w:t xml:space="preserve"> in March 1973</w:t>
      </w:r>
      <w:r>
        <w:t>, that construction can be imputed to the 1973 Minnesota law.</w:t>
      </w:r>
    </w:p>
    <w:p w:rsidR="00AA762F" w:rsidRDefault="00BE5C99" w:rsidP="00AA25BE">
      <w:pPr>
        <w:pStyle w:val="NormalWeb"/>
      </w:pPr>
      <w:r>
        <w:t xml:space="preserve">The </w:t>
      </w:r>
      <w:r w:rsidRPr="00BE5C99">
        <w:rPr>
          <w:i/>
        </w:rPr>
        <w:t>Bauman</w:t>
      </w:r>
      <w:r>
        <w:t xml:space="preserve"> court held that</w:t>
      </w:r>
      <w:r w:rsidR="00AA762F">
        <w:t xml:space="preserve"> a “nonrefundable” “cleaning fee” </w:t>
      </w:r>
      <w:r w:rsidR="00CD3D21">
        <w:t xml:space="preserve">which </w:t>
      </w:r>
      <w:r w:rsidR="00AA762F">
        <w:t xml:space="preserve">the tenants </w:t>
      </w:r>
      <w:r w:rsidR="003D4964">
        <w:t xml:space="preserve">paid </w:t>
      </w:r>
      <w:r w:rsidR="00AA762F">
        <w:t xml:space="preserve">prior to occupancy was nevertheless refundable as a security deposit under the statute. By analogy, albeit not an exact analogy, the “nonrefundable” bond premium paid by a Minnesota tenant would be refundable as a security deposit under </w:t>
      </w:r>
      <w:r w:rsidR="00AA762F" w:rsidRPr="00475F20">
        <w:t>Minn. Stat. § 504B.178</w:t>
      </w:r>
      <w:r w:rsidR="00AA762F">
        <w:t xml:space="preserve">. Thus </w:t>
      </w:r>
      <w:r w:rsidR="00AA762F" w:rsidRPr="00AA762F">
        <w:rPr>
          <w:i/>
        </w:rPr>
        <w:t>Bauman</w:t>
      </w:r>
      <w:r w:rsidR="00AA762F">
        <w:t xml:space="preserve"> lends a bit of support to a broad reach of the definition of “security deposit” in </w:t>
      </w:r>
      <w:r w:rsidR="00AA762F" w:rsidRPr="00475F20">
        <w:t>Minn. Stat. § 504B.178</w:t>
      </w:r>
      <w:r w:rsidR="00AA762F">
        <w:t>.</w:t>
      </w:r>
    </w:p>
    <w:p w:rsidR="009A7B72" w:rsidRPr="009A7B72" w:rsidRDefault="009A7B72" w:rsidP="002A1EB0">
      <w:pPr>
        <w:pStyle w:val="NormalWeb"/>
        <w:ind w:left="1440"/>
        <w:rPr>
          <w:u w:val="single"/>
        </w:rPr>
      </w:pPr>
      <w:r w:rsidRPr="009A7B72">
        <w:rPr>
          <w:u w:val="single"/>
        </w:rPr>
        <w:t>Summary of legislative history</w:t>
      </w:r>
    </w:p>
    <w:p w:rsidR="005C5FCF" w:rsidRDefault="005C5FCF" w:rsidP="00AA25BE">
      <w:pPr>
        <w:pStyle w:val="NormalWeb"/>
      </w:pPr>
      <w:r>
        <w:t xml:space="preserve">In summary, the legislative history of </w:t>
      </w:r>
      <w:r w:rsidRPr="00475F20">
        <w:t>Minn. Stat. § 504B.178</w:t>
      </w:r>
      <w:r>
        <w:t xml:space="preserve"> is not definitive but provides a bit of ammunition for tenant</w:t>
      </w:r>
      <w:r w:rsidR="00BA6016">
        <w:t>s arguing that it governs security deposit bonds.</w:t>
      </w:r>
    </w:p>
    <w:p w:rsidR="005F56BD" w:rsidRDefault="00741BD2" w:rsidP="00AA25BE">
      <w:pPr>
        <w:pStyle w:val="NormalWeb"/>
        <w:rPr>
          <w:u w:val="single"/>
        </w:rPr>
      </w:pPr>
      <w:r w:rsidRPr="00741BD2">
        <w:rPr>
          <w:u w:val="single"/>
        </w:rPr>
        <w:t>Conclusion</w:t>
      </w:r>
    </w:p>
    <w:p w:rsidR="00AC5321" w:rsidRDefault="00AC5321" w:rsidP="00AA25BE">
      <w:pPr>
        <w:pStyle w:val="NormalWeb"/>
      </w:pPr>
      <w:r w:rsidRPr="00475F20">
        <w:t>Minn. Stat. § 504B.178</w:t>
      </w:r>
      <w:r>
        <w:t xml:space="preserve"> was enacted in 1973 to deal with the main collateral landlords used then, security deposits. Unsurprisingly it was not drafted in a way that re</w:t>
      </w:r>
      <w:r w:rsidR="00307A4D">
        <w:t>adi</w:t>
      </w:r>
      <w:r>
        <w:t xml:space="preserve">ly deals with a </w:t>
      </w:r>
      <w:r w:rsidR="00CD3D21">
        <w:t>recent</w:t>
      </w:r>
      <w:r>
        <w:t xml:space="preserve"> invention, the security deposit bond. M</w:t>
      </w:r>
      <w:r w:rsidR="00270CED">
        <w:t xml:space="preserve">y guess is that </w:t>
      </w:r>
      <w:r w:rsidR="00CD3D21">
        <w:t xml:space="preserve">if </w:t>
      </w:r>
      <w:r w:rsidR="00BA030B" w:rsidRPr="00BA030B">
        <w:t xml:space="preserve">a tenant whose landlord and bonding company </w:t>
      </w:r>
      <w:r w:rsidR="00741BD2">
        <w:t xml:space="preserve">had </w:t>
      </w:r>
      <w:r w:rsidR="00BA030B" w:rsidRPr="00BA030B">
        <w:t xml:space="preserve">fully disclosed the pros and cons of </w:t>
      </w:r>
      <w:r w:rsidR="00270CED">
        <w:t xml:space="preserve">buying a security deposit bond </w:t>
      </w:r>
      <w:bookmarkStart w:id="0" w:name="_GoBack"/>
      <w:bookmarkEnd w:id="0"/>
      <w:r w:rsidR="00270CED">
        <w:t>s</w:t>
      </w:r>
      <w:r w:rsidR="00BA030B" w:rsidRPr="00BA030B">
        <w:t xml:space="preserve">till bought </w:t>
      </w:r>
      <w:r w:rsidR="00270CED">
        <w:t>the bond were to</w:t>
      </w:r>
      <w:r w:rsidR="00BA030B" w:rsidRPr="00BA030B">
        <w:t xml:space="preserve"> challenge i</w:t>
      </w:r>
      <w:r w:rsidR="00741BD2">
        <w:t>ts</w:t>
      </w:r>
      <w:r w:rsidR="00270CED">
        <w:t xml:space="preserve"> nonref</w:t>
      </w:r>
      <w:r w:rsidR="00BA030B" w:rsidRPr="00BA030B">
        <w:t>undability in court</w:t>
      </w:r>
      <w:r w:rsidR="00270CED">
        <w:t>, she</w:t>
      </w:r>
      <w:r w:rsidR="00BA030B" w:rsidRPr="00BA030B">
        <w:t xml:space="preserve"> would lose her case. If the landlord took a kickback of the bond premium, the tenant’s chances would improve. </w:t>
      </w:r>
    </w:p>
    <w:p w:rsidR="00D55F0F" w:rsidRDefault="00741BD2" w:rsidP="00AA25BE">
      <w:pPr>
        <w:pStyle w:val="NormalWeb"/>
      </w:pPr>
      <w:r>
        <w:t xml:space="preserve">However, </w:t>
      </w:r>
      <w:r w:rsidR="00BA030B" w:rsidRPr="00BA030B">
        <w:t>I don’t think either side could be sure</w:t>
      </w:r>
      <w:r>
        <w:t xml:space="preserve"> of</w:t>
      </w:r>
      <w:r w:rsidR="00BA030B" w:rsidRPr="00BA030B">
        <w:t xml:space="preserve"> the outcome. If nothing else, the discussion and citations above will give legal researchers a </w:t>
      </w:r>
      <w:r>
        <w:t xml:space="preserve">head </w:t>
      </w:r>
      <w:r w:rsidR="00BA030B" w:rsidRPr="00BA030B">
        <w:t>start when representing clients in security-deposit-bond disputes.</w:t>
      </w:r>
    </w:p>
    <w:p w:rsidR="00741BD2" w:rsidRDefault="00270CED" w:rsidP="00AA25BE">
      <w:pPr>
        <w:pStyle w:val="NormalWeb"/>
      </w:pPr>
      <w:r>
        <w:lastRenderedPageBreak/>
        <w:t>This</w:t>
      </w:r>
      <w:r w:rsidR="00741BD2">
        <w:t xml:space="preserve"> field is rife with low-income tenants being taken advantage of by the bonding companies. At </w:t>
      </w:r>
      <w:r>
        <w:t>a minimum</w:t>
      </w:r>
      <w:r w:rsidR="00741BD2">
        <w:t xml:space="preserve"> tenants buying such bonds should be protected by the sort of disclosure and procedural protections found in </w:t>
      </w:r>
      <w:r w:rsidR="00741BD2" w:rsidRPr="00741BD2">
        <w:rPr>
          <w:rStyle w:val="Hyperlink"/>
          <w:color w:val="auto"/>
          <w:u w:val="none"/>
        </w:rPr>
        <w:t>M</w:t>
      </w:r>
      <w:r w:rsidR="003C08C7">
        <w:rPr>
          <w:rStyle w:val="Hyperlink"/>
          <w:color w:val="auto"/>
          <w:u w:val="none"/>
        </w:rPr>
        <w:t>d. Code</w:t>
      </w:r>
      <w:r w:rsidR="00741BD2" w:rsidRPr="00741BD2">
        <w:rPr>
          <w:rStyle w:val="Hyperlink"/>
          <w:color w:val="auto"/>
          <w:u w:val="none"/>
        </w:rPr>
        <w:t xml:space="preserve"> § 8-20</w:t>
      </w:r>
      <w:r w:rsidR="00307A4D">
        <w:rPr>
          <w:rStyle w:val="Hyperlink"/>
          <w:color w:val="auto"/>
          <w:u w:val="none"/>
        </w:rPr>
        <w:t xml:space="preserve">3. </w:t>
      </w:r>
      <w:r w:rsidR="00741BD2">
        <w:t>The protections should include a cap on the bond so that neither the bond nor the accumulated bond premiums exceed the traditional deposit that tenant would have paid otherwise.</w:t>
      </w:r>
    </w:p>
    <w:p w:rsidR="00741BD2" w:rsidRPr="00BA030B" w:rsidRDefault="00741BD2" w:rsidP="00AA25BE">
      <w:pPr>
        <w:pStyle w:val="NormalWeb"/>
      </w:pPr>
      <w:r>
        <w:t>A natural solution is legislation of exa</w:t>
      </w:r>
      <w:r w:rsidR="001802E8">
        <w:t>ctly this kind. T</w:t>
      </w:r>
      <w:r>
        <w:t xml:space="preserve">he </w:t>
      </w:r>
      <w:r w:rsidR="001802E8">
        <w:t xml:space="preserve">Minnesota </w:t>
      </w:r>
      <w:r>
        <w:t>legislature</w:t>
      </w:r>
      <w:r w:rsidR="001802E8">
        <w:t xml:space="preserve"> can</w:t>
      </w:r>
      <w:r>
        <w:t xml:space="preserve"> regulate a new field – a common task of legislatures – while protecting consumers who have little bargaining power. Of course, tenant advocates and bonding companies might be motivated to take their shots in court under current law before lobbying for legislation (and especially before joining together reach a compromise on proposed legislation.)</w:t>
      </w:r>
    </w:p>
    <w:sectPr w:rsidR="00741BD2" w:rsidRPr="00BA030B">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47DA" w:rsidRDefault="00D747DA" w:rsidP="00964394">
      <w:pPr>
        <w:spacing w:after="0" w:line="240" w:lineRule="auto"/>
      </w:pPr>
      <w:r>
        <w:separator/>
      </w:r>
    </w:p>
  </w:endnote>
  <w:endnote w:type="continuationSeparator" w:id="0">
    <w:p w:rsidR="00D747DA" w:rsidRDefault="00D747DA" w:rsidP="009643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71876907"/>
      <w:docPartObj>
        <w:docPartGallery w:val="Page Numbers (Bottom of Page)"/>
        <w:docPartUnique/>
      </w:docPartObj>
    </w:sdtPr>
    <w:sdtEndPr>
      <w:rPr>
        <w:noProof/>
      </w:rPr>
    </w:sdtEndPr>
    <w:sdtContent>
      <w:p w:rsidR="009A4744" w:rsidRDefault="009A4744">
        <w:pPr>
          <w:pStyle w:val="Footer"/>
          <w:jc w:val="center"/>
        </w:pPr>
        <w:r>
          <w:fldChar w:fldCharType="begin"/>
        </w:r>
        <w:r>
          <w:instrText xml:space="preserve"> PAGE   \* MERGEFORMAT </w:instrText>
        </w:r>
        <w:r>
          <w:fldChar w:fldCharType="separate"/>
        </w:r>
        <w:r w:rsidR="00263FF0">
          <w:rPr>
            <w:noProof/>
          </w:rPr>
          <w:t>17</w:t>
        </w:r>
        <w:r>
          <w:rPr>
            <w:noProof/>
          </w:rPr>
          <w:fldChar w:fldCharType="end"/>
        </w:r>
      </w:p>
    </w:sdtContent>
  </w:sdt>
  <w:p w:rsidR="009A4744" w:rsidRDefault="009A47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47DA" w:rsidRDefault="00D747DA" w:rsidP="00964394">
      <w:pPr>
        <w:spacing w:after="0" w:line="240" w:lineRule="auto"/>
      </w:pPr>
      <w:r>
        <w:separator/>
      </w:r>
    </w:p>
  </w:footnote>
  <w:footnote w:type="continuationSeparator" w:id="0">
    <w:p w:rsidR="00D747DA" w:rsidRDefault="00D747DA" w:rsidP="00964394">
      <w:pPr>
        <w:spacing w:after="0" w:line="240" w:lineRule="auto"/>
      </w:pPr>
      <w:r>
        <w:continuationSeparator/>
      </w:r>
    </w:p>
  </w:footnote>
  <w:footnote w:id="1">
    <w:p w:rsidR="009A4744" w:rsidRPr="00F75054" w:rsidRDefault="009A4744">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rsidRPr="00F75054">
        <w:rPr>
          <w:rFonts w:ascii="Times New Roman" w:hAnsi="Times New Roman" w:cs="Times New Roman"/>
          <w:sz w:val="24"/>
          <w:szCs w:val="24"/>
        </w:rPr>
        <w:t xml:space="preserve"> </w:t>
      </w:r>
      <w:hyperlink r:id="rId1" w:history="1">
        <w:r w:rsidRPr="00F75054">
          <w:rPr>
            <w:rStyle w:val="Hyperlink"/>
            <w:rFonts w:ascii="Times New Roman" w:hAnsi="Times New Roman" w:cs="Times New Roman"/>
            <w:sz w:val="24"/>
            <w:szCs w:val="24"/>
          </w:rPr>
          <w:t>Minn. Stat. § 504B.101 (2020)</w:t>
        </w:r>
      </w:hyperlink>
      <w:r w:rsidRPr="00F75054">
        <w:rPr>
          <w:rFonts w:ascii="Times New Roman" w:hAnsi="Times New Roman" w:cs="Times New Roman"/>
          <w:sz w:val="24"/>
          <w:szCs w:val="24"/>
        </w:rPr>
        <w:t xml:space="preserve">. This has been the law since 1877, </w:t>
      </w:r>
      <w:hyperlink r:id="rId2" w:history="1">
        <w:r w:rsidRPr="00F75054">
          <w:rPr>
            <w:rStyle w:val="Hyperlink"/>
            <w:rFonts w:ascii="Times New Roman" w:hAnsi="Times New Roman" w:cs="Times New Roman"/>
            <w:sz w:val="24"/>
            <w:szCs w:val="24"/>
          </w:rPr>
          <w:t>1877 Minn. Laws c 140</w:t>
        </w:r>
      </w:hyperlink>
      <w:r w:rsidRPr="00F75054">
        <w:rPr>
          <w:rFonts w:ascii="Times New Roman" w:hAnsi="Times New Roman" w:cs="Times New Roman"/>
          <w:sz w:val="24"/>
          <w:szCs w:val="24"/>
        </w:rPr>
        <w:t>.</w:t>
      </w:r>
    </w:p>
    <w:p w:rsidR="009A4744" w:rsidRPr="00F75054" w:rsidRDefault="009A4744">
      <w:pPr>
        <w:pStyle w:val="FootnoteText"/>
        <w:rPr>
          <w:rFonts w:ascii="Times New Roman" w:hAnsi="Times New Roman" w:cs="Times New Roman"/>
          <w:sz w:val="24"/>
          <w:szCs w:val="24"/>
        </w:rPr>
      </w:pPr>
    </w:p>
  </w:footnote>
  <w:footnote w:id="2">
    <w:p w:rsidR="00F15444" w:rsidRDefault="00F15444">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Wilson, J</w:t>
      </w:r>
      <w:r w:rsidRPr="00F75054">
        <w:rPr>
          <w:rFonts w:ascii="Times New Roman" w:hAnsi="Times New Roman" w:cs="Times New Roman"/>
          <w:sz w:val="24"/>
          <w:szCs w:val="24"/>
        </w:rPr>
        <w:t xml:space="preserve">ames R. “Lease Security Deposits.” Columbia Law Review, vol. 34, no. 3, 1934, pp. 426–472, fn. 3 (security deposits common but not universally required by commercial landlords), available at </w:t>
      </w:r>
      <w:hyperlink r:id="rId3" w:history="1">
        <w:r w:rsidRPr="00F75054">
          <w:rPr>
            <w:rFonts w:ascii="Times New Roman" w:hAnsi="Times New Roman" w:cs="Times New Roman"/>
            <w:color w:val="0000FF"/>
            <w:sz w:val="24"/>
            <w:szCs w:val="24"/>
            <w:u w:val="single"/>
          </w:rPr>
          <w:t>www.jstor.org/stable/1115875</w:t>
        </w:r>
      </w:hyperlink>
      <w:r w:rsidRPr="00F75054">
        <w:rPr>
          <w:rFonts w:ascii="Times New Roman" w:hAnsi="Times New Roman" w:cs="Times New Roman"/>
          <w:sz w:val="24"/>
          <w:szCs w:val="24"/>
        </w:rPr>
        <w:t xml:space="preserve"> . In my own experience, not that long ago many suburban Twin Cities residential landlords required very modest security deposits amounting to </w:t>
      </w:r>
      <w:r>
        <w:rPr>
          <w:rFonts w:ascii="Times New Roman" w:hAnsi="Times New Roman" w:cs="Times New Roman"/>
          <w:sz w:val="24"/>
          <w:szCs w:val="24"/>
        </w:rPr>
        <w:t xml:space="preserve">only </w:t>
      </w:r>
      <w:r w:rsidRPr="00F75054">
        <w:rPr>
          <w:rFonts w:ascii="Times New Roman" w:hAnsi="Times New Roman" w:cs="Times New Roman"/>
          <w:sz w:val="24"/>
          <w:szCs w:val="24"/>
        </w:rPr>
        <w:t>10-20% of one month’s rent.</w:t>
      </w:r>
    </w:p>
    <w:p w:rsidR="00F15444" w:rsidRDefault="00F15444">
      <w:pPr>
        <w:pStyle w:val="FootnoteText"/>
      </w:pPr>
    </w:p>
  </w:footnote>
  <w:footnote w:id="3">
    <w:p w:rsidR="009A4744" w:rsidRPr="00112DEF" w:rsidRDefault="009A4744">
      <w:pPr>
        <w:pStyle w:val="FootnoteText"/>
        <w:rPr>
          <w:rFonts w:ascii="Times New Roman" w:hAnsi="Times New Roman" w:cs="Times New Roman"/>
          <w:sz w:val="24"/>
          <w:szCs w:val="24"/>
        </w:rPr>
      </w:pPr>
      <w:r w:rsidRPr="00112DEF">
        <w:rPr>
          <w:rStyle w:val="FootnoteReference"/>
          <w:rFonts w:ascii="Times New Roman" w:hAnsi="Times New Roman" w:cs="Times New Roman"/>
          <w:sz w:val="24"/>
          <w:szCs w:val="24"/>
        </w:rPr>
        <w:footnoteRef/>
      </w:r>
      <w:r w:rsidRPr="00112DEF">
        <w:rPr>
          <w:rFonts w:ascii="Times New Roman" w:hAnsi="Times New Roman" w:cs="Times New Roman"/>
          <w:sz w:val="24"/>
          <w:szCs w:val="24"/>
        </w:rPr>
        <w:t xml:space="preserve"> E.g. see these webpages:</w:t>
      </w:r>
    </w:p>
    <w:p w:rsidR="009A4744" w:rsidRPr="00112DEF" w:rsidRDefault="009A4744">
      <w:pPr>
        <w:pStyle w:val="FootnoteText"/>
        <w:rPr>
          <w:rFonts w:ascii="Times New Roman" w:hAnsi="Times New Roman" w:cs="Times New Roman"/>
          <w:sz w:val="24"/>
          <w:szCs w:val="24"/>
        </w:rPr>
      </w:pPr>
    </w:p>
    <w:p w:rsidR="009A4744" w:rsidRPr="00112DEF" w:rsidRDefault="00D747DA" w:rsidP="00112DEF">
      <w:pPr>
        <w:rPr>
          <w:rFonts w:ascii="Times New Roman" w:hAnsi="Times New Roman" w:cs="Times New Roman"/>
          <w:sz w:val="24"/>
          <w:szCs w:val="24"/>
        </w:rPr>
      </w:pPr>
      <w:hyperlink r:id="rId4" w:tgtFrame="_blank" w:history="1">
        <w:r w:rsidR="009A4744" w:rsidRPr="00112DEF">
          <w:rPr>
            <w:rStyle w:val="Hyperlink"/>
            <w:rFonts w:ascii="Times New Roman" w:hAnsi="Times New Roman" w:cs="Times New Roman"/>
            <w:color w:val="1155CC"/>
            <w:sz w:val="24"/>
            <w:szCs w:val="24"/>
          </w:rPr>
          <w:t>https://leaselock.com/blog/security-deposit-replacement-legislation/</w:t>
        </w:r>
      </w:hyperlink>
    </w:p>
    <w:p w:rsidR="009A4744" w:rsidRPr="00112DEF" w:rsidRDefault="00D747DA" w:rsidP="00112DEF">
      <w:pPr>
        <w:rPr>
          <w:rFonts w:ascii="Times New Roman" w:hAnsi="Times New Roman" w:cs="Times New Roman"/>
          <w:sz w:val="24"/>
          <w:szCs w:val="24"/>
        </w:rPr>
      </w:pPr>
      <w:hyperlink r:id="rId5" w:tgtFrame="_blank" w:history="1">
        <w:r w:rsidR="009A4744" w:rsidRPr="00112DEF">
          <w:rPr>
            <w:rStyle w:val="Hyperlink"/>
            <w:rFonts w:ascii="Times New Roman" w:hAnsi="Times New Roman" w:cs="Times New Roman"/>
            <w:color w:val="1155CC"/>
            <w:sz w:val="24"/>
            <w:szCs w:val="24"/>
          </w:rPr>
          <w:t>https://www.forbes.com/sites/forbesrealestatecouncil/2020/07/15/security-deposit-legislation-sweeping-the-us--are-we-finally-solving-the-problem/?sh=54561279161e</w:t>
        </w:r>
      </w:hyperlink>
    </w:p>
    <w:p w:rsidR="009A4744" w:rsidRDefault="00D747DA" w:rsidP="00112DEF">
      <w:pPr>
        <w:rPr>
          <w:rFonts w:ascii="Times New Roman" w:hAnsi="Times New Roman" w:cs="Times New Roman"/>
          <w:sz w:val="24"/>
          <w:szCs w:val="24"/>
        </w:rPr>
      </w:pPr>
      <w:hyperlink r:id="rId6" w:tgtFrame="_blank" w:history="1">
        <w:r w:rsidR="009A4744" w:rsidRPr="00112DEF">
          <w:rPr>
            <w:rStyle w:val="Hyperlink"/>
            <w:rFonts w:ascii="Times New Roman" w:hAnsi="Times New Roman" w:cs="Times New Roman"/>
            <w:color w:val="1155CC"/>
            <w:sz w:val="24"/>
            <w:szCs w:val="24"/>
          </w:rPr>
          <w:t>https://www.multihousingnews.com/post/legislation-taking-aim-at-security-deposits/</w:t>
        </w:r>
      </w:hyperlink>
    </w:p>
    <w:p w:rsidR="009A4744" w:rsidRPr="00112DEF" w:rsidRDefault="00D747DA" w:rsidP="00112DEF">
      <w:pPr>
        <w:rPr>
          <w:rFonts w:ascii="Times New Roman" w:hAnsi="Times New Roman" w:cs="Times New Roman"/>
          <w:sz w:val="24"/>
          <w:szCs w:val="24"/>
        </w:rPr>
      </w:pPr>
      <w:hyperlink r:id="rId7" w:history="1">
        <w:r w:rsidR="009A4744" w:rsidRPr="00663767">
          <w:rPr>
            <w:rStyle w:val="Hyperlink"/>
            <w:rFonts w:ascii="Times New Roman" w:hAnsi="Times New Roman" w:cs="Times New Roman"/>
            <w:sz w:val="24"/>
            <w:szCs w:val="24"/>
          </w:rPr>
          <w:t>https://prrac.org/pdf/alternatives-to-security-deposits.pdf</w:t>
        </w:r>
      </w:hyperlink>
    </w:p>
    <w:p w:rsidR="009A4744" w:rsidRDefault="009A4744">
      <w:pPr>
        <w:pStyle w:val="FootnoteText"/>
      </w:pPr>
    </w:p>
  </w:footnote>
  <w:footnote w:id="4">
    <w:p w:rsidR="009A4744" w:rsidRPr="00F75054" w:rsidRDefault="009A4744">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rsidRPr="00F75054">
        <w:rPr>
          <w:rFonts w:ascii="Times New Roman" w:hAnsi="Times New Roman" w:cs="Times New Roman"/>
          <w:sz w:val="24"/>
          <w:szCs w:val="24"/>
        </w:rPr>
        <w:t xml:space="preserve"> The direct URL is </w:t>
      </w:r>
      <w:hyperlink r:id="rId8" w:history="1">
        <w:r w:rsidRPr="00F75054">
          <w:rPr>
            <w:rStyle w:val="Hyperlink"/>
            <w:rFonts w:ascii="Times New Roman" w:hAnsi="Times New Roman" w:cs="Times New Roman"/>
            <w:sz w:val="24"/>
            <w:szCs w:val="24"/>
          </w:rPr>
          <w:t>https://birnberglegalwebsite.net/2021/04/11/a-detailed-discussion-of-minn-stat-%c2%a7-504b-178-and-minnesota-residential-security-deposits/</w:t>
        </w:r>
      </w:hyperlink>
      <w:r w:rsidRPr="00F75054">
        <w:rPr>
          <w:rFonts w:ascii="Times New Roman" w:hAnsi="Times New Roman" w:cs="Times New Roman"/>
          <w:sz w:val="24"/>
          <w:szCs w:val="24"/>
        </w:rPr>
        <w:t xml:space="preserve"> </w:t>
      </w:r>
    </w:p>
    <w:p w:rsidR="009A4744" w:rsidRPr="00F75054" w:rsidRDefault="009A4744">
      <w:pPr>
        <w:pStyle w:val="FootnoteText"/>
        <w:rPr>
          <w:rFonts w:ascii="Times New Roman" w:hAnsi="Times New Roman" w:cs="Times New Roman"/>
          <w:sz w:val="24"/>
          <w:szCs w:val="24"/>
        </w:rPr>
      </w:pPr>
    </w:p>
  </w:footnote>
  <w:footnote w:id="5">
    <w:p w:rsidR="009A4744" w:rsidRDefault="009A4744">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rsidRPr="00F75054">
        <w:rPr>
          <w:rFonts w:ascii="Times New Roman" w:hAnsi="Times New Roman" w:cs="Times New Roman"/>
          <w:sz w:val="24"/>
          <w:szCs w:val="24"/>
        </w:rPr>
        <w:t xml:space="preserve"> Occasionally the tenant purchases a bond and also pays a security deposit but in a lower than usual amount.</w:t>
      </w:r>
    </w:p>
    <w:p w:rsidR="009A4744" w:rsidRDefault="009A4744">
      <w:pPr>
        <w:pStyle w:val="FootnoteText"/>
      </w:pPr>
    </w:p>
  </w:footnote>
  <w:footnote w:id="6">
    <w:p w:rsidR="009A4744" w:rsidRPr="00F75054" w:rsidRDefault="009A4744">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t xml:space="preserve"> </w:t>
      </w:r>
      <w:r w:rsidRPr="00C2445D">
        <w:rPr>
          <w:rFonts w:ascii="Times New Roman" w:hAnsi="Times New Roman" w:cs="Times New Roman"/>
          <w:sz w:val="24"/>
          <w:szCs w:val="24"/>
        </w:rPr>
        <w:t xml:space="preserve">E.g. </w:t>
      </w:r>
      <w:r w:rsidR="00C2445D" w:rsidRPr="00C2445D">
        <w:rPr>
          <w:rFonts w:ascii="Times New Roman" w:hAnsi="Times New Roman" w:cs="Times New Roman"/>
          <w:sz w:val="24"/>
          <w:szCs w:val="24"/>
        </w:rPr>
        <w:t>see</w:t>
      </w:r>
      <w:r w:rsidR="00C2445D" w:rsidRPr="00C2445D">
        <w:rPr>
          <w:rFonts w:ascii="Times New Roman" w:hAnsi="Times New Roman" w:cs="Times New Roman"/>
          <w:sz w:val="24"/>
          <w:szCs w:val="24"/>
          <w:shd w:val="clear" w:color="auto" w:fill="FFFFFF"/>
        </w:rPr>
        <w:t> </w:t>
      </w:r>
      <w:hyperlink r:id="rId9" w:tgtFrame="_blank" w:history="1">
        <w:r w:rsidR="00C2445D" w:rsidRPr="00F9550F">
          <w:rPr>
            <w:rStyle w:val="Hyperlink"/>
            <w:rFonts w:ascii="Times New Roman" w:hAnsi="Times New Roman" w:cs="Times New Roman"/>
            <w:i/>
            <w:iCs/>
            <w:color w:val="1155CC"/>
            <w:sz w:val="24"/>
            <w:szCs w:val="24"/>
            <w:shd w:val="clear" w:color="auto" w:fill="FFFFFF"/>
          </w:rPr>
          <w:t>Kopp v. Associated Estates Realty</w:t>
        </w:r>
        <w:r w:rsidR="00C2445D">
          <w:rPr>
            <w:rStyle w:val="Hyperlink"/>
            <w:rFonts w:ascii="Times New Roman" w:hAnsi="Times New Roman" w:cs="Times New Roman"/>
            <w:color w:val="1155CC"/>
            <w:sz w:val="24"/>
            <w:szCs w:val="24"/>
            <w:shd w:val="clear" w:color="auto" w:fill="FFFFFF"/>
          </w:rPr>
          <w:t xml:space="preserve"> Corp., 2010 Ohio 1690, ¶ 2 </w:t>
        </w:r>
        <w:r w:rsidR="00C2445D" w:rsidRPr="00F9550F">
          <w:rPr>
            <w:rStyle w:val="Hyperlink"/>
            <w:rFonts w:ascii="Times New Roman" w:hAnsi="Times New Roman" w:cs="Times New Roman"/>
            <w:color w:val="1155CC"/>
            <w:sz w:val="24"/>
            <w:szCs w:val="24"/>
            <w:shd w:val="clear" w:color="auto" w:fill="FFFFFF"/>
          </w:rPr>
          <w:t>(Ohio Ct. App. 10</w:t>
        </w:r>
        <w:r w:rsidR="00C2445D" w:rsidRPr="00F9550F">
          <w:rPr>
            <w:rStyle w:val="Hyperlink"/>
            <w:rFonts w:ascii="Times New Roman" w:hAnsi="Times New Roman" w:cs="Times New Roman"/>
            <w:color w:val="1155CC"/>
            <w:sz w:val="24"/>
            <w:szCs w:val="24"/>
            <w:shd w:val="clear" w:color="auto" w:fill="FFFFFF"/>
            <w:vertAlign w:val="superscript"/>
          </w:rPr>
          <w:t>th</w:t>
        </w:r>
        <w:r w:rsidR="00C2445D" w:rsidRPr="00F9550F">
          <w:rPr>
            <w:rStyle w:val="Hyperlink"/>
            <w:rFonts w:ascii="Times New Roman" w:hAnsi="Times New Roman" w:cs="Times New Roman"/>
            <w:color w:val="1155CC"/>
            <w:sz w:val="24"/>
            <w:szCs w:val="24"/>
            <w:shd w:val="clear" w:color="auto" w:fill="FFFFFF"/>
          </w:rPr>
          <w:t xml:space="preserve"> Dist</w:t>
        </w:r>
        <w:r w:rsidR="00C2445D">
          <w:rPr>
            <w:rStyle w:val="Hyperlink"/>
            <w:rFonts w:ascii="Times New Roman" w:hAnsi="Times New Roman" w:cs="Times New Roman"/>
            <w:color w:val="1155CC"/>
            <w:sz w:val="24"/>
            <w:szCs w:val="24"/>
            <w:shd w:val="clear" w:color="auto" w:fill="FFFFFF"/>
          </w:rPr>
          <w:t>.</w:t>
        </w:r>
        <w:r w:rsidR="00C2445D" w:rsidRPr="00F9550F">
          <w:rPr>
            <w:rStyle w:val="Hyperlink"/>
            <w:rFonts w:ascii="Times New Roman" w:hAnsi="Times New Roman" w:cs="Times New Roman"/>
            <w:color w:val="1155CC"/>
            <w:sz w:val="24"/>
            <w:szCs w:val="24"/>
            <w:shd w:val="clear" w:color="auto" w:fill="FFFFFF"/>
          </w:rPr>
          <w:t xml:space="preserve"> 2010)</w:t>
        </w:r>
      </w:hyperlink>
      <w:r w:rsidR="00C2445D">
        <w:rPr>
          <w:rFonts w:ascii="Times New Roman" w:hAnsi="Times New Roman" w:cs="Times New Roman"/>
          <w:color w:val="222222"/>
          <w:sz w:val="24"/>
          <w:szCs w:val="24"/>
          <w:shd w:val="clear" w:color="auto" w:fill="FFFFFF"/>
        </w:rPr>
        <w:t>.</w:t>
      </w:r>
    </w:p>
  </w:footnote>
  <w:footnote w:id="7">
    <w:p w:rsidR="009A4744" w:rsidRDefault="009A4744">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rsidRPr="00F75054">
        <w:rPr>
          <w:rFonts w:ascii="Times New Roman" w:hAnsi="Times New Roman" w:cs="Times New Roman"/>
          <w:sz w:val="24"/>
          <w:szCs w:val="24"/>
        </w:rPr>
        <w:t xml:space="preserve"> Discussed in detail in my previous blog post.</w:t>
      </w:r>
    </w:p>
    <w:p w:rsidR="009A4744" w:rsidRPr="00F75054" w:rsidRDefault="009A4744">
      <w:pPr>
        <w:pStyle w:val="FootnoteText"/>
        <w:rPr>
          <w:rFonts w:ascii="Times New Roman" w:hAnsi="Times New Roman" w:cs="Times New Roman"/>
          <w:sz w:val="24"/>
          <w:szCs w:val="24"/>
        </w:rPr>
      </w:pPr>
    </w:p>
  </w:footnote>
  <w:footnote w:id="8">
    <w:p w:rsidR="009A4744" w:rsidRDefault="009A4744" w:rsidP="00951478">
      <w:pPr>
        <w:pStyle w:val="FootnoteText"/>
        <w:rPr>
          <w:rFonts w:ascii="Times New Roman" w:hAnsi="Times New Roman" w:cs="Times New Roman"/>
          <w:sz w:val="24"/>
          <w:szCs w:val="24"/>
        </w:rPr>
      </w:pPr>
      <w:r w:rsidRPr="00F75054">
        <w:rPr>
          <w:rStyle w:val="FootnoteReference"/>
          <w:rFonts w:ascii="Times New Roman" w:hAnsi="Times New Roman" w:cs="Times New Roman"/>
          <w:sz w:val="24"/>
          <w:szCs w:val="24"/>
        </w:rPr>
        <w:footnoteRef/>
      </w:r>
      <w:r w:rsidRPr="00F75054">
        <w:rPr>
          <w:rFonts w:ascii="Times New Roman" w:hAnsi="Times New Roman" w:cs="Times New Roman"/>
          <w:sz w:val="24"/>
          <w:szCs w:val="24"/>
        </w:rPr>
        <w:t xml:space="preserve"> </w:t>
      </w:r>
      <w:r>
        <w:rPr>
          <w:rFonts w:ascii="Times New Roman" w:hAnsi="Times New Roman" w:cs="Times New Roman"/>
          <w:sz w:val="24"/>
          <w:szCs w:val="24"/>
        </w:rPr>
        <w:t xml:space="preserve">Listed </w:t>
      </w:r>
      <w:r w:rsidRPr="00F75054">
        <w:rPr>
          <w:rFonts w:ascii="Times New Roman" w:hAnsi="Times New Roman" w:cs="Times New Roman"/>
          <w:sz w:val="24"/>
          <w:szCs w:val="24"/>
        </w:rPr>
        <w:t>in my previous blog post.</w:t>
      </w:r>
    </w:p>
    <w:p w:rsidR="009A4744" w:rsidRPr="00F75054" w:rsidRDefault="009A4744" w:rsidP="00951478">
      <w:pPr>
        <w:pStyle w:val="FootnoteText"/>
        <w:rPr>
          <w:rFonts w:ascii="Times New Roman" w:hAnsi="Times New Roman" w:cs="Times New Roman"/>
          <w:sz w:val="24"/>
          <w:szCs w:val="24"/>
        </w:rPr>
      </w:pPr>
    </w:p>
  </w:footnote>
  <w:footnote w:id="9">
    <w:p w:rsidR="009A4744" w:rsidRPr="001619DD" w:rsidRDefault="009A4744">
      <w:pPr>
        <w:pStyle w:val="FootnoteText"/>
        <w:rPr>
          <w:rFonts w:ascii="Times New Roman" w:hAnsi="Times New Roman" w:cs="Times New Roman"/>
          <w:color w:val="FF0000"/>
          <w:sz w:val="24"/>
          <w:szCs w:val="24"/>
        </w:rPr>
      </w:pPr>
      <w:r>
        <w:rPr>
          <w:rStyle w:val="FootnoteReference"/>
        </w:rPr>
        <w:footnoteRef/>
      </w:r>
      <w:r>
        <w:t xml:space="preserve"> </w:t>
      </w:r>
      <w:r w:rsidR="00C2445D" w:rsidRPr="00777762">
        <w:rPr>
          <w:rFonts w:ascii="Times New Roman" w:hAnsi="Times New Roman" w:cs="Times New Roman"/>
          <w:sz w:val="24"/>
          <w:szCs w:val="24"/>
        </w:rPr>
        <w:t xml:space="preserve">Tenants’ </w:t>
      </w:r>
      <w:r w:rsidRPr="00777762">
        <w:rPr>
          <w:rFonts w:ascii="Times New Roman" w:hAnsi="Times New Roman" w:cs="Times New Roman"/>
          <w:sz w:val="24"/>
          <w:szCs w:val="24"/>
        </w:rPr>
        <w:t>brief</w:t>
      </w:r>
      <w:r w:rsidR="00C2445D" w:rsidRPr="00777762">
        <w:rPr>
          <w:rFonts w:ascii="Times New Roman" w:hAnsi="Times New Roman" w:cs="Times New Roman"/>
          <w:sz w:val="24"/>
          <w:szCs w:val="24"/>
        </w:rPr>
        <w:t xml:space="preserve"> in </w:t>
      </w:r>
      <w:r w:rsidR="00C2445D" w:rsidRPr="00777762">
        <w:rPr>
          <w:rFonts w:ascii="Times New Roman" w:hAnsi="Times New Roman" w:cs="Times New Roman"/>
          <w:i/>
          <w:sz w:val="24"/>
          <w:szCs w:val="24"/>
        </w:rPr>
        <w:t>Kopp</w:t>
      </w:r>
      <w:r w:rsidR="00C2445D" w:rsidRPr="00777762">
        <w:rPr>
          <w:rFonts w:ascii="Times New Roman" w:hAnsi="Times New Roman" w:cs="Times New Roman"/>
          <w:sz w:val="24"/>
          <w:szCs w:val="24"/>
        </w:rPr>
        <w:t xml:space="preserve">, </w:t>
      </w:r>
      <w:r w:rsidR="00C2445D" w:rsidRPr="00777762">
        <w:rPr>
          <w:rFonts w:ascii="Times New Roman" w:hAnsi="Times New Roman" w:cs="Times New Roman"/>
          <w:i/>
          <w:sz w:val="24"/>
          <w:szCs w:val="24"/>
        </w:rPr>
        <w:t>supra</w:t>
      </w:r>
      <w:r w:rsidR="00C2445D" w:rsidRPr="00777762">
        <w:rPr>
          <w:rFonts w:ascii="Times New Roman" w:hAnsi="Times New Roman" w:cs="Times New Roman"/>
          <w:sz w:val="24"/>
          <w:szCs w:val="24"/>
        </w:rPr>
        <w:t xml:space="preserve"> (</w:t>
      </w:r>
      <w:hyperlink r:id="rId10" w:history="1">
        <w:r w:rsidR="00C2445D" w:rsidRPr="00777762">
          <w:rPr>
            <w:rStyle w:val="Hyperlink"/>
            <w:rFonts w:ascii="Times New Roman" w:hAnsi="Times New Roman" w:cs="Times New Roman"/>
            <w:sz w:val="24"/>
            <w:szCs w:val="24"/>
          </w:rPr>
          <w:t xml:space="preserve">Appendix </w:t>
        </w:r>
        <w:r w:rsidR="00553F70" w:rsidRPr="00777762">
          <w:rPr>
            <w:rStyle w:val="Hyperlink"/>
            <w:rFonts w:ascii="Times New Roman" w:hAnsi="Times New Roman" w:cs="Times New Roman"/>
            <w:sz w:val="24"/>
            <w:szCs w:val="24"/>
          </w:rPr>
          <w:t>4</w:t>
        </w:r>
      </w:hyperlink>
      <w:r w:rsidR="00C2445D" w:rsidRPr="00777762">
        <w:rPr>
          <w:rFonts w:ascii="Times New Roman" w:hAnsi="Times New Roman" w:cs="Times New Roman"/>
          <w:sz w:val="24"/>
          <w:szCs w:val="24"/>
        </w:rPr>
        <w:t xml:space="preserve">) at </w:t>
      </w:r>
      <w:r w:rsidR="00FA0034">
        <w:rPr>
          <w:rFonts w:ascii="Times New Roman" w:hAnsi="Times New Roman" w:cs="Times New Roman"/>
          <w:sz w:val="24"/>
          <w:szCs w:val="24"/>
        </w:rPr>
        <w:t>3</w:t>
      </w:r>
      <w:r w:rsidR="00C2445D" w:rsidRPr="00777762">
        <w:rPr>
          <w:rFonts w:ascii="Times New Roman" w:hAnsi="Times New Roman" w:cs="Times New Roman"/>
          <w:sz w:val="24"/>
          <w:szCs w:val="24"/>
        </w:rPr>
        <w:t xml:space="preserve">; </w:t>
      </w:r>
      <w:r w:rsidR="00FA0034" w:rsidRPr="00FA0034">
        <w:rPr>
          <w:rFonts w:ascii="Times New Roman" w:hAnsi="Times New Roman" w:cs="Times New Roman"/>
          <w:sz w:val="24"/>
          <w:szCs w:val="24"/>
          <w:shd w:val="clear" w:color="auto" w:fill="FFFFFF"/>
        </w:rPr>
        <w:t xml:space="preserve">AERC’s brief in </w:t>
      </w:r>
      <w:r w:rsidR="00FA0034" w:rsidRPr="00FA0034">
        <w:rPr>
          <w:rFonts w:ascii="Times New Roman" w:hAnsi="Times New Roman" w:cs="Times New Roman"/>
          <w:i/>
          <w:sz w:val="24"/>
          <w:szCs w:val="24"/>
          <w:shd w:val="clear" w:color="auto" w:fill="FFFFFF"/>
        </w:rPr>
        <w:t>Kopp</w:t>
      </w:r>
      <w:r w:rsidR="00FA0034" w:rsidRPr="00FA0034">
        <w:rPr>
          <w:rFonts w:ascii="Times New Roman" w:hAnsi="Times New Roman" w:cs="Times New Roman"/>
          <w:sz w:val="24"/>
          <w:szCs w:val="24"/>
          <w:shd w:val="clear" w:color="auto" w:fill="FFFFFF"/>
        </w:rPr>
        <w:t xml:space="preserve"> (</w:t>
      </w:r>
      <w:hyperlink r:id="rId11" w:history="1">
        <w:r w:rsidR="00FA0034" w:rsidRPr="00FA0034">
          <w:rPr>
            <w:rStyle w:val="Hyperlink"/>
            <w:rFonts w:ascii="Times New Roman" w:hAnsi="Times New Roman" w:cs="Times New Roman"/>
            <w:sz w:val="24"/>
            <w:szCs w:val="24"/>
            <w:shd w:val="clear" w:color="auto" w:fill="FFFFFF"/>
          </w:rPr>
          <w:t>Appendix 5</w:t>
        </w:r>
      </w:hyperlink>
      <w:r w:rsidR="00FA0034" w:rsidRPr="00FA0034">
        <w:rPr>
          <w:rFonts w:ascii="Times New Roman" w:hAnsi="Times New Roman" w:cs="Times New Roman"/>
          <w:sz w:val="24"/>
          <w:szCs w:val="24"/>
          <w:shd w:val="clear" w:color="auto" w:fill="FFFFFF"/>
        </w:rPr>
        <w:t>)</w:t>
      </w:r>
      <w:r w:rsidR="00FA0034">
        <w:rPr>
          <w:rFonts w:ascii="Times New Roman" w:hAnsi="Times New Roman" w:cs="Times New Roman"/>
          <w:sz w:val="24"/>
          <w:szCs w:val="24"/>
          <w:shd w:val="clear" w:color="auto" w:fill="FFFFFF"/>
        </w:rPr>
        <w:t xml:space="preserve">; </w:t>
      </w:r>
      <w:r w:rsidR="00FA0034" w:rsidRPr="00777762">
        <w:rPr>
          <w:rFonts w:ascii="Times New Roman" w:hAnsi="Times New Roman" w:cs="Times New Roman"/>
          <w:i/>
          <w:sz w:val="24"/>
          <w:szCs w:val="24"/>
        </w:rPr>
        <w:t>Converge Services</w:t>
      </w:r>
      <w:r w:rsidR="00FA0034" w:rsidRPr="00777762">
        <w:rPr>
          <w:rFonts w:ascii="Times New Roman" w:hAnsi="Times New Roman" w:cs="Times New Roman"/>
          <w:sz w:val="24"/>
          <w:szCs w:val="24"/>
        </w:rPr>
        <w:t xml:space="preserve"> </w:t>
      </w:r>
      <w:r w:rsidR="00C2445D" w:rsidRPr="00777762">
        <w:rPr>
          <w:rFonts w:ascii="Times New Roman" w:hAnsi="Times New Roman" w:cs="Times New Roman"/>
          <w:sz w:val="24"/>
          <w:szCs w:val="24"/>
        </w:rPr>
        <w:t>Consent Order</w:t>
      </w:r>
      <w:r w:rsidR="00FA0034">
        <w:rPr>
          <w:rFonts w:ascii="Times New Roman" w:hAnsi="Times New Roman" w:cs="Times New Roman"/>
          <w:sz w:val="24"/>
          <w:szCs w:val="24"/>
        </w:rPr>
        <w:t xml:space="preserve"> at 6</w:t>
      </w:r>
      <w:r w:rsidR="00C2445D" w:rsidRPr="00777762">
        <w:rPr>
          <w:rFonts w:ascii="Times New Roman" w:hAnsi="Times New Roman" w:cs="Times New Roman"/>
          <w:sz w:val="24"/>
          <w:szCs w:val="24"/>
        </w:rPr>
        <w:t xml:space="preserve"> (</w:t>
      </w:r>
      <w:hyperlink r:id="rId12" w:history="1">
        <w:r w:rsidR="00C2445D" w:rsidRPr="00777762">
          <w:rPr>
            <w:rStyle w:val="Hyperlink"/>
            <w:rFonts w:ascii="Times New Roman" w:hAnsi="Times New Roman" w:cs="Times New Roman"/>
            <w:sz w:val="24"/>
            <w:szCs w:val="24"/>
          </w:rPr>
          <w:t xml:space="preserve">Appendix </w:t>
        </w:r>
        <w:r w:rsidR="00553F70" w:rsidRPr="00777762">
          <w:rPr>
            <w:rStyle w:val="Hyperlink"/>
            <w:rFonts w:ascii="Times New Roman" w:hAnsi="Times New Roman" w:cs="Times New Roman"/>
            <w:sz w:val="24"/>
            <w:szCs w:val="24"/>
          </w:rPr>
          <w:t>2</w:t>
        </w:r>
      </w:hyperlink>
      <w:r w:rsidR="00FA0034">
        <w:rPr>
          <w:rFonts w:ascii="Times New Roman" w:hAnsi="Times New Roman" w:cs="Times New Roman"/>
          <w:sz w:val="24"/>
          <w:szCs w:val="24"/>
        </w:rPr>
        <w:t>)</w:t>
      </w:r>
      <w:r w:rsidR="00C2445D">
        <w:rPr>
          <w:rFonts w:ascii="Times New Roman" w:hAnsi="Times New Roman" w:cs="Times New Roman"/>
          <w:color w:val="FF0000"/>
          <w:sz w:val="24"/>
          <w:szCs w:val="24"/>
        </w:rPr>
        <w:t>.</w:t>
      </w:r>
    </w:p>
    <w:p w:rsidR="009A4744" w:rsidRPr="001619DD" w:rsidRDefault="009A4744">
      <w:pPr>
        <w:pStyle w:val="FootnoteText"/>
        <w:rPr>
          <w:rFonts w:ascii="Times New Roman" w:hAnsi="Times New Roman" w:cs="Times New Roman"/>
          <w:color w:val="FF0000"/>
          <w:sz w:val="24"/>
          <w:szCs w:val="24"/>
        </w:rPr>
      </w:pPr>
    </w:p>
  </w:footnote>
  <w:footnote w:id="10">
    <w:p w:rsidR="009A4744" w:rsidRPr="001619DD" w:rsidRDefault="009A4744">
      <w:pPr>
        <w:pStyle w:val="FootnoteText"/>
        <w:rPr>
          <w:rFonts w:ascii="Times New Roman" w:hAnsi="Times New Roman" w:cs="Times New Roman"/>
          <w:color w:val="FF0000"/>
          <w:sz w:val="24"/>
          <w:szCs w:val="24"/>
        </w:rPr>
      </w:pPr>
      <w:r w:rsidRPr="00FA0034">
        <w:rPr>
          <w:rFonts w:ascii="Times New Roman" w:hAnsi="Times New Roman" w:cs="Times New Roman"/>
          <w:sz w:val="24"/>
          <w:szCs w:val="24"/>
          <w:vertAlign w:val="superscript"/>
        </w:rPr>
        <w:footnoteRef/>
      </w:r>
      <w:r w:rsidR="00FA0034" w:rsidRPr="00FA0034">
        <w:rPr>
          <w:rFonts w:ascii="Times New Roman" w:hAnsi="Times New Roman" w:cs="Times New Roman"/>
          <w:sz w:val="24"/>
          <w:szCs w:val="24"/>
          <w:shd w:val="clear" w:color="auto" w:fill="FFFFFF"/>
        </w:rPr>
        <w:t xml:space="preserve">AERC’s brief in </w:t>
      </w:r>
      <w:r w:rsidR="00FA0034" w:rsidRPr="00FA0034">
        <w:rPr>
          <w:rFonts w:ascii="Times New Roman" w:hAnsi="Times New Roman" w:cs="Times New Roman"/>
          <w:i/>
          <w:sz w:val="24"/>
          <w:szCs w:val="24"/>
          <w:shd w:val="clear" w:color="auto" w:fill="FFFFFF"/>
        </w:rPr>
        <w:t>Kopp</w:t>
      </w:r>
      <w:r w:rsidR="00FA0034" w:rsidRPr="00FA0034">
        <w:rPr>
          <w:rFonts w:ascii="Times New Roman" w:hAnsi="Times New Roman" w:cs="Times New Roman"/>
          <w:sz w:val="24"/>
          <w:szCs w:val="24"/>
          <w:shd w:val="clear" w:color="auto" w:fill="FFFFFF"/>
        </w:rPr>
        <w:t xml:space="preserve"> (</w:t>
      </w:r>
      <w:hyperlink r:id="rId13" w:history="1">
        <w:r w:rsidR="00FA0034" w:rsidRPr="00FA0034">
          <w:rPr>
            <w:rStyle w:val="Hyperlink"/>
            <w:rFonts w:ascii="Times New Roman" w:hAnsi="Times New Roman" w:cs="Times New Roman"/>
            <w:sz w:val="24"/>
            <w:szCs w:val="24"/>
            <w:shd w:val="clear" w:color="auto" w:fill="FFFFFF"/>
          </w:rPr>
          <w:t>Appendix 5</w:t>
        </w:r>
      </w:hyperlink>
      <w:r w:rsidR="00FA0034" w:rsidRPr="00FA0034">
        <w:rPr>
          <w:rFonts w:ascii="Times New Roman" w:hAnsi="Times New Roman" w:cs="Times New Roman"/>
          <w:sz w:val="24"/>
          <w:szCs w:val="24"/>
          <w:shd w:val="clear" w:color="auto" w:fill="FFFFFF"/>
        </w:rPr>
        <w:t>)</w:t>
      </w:r>
      <w:r w:rsidR="00FA0034" w:rsidRPr="00777762">
        <w:rPr>
          <w:rFonts w:ascii="Times New Roman" w:hAnsi="Times New Roman" w:cs="Times New Roman"/>
          <w:sz w:val="24"/>
          <w:szCs w:val="24"/>
          <w:shd w:val="clear" w:color="auto" w:fill="FFFFFF"/>
        </w:rPr>
        <w:t xml:space="preserve"> at 9</w:t>
      </w:r>
      <w:r w:rsidR="00C2445D">
        <w:rPr>
          <w:rFonts w:ascii="Times New Roman" w:hAnsi="Times New Roman" w:cs="Times New Roman"/>
          <w:color w:val="FF0000"/>
          <w:sz w:val="24"/>
          <w:szCs w:val="24"/>
        </w:rPr>
        <w:t>.</w:t>
      </w:r>
    </w:p>
    <w:p w:rsidR="009A4744" w:rsidRPr="008E6806" w:rsidRDefault="009A4744">
      <w:pPr>
        <w:pStyle w:val="FootnoteText"/>
        <w:rPr>
          <w:rFonts w:ascii="Times New Roman" w:hAnsi="Times New Roman" w:cs="Times New Roman"/>
          <w:sz w:val="24"/>
          <w:szCs w:val="24"/>
        </w:rPr>
      </w:pPr>
    </w:p>
  </w:footnote>
  <w:footnote w:id="11">
    <w:p w:rsidR="009A4744" w:rsidRDefault="009A4744">
      <w:pPr>
        <w:pStyle w:val="FootnoteText"/>
      </w:pPr>
      <w:r w:rsidRPr="008E6806">
        <w:rPr>
          <w:rStyle w:val="FootnoteReference"/>
          <w:rFonts w:ascii="Times New Roman" w:hAnsi="Times New Roman" w:cs="Times New Roman"/>
          <w:sz w:val="24"/>
          <w:szCs w:val="24"/>
        </w:rPr>
        <w:footnoteRef/>
      </w:r>
      <w:r w:rsidRPr="008E6806">
        <w:rPr>
          <w:rFonts w:ascii="Times New Roman" w:hAnsi="Times New Roman" w:cs="Times New Roman"/>
          <w:sz w:val="24"/>
          <w:szCs w:val="24"/>
        </w:rPr>
        <w:t xml:space="preserve"> The details are available in another of my blog posts, </w:t>
      </w:r>
      <w:hyperlink r:id="rId14" w:history="1">
        <w:r w:rsidRPr="008E6806">
          <w:rPr>
            <w:rStyle w:val="Hyperlink"/>
            <w:rFonts w:ascii="Times New Roman" w:hAnsi="Times New Roman" w:cs="Times New Roman"/>
            <w:sz w:val="24"/>
            <w:szCs w:val="24"/>
          </w:rPr>
          <w:t>https://birnberglegalwebsite.net/2020/03/20/renters-insurance-helps-a-residential-tenant-when-he-accidentally-burns-his-apartment-but-not-when-he-accidentally-floods-his-apartment-full-coverage-should-be-mandated-by-statute/</w:t>
        </w:r>
      </w:hyperlink>
      <w:r>
        <w:t xml:space="preserve"> </w:t>
      </w:r>
    </w:p>
  </w:footnote>
  <w:footnote w:id="12">
    <w:p w:rsidR="009A4744" w:rsidRPr="00E50A50" w:rsidRDefault="009A4744">
      <w:pPr>
        <w:pStyle w:val="FootnoteText"/>
        <w:rPr>
          <w:rFonts w:ascii="Times New Roman" w:hAnsi="Times New Roman" w:cs="Times New Roman"/>
          <w:sz w:val="24"/>
          <w:szCs w:val="24"/>
        </w:rPr>
      </w:pPr>
      <w:r>
        <w:rPr>
          <w:rStyle w:val="FootnoteReference"/>
        </w:rPr>
        <w:footnoteRef/>
      </w:r>
      <w:r>
        <w:t xml:space="preserve"> </w:t>
      </w:r>
      <w:r w:rsidRPr="00E50A50">
        <w:rPr>
          <w:rFonts w:ascii="Times New Roman" w:hAnsi="Times New Roman" w:cs="Times New Roman"/>
          <w:sz w:val="24"/>
          <w:szCs w:val="24"/>
        </w:rPr>
        <w:t xml:space="preserve">Sometimes the AG or an enterprising Legal Aid attorney will go after these landlords so </w:t>
      </w:r>
      <w:r>
        <w:rPr>
          <w:rFonts w:ascii="Times New Roman" w:hAnsi="Times New Roman" w:cs="Times New Roman"/>
          <w:sz w:val="24"/>
          <w:szCs w:val="24"/>
        </w:rPr>
        <w:t>the scheme</w:t>
      </w:r>
      <w:r w:rsidRPr="00E50A50">
        <w:rPr>
          <w:rFonts w:ascii="Times New Roman" w:hAnsi="Times New Roman" w:cs="Times New Roman"/>
          <w:sz w:val="24"/>
          <w:szCs w:val="24"/>
        </w:rPr>
        <w:t xml:space="preserve"> is n</w:t>
      </w:r>
      <w:r>
        <w:rPr>
          <w:rFonts w:ascii="Times New Roman" w:hAnsi="Times New Roman" w:cs="Times New Roman"/>
          <w:sz w:val="24"/>
          <w:szCs w:val="24"/>
        </w:rPr>
        <w:t xml:space="preserve">ot </w:t>
      </w:r>
      <w:r w:rsidR="003A2BF1">
        <w:rPr>
          <w:rFonts w:ascii="Times New Roman" w:hAnsi="Times New Roman" w:cs="Times New Roman"/>
          <w:sz w:val="24"/>
          <w:szCs w:val="24"/>
        </w:rPr>
        <w:t xml:space="preserve">always </w:t>
      </w:r>
      <w:r>
        <w:rPr>
          <w:rFonts w:ascii="Times New Roman" w:hAnsi="Times New Roman" w:cs="Times New Roman"/>
          <w:sz w:val="24"/>
          <w:szCs w:val="24"/>
        </w:rPr>
        <w:t xml:space="preserve">profitable. See e.g. </w:t>
      </w:r>
      <w:hyperlink r:id="rId15" w:history="1">
        <w:r w:rsidRPr="00E50A50">
          <w:rPr>
            <w:rStyle w:val="Hyperlink"/>
            <w:rFonts w:ascii="Times New Roman" w:hAnsi="Times New Roman" w:cs="Times New Roman"/>
            <w:i/>
            <w:iCs/>
            <w:sz w:val="24"/>
            <w:szCs w:val="24"/>
          </w:rPr>
          <w:t>Love v. Amsler,</w:t>
        </w:r>
        <w:r w:rsidRPr="00E50A50">
          <w:rPr>
            <w:rStyle w:val="Hyperlink"/>
            <w:rFonts w:ascii="Times New Roman" w:hAnsi="Times New Roman" w:cs="Times New Roman"/>
            <w:sz w:val="24"/>
            <w:szCs w:val="24"/>
          </w:rPr>
          <w:t xml:space="preserve"> 441 N.W.2d 555 (Minn.Ct.App.1989)</w:t>
        </w:r>
      </w:hyperlink>
      <w:r>
        <w:rPr>
          <w:rFonts w:ascii="Times New Roman" w:hAnsi="Times New Roman" w:cs="Times New Roman"/>
          <w:sz w:val="24"/>
          <w:szCs w:val="24"/>
        </w:rPr>
        <w:t xml:space="preserve"> (</w:t>
      </w:r>
      <w:r w:rsidRPr="00E50A50">
        <w:rPr>
          <w:rFonts w:ascii="Times New Roman" w:hAnsi="Times New Roman" w:cs="Times New Roman"/>
          <w:sz w:val="24"/>
          <w:szCs w:val="24"/>
        </w:rPr>
        <w:t xml:space="preserve">success by Legal Aid); </w:t>
      </w:r>
      <w:r w:rsidRPr="00E50A50">
        <w:rPr>
          <w:rFonts w:ascii="Times New Roman" w:hAnsi="Times New Roman" w:cs="Times New Roman"/>
          <w:i/>
          <w:sz w:val="24"/>
          <w:szCs w:val="24"/>
        </w:rPr>
        <w:t>State by Ellison v. Meldahl</w:t>
      </w:r>
      <w:r w:rsidRPr="00E50A50">
        <w:rPr>
          <w:rFonts w:ascii="Times New Roman" w:hAnsi="Times New Roman" w:cs="Times New Roman"/>
          <w:sz w:val="24"/>
          <w:szCs w:val="24"/>
        </w:rPr>
        <w:t>, Henn. Cty</w:t>
      </w:r>
      <w:r w:rsidR="00B449F9">
        <w:rPr>
          <w:rFonts w:ascii="Times New Roman" w:hAnsi="Times New Roman" w:cs="Times New Roman"/>
          <w:sz w:val="24"/>
          <w:szCs w:val="24"/>
        </w:rPr>
        <w:t>. Dist. Ct. File No.</w:t>
      </w:r>
      <w:r w:rsidRPr="00E50A50">
        <w:rPr>
          <w:rFonts w:ascii="Times New Roman" w:hAnsi="Times New Roman" w:cs="Times New Roman"/>
          <w:sz w:val="24"/>
          <w:szCs w:val="24"/>
        </w:rPr>
        <w:t xml:space="preserve"> 27-CV-19-16424 (on-going case by the Minnesota Attorney General</w:t>
      </w:r>
      <w:r>
        <w:rPr>
          <w:rFonts w:ascii="Times New Roman" w:hAnsi="Times New Roman" w:cs="Times New Roman"/>
          <w:sz w:val="24"/>
          <w:szCs w:val="24"/>
        </w:rPr>
        <w:t xml:space="preserve">; </w:t>
      </w:r>
      <w:r w:rsidRPr="00E50A50">
        <w:rPr>
          <w:rFonts w:ascii="Times New Roman" w:hAnsi="Times New Roman" w:cs="Times New Roman"/>
          <w:sz w:val="24"/>
          <w:szCs w:val="24"/>
        </w:rPr>
        <w:t xml:space="preserve">docket available on MNCIS, </w:t>
      </w:r>
      <w:hyperlink r:id="rId16" w:history="1">
        <w:r w:rsidRPr="00E50A50">
          <w:rPr>
            <w:rStyle w:val="Hyperlink"/>
            <w:rFonts w:ascii="Times New Roman" w:hAnsi="Times New Roman" w:cs="Times New Roman"/>
            <w:sz w:val="24"/>
            <w:szCs w:val="24"/>
          </w:rPr>
          <w:t>https://pa.courts.state.mn.us/default.aspx</w:t>
        </w:r>
      </w:hyperlink>
      <w:r w:rsidRPr="00E50A50">
        <w:rPr>
          <w:rFonts w:ascii="Times New Roman" w:hAnsi="Times New Roman" w:cs="Times New Roman"/>
          <w:sz w:val="24"/>
          <w:szCs w:val="24"/>
        </w:rPr>
        <w:t xml:space="preserve"> )</w:t>
      </w:r>
    </w:p>
  </w:footnote>
  <w:footnote w:id="13">
    <w:p w:rsidR="009A4744" w:rsidRPr="00E50A50" w:rsidRDefault="009A4744" w:rsidP="008E6806">
      <w:pPr>
        <w:pStyle w:val="Heading3"/>
        <w:rPr>
          <w:b w:val="0"/>
          <w:sz w:val="24"/>
          <w:szCs w:val="24"/>
        </w:rPr>
      </w:pPr>
      <w:r w:rsidRPr="00E50A50">
        <w:rPr>
          <w:rStyle w:val="FootnoteReference"/>
          <w:b w:val="0"/>
          <w:sz w:val="24"/>
          <w:szCs w:val="24"/>
        </w:rPr>
        <w:footnoteRef/>
      </w:r>
      <w:r w:rsidRPr="00E50A50">
        <w:rPr>
          <w:b w:val="0"/>
          <w:sz w:val="24"/>
          <w:szCs w:val="24"/>
        </w:rPr>
        <w:t xml:space="preserve"> Indirectly discussed in this case </w:t>
      </w:r>
      <w:hyperlink r:id="rId17" w:history="1">
        <w:r w:rsidRPr="00E50A50">
          <w:rPr>
            <w:rStyle w:val="Hyperlink"/>
            <w:b w:val="0"/>
            <w:i/>
            <w:sz w:val="24"/>
            <w:szCs w:val="24"/>
          </w:rPr>
          <w:t>Park Plaza II, Ltd. V. American Bankers Ins. Co</w:t>
        </w:r>
        <w:r w:rsidRPr="00E50A50">
          <w:rPr>
            <w:rStyle w:val="Hyperlink"/>
            <w:b w:val="0"/>
            <w:sz w:val="24"/>
            <w:szCs w:val="24"/>
          </w:rPr>
          <w:t xml:space="preserve">., No. G048916 (Cal. Ct. App. </w:t>
        </w:r>
        <w:r w:rsidRPr="00E50A50">
          <w:rPr>
            <w:rStyle w:val="Hyperlink"/>
            <w:b w:val="0"/>
            <w:bCs w:val="0"/>
            <w:sz w:val="24"/>
            <w:szCs w:val="24"/>
          </w:rPr>
          <w:t xml:space="preserve">Fourth District, Division Three, </w:t>
        </w:r>
        <w:r w:rsidRPr="00E50A50">
          <w:rPr>
            <w:rStyle w:val="Hyperlink"/>
            <w:b w:val="0"/>
            <w:sz w:val="24"/>
            <w:szCs w:val="24"/>
          </w:rPr>
          <w:t>October 31, 2014)</w:t>
        </w:r>
      </w:hyperlink>
      <w:r w:rsidRPr="00E50A50">
        <w:rPr>
          <w:b w:val="0"/>
          <w:sz w:val="24"/>
          <w:szCs w:val="24"/>
        </w:rPr>
        <w:t>.</w:t>
      </w:r>
    </w:p>
  </w:footnote>
  <w:footnote w:id="14">
    <w:p w:rsidR="009A4744" w:rsidRPr="00E50A50" w:rsidRDefault="009A4744">
      <w:pPr>
        <w:pStyle w:val="FootnoteText"/>
        <w:rPr>
          <w:rFonts w:ascii="Times New Roman" w:hAnsi="Times New Roman" w:cs="Times New Roman"/>
          <w:sz w:val="24"/>
          <w:szCs w:val="24"/>
        </w:rPr>
      </w:pPr>
      <w:r w:rsidRPr="00E50A50">
        <w:rPr>
          <w:rStyle w:val="FootnoteReference"/>
          <w:rFonts w:ascii="Times New Roman" w:hAnsi="Times New Roman" w:cs="Times New Roman"/>
          <w:sz w:val="24"/>
          <w:szCs w:val="24"/>
        </w:rPr>
        <w:footnoteRef/>
      </w:r>
      <w:r w:rsidRPr="00E50A50">
        <w:rPr>
          <w:rFonts w:ascii="Times New Roman" w:hAnsi="Times New Roman" w:cs="Times New Roman"/>
          <w:sz w:val="24"/>
          <w:szCs w:val="24"/>
        </w:rPr>
        <w:t xml:space="preserve"> </w:t>
      </w:r>
      <w:hyperlink r:id="rId18" w:history="1">
        <w:r w:rsidRPr="00E50A50">
          <w:rPr>
            <w:rStyle w:val="Hyperlink"/>
            <w:rFonts w:ascii="Times New Roman" w:hAnsi="Times New Roman" w:cs="Times New Roman"/>
            <w:sz w:val="24"/>
            <w:szCs w:val="24"/>
          </w:rPr>
          <w:t>https://www.oregonlive.com/front-porch/2012/01/renters_lawsuit_challenges_bon.html</w:t>
        </w:r>
      </w:hyperlink>
    </w:p>
    <w:p w:rsidR="009A4744" w:rsidRPr="00E50A50" w:rsidRDefault="009A4744">
      <w:pPr>
        <w:pStyle w:val="FootnoteText"/>
        <w:rPr>
          <w:rFonts w:ascii="Times New Roman" w:hAnsi="Times New Roman" w:cs="Times New Roman"/>
          <w:sz w:val="24"/>
          <w:szCs w:val="24"/>
        </w:rPr>
      </w:pPr>
    </w:p>
  </w:footnote>
  <w:footnote w:id="15">
    <w:p w:rsidR="009A4744" w:rsidRPr="004C69E6" w:rsidRDefault="009A4744" w:rsidP="00044330">
      <w:pPr>
        <w:pStyle w:val="FootnoteText"/>
        <w:rPr>
          <w:rFonts w:ascii="Times New Roman" w:hAnsi="Times New Roman" w:cs="Times New Roman"/>
          <w:sz w:val="24"/>
          <w:szCs w:val="24"/>
        </w:rPr>
      </w:pPr>
      <w:r w:rsidRPr="004C69E6">
        <w:rPr>
          <w:rStyle w:val="FootnoteReference"/>
          <w:rFonts w:ascii="Times New Roman" w:hAnsi="Times New Roman" w:cs="Times New Roman"/>
          <w:sz w:val="24"/>
          <w:szCs w:val="24"/>
        </w:rPr>
        <w:footnoteRef/>
      </w:r>
      <w:r w:rsidRPr="004C69E6">
        <w:rPr>
          <w:rFonts w:ascii="Times New Roman" w:hAnsi="Times New Roman" w:cs="Times New Roman"/>
          <w:sz w:val="24"/>
          <w:szCs w:val="24"/>
        </w:rPr>
        <w:t xml:space="preserve"> Both are public record</w:t>
      </w:r>
      <w:r>
        <w:rPr>
          <w:rFonts w:ascii="Times New Roman" w:hAnsi="Times New Roman" w:cs="Times New Roman"/>
          <w:sz w:val="24"/>
          <w:szCs w:val="24"/>
        </w:rPr>
        <w:t>s</w:t>
      </w:r>
      <w:r w:rsidRPr="004C69E6">
        <w:rPr>
          <w:rFonts w:ascii="Times New Roman" w:hAnsi="Times New Roman" w:cs="Times New Roman"/>
          <w:sz w:val="24"/>
          <w:szCs w:val="24"/>
        </w:rPr>
        <w:t xml:space="preserve"> but short of going to Annapolis, MD it might be hard to get a copy of the complaint.</w:t>
      </w:r>
    </w:p>
  </w:footnote>
  <w:footnote w:id="16">
    <w:p w:rsidR="002C42B4" w:rsidRDefault="002C42B4" w:rsidP="002C42B4">
      <w:pPr>
        <w:pStyle w:val="FootnoteText"/>
        <w:rPr>
          <w:rFonts w:ascii="Times New Roman" w:hAnsi="Times New Roman" w:cs="Times New Roman"/>
          <w:sz w:val="24"/>
          <w:szCs w:val="24"/>
        </w:rPr>
      </w:pPr>
      <w:r w:rsidRPr="004122BC">
        <w:rPr>
          <w:rStyle w:val="FootnoteReference"/>
          <w:rFonts w:ascii="Times New Roman" w:hAnsi="Times New Roman" w:cs="Times New Roman"/>
          <w:sz w:val="24"/>
          <w:szCs w:val="24"/>
        </w:rPr>
        <w:footnoteRef/>
      </w:r>
      <w:r w:rsidRPr="004122BC">
        <w:rPr>
          <w:rFonts w:ascii="Times New Roman" w:hAnsi="Times New Roman" w:cs="Times New Roman"/>
          <w:sz w:val="24"/>
          <w:szCs w:val="24"/>
        </w:rPr>
        <w:t xml:space="preserve"> </w:t>
      </w:r>
      <w:r>
        <w:rPr>
          <w:rFonts w:ascii="Times New Roman" w:hAnsi="Times New Roman" w:cs="Times New Roman"/>
          <w:sz w:val="24"/>
          <w:szCs w:val="24"/>
        </w:rPr>
        <w:t xml:space="preserve">The facts are gleaned primarily from </w:t>
      </w:r>
      <w:r>
        <w:rPr>
          <w:rFonts w:ascii="Arial" w:hAnsi="Arial" w:cs="Arial"/>
          <w:color w:val="222222"/>
          <w:shd w:val="clear" w:color="auto" w:fill="FFFFFF"/>
        </w:rPr>
        <w:t xml:space="preserve">¶¶ </w:t>
      </w:r>
      <w:r>
        <w:rPr>
          <w:rFonts w:ascii="Times New Roman" w:hAnsi="Times New Roman" w:cs="Times New Roman"/>
          <w:sz w:val="24"/>
          <w:szCs w:val="24"/>
        </w:rPr>
        <w:t>2-12 of the appellate decision and to a lesser extent from the parties’ briefs to that court</w:t>
      </w:r>
      <w:r w:rsidRPr="004122BC">
        <w:rPr>
          <w:rFonts w:ascii="Times New Roman" w:hAnsi="Times New Roman" w:cs="Times New Roman"/>
          <w:sz w:val="24"/>
          <w:szCs w:val="24"/>
        </w:rPr>
        <w:t>.</w:t>
      </w:r>
    </w:p>
    <w:p w:rsidR="002C42B4" w:rsidRPr="00672E9A" w:rsidRDefault="002C42B4" w:rsidP="002C42B4">
      <w:pPr>
        <w:pStyle w:val="FootnoteText"/>
        <w:rPr>
          <w:rFonts w:ascii="Times New Roman" w:hAnsi="Times New Roman" w:cs="Times New Roman"/>
          <w:sz w:val="24"/>
          <w:szCs w:val="24"/>
        </w:rPr>
      </w:pPr>
    </w:p>
  </w:footnote>
  <w:footnote w:id="17">
    <w:p w:rsidR="009A4744" w:rsidRPr="00777762" w:rsidRDefault="009A4744" w:rsidP="004E33D2">
      <w:pPr>
        <w:pStyle w:val="FootnoteText"/>
        <w:rPr>
          <w:rFonts w:ascii="Times New Roman" w:hAnsi="Times New Roman" w:cs="Times New Roman"/>
          <w:sz w:val="24"/>
          <w:szCs w:val="24"/>
          <w:shd w:val="clear" w:color="auto" w:fill="FFFFFF"/>
        </w:rPr>
      </w:pPr>
      <w:r w:rsidRPr="004122BC">
        <w:rPr>
          <w:rStyle w:val="FootnoteReference"/>
          <w:rFonts w:ascii="Times New Roman" w:hAnsi="Times New Roman" w:cs="Times New Roman"/>
          <w:sz w:val="24"/>
          <w:szCs w:val="24"/>
        </w:rPr>
        <w:footnoteRef/>
      </w:r>
      <w:r w:rsidRPr="004122BC">
        <w:rPr>
          <w:rFonts w:ascii="Times New Roman" w:hAnsi="Times New Roman" w:cs="Times New Roman"/>
          <w:sz w:val="24"/>
          <w:szCs w:val="24"/>
        </w:rPr>
        <w:t xml:space="preserve"> AERC claimed the 20% was </w:t>
      </w:r>
      <w:r w:rsidRPr="004122BC">
        <w:rPr>
          <w:rFonts w:ascii="Times New Roman" w:hAnsi="Times New Roman" w:cs="Times New Roman"/>
          <w:color w:val="222222"/>
          <w:sz w:val="24"/>
          <w:szCs w:val="24"/>
          <w:shd w:val="clear" w:color="auto" w:fill="FFFFFF"/>
        </w:rPr>
        <w:t xml:space="preserve">for “administrative and accounting services”. </w:t>
      </w:r>
      <w:hyperlink r:id="rId19" w:history="1">
        <w:r w:rsidRPr="00777762">
          <w:rPr>
            <w:rStyle w:val="Hyperlink"/>
            <w:rFonts w:ascii="Times New Roman" w:hAnsi="Times New Roman" w:cs="Times New Roman"/>
            <w:sz w:val="24"/>
            <w:szCs w:val="24"/>
            <w:shd w:val="clear" w:color="auto" w:fill="FFFFFF"/>
          </w:rPr>
          <w:t>AERC</w:t>
        </w:r>
        <w:r w:rsidR="003361E8" w:rsidRPr="00777762">
          <w:rPr>
            <w:rStyle w:val="Hyperlink"/>
            <w:rFonts w:ascii="Times New Roman" w:hAnsi="Times New Roman" w:cs="Times New Roman"/>
            <w:sz w:val="24"/>
            <w:szCs w:val="24"/>
            <w:shd w:val="clear" w:color="auto" w:fill="FFFFFF"/>
          </w:rPr>
          <w:t>’s</w:t>
        </w:r>
        <w:r w:rsidRPr="00777762">
          <w:rPr>
            <w:rStyle w:val="Hyperlink"/>
            <w:rFonts w:ascii="Times New Roman" w:hAnsi="Times New Roman" w:cs="Times New Roman"/>
            <w:sz w:val="24"/>
            <w:szCs w:val="24"/>
            <w:shd w:val="clear" w:color="auto" w:fill="FFFFFF"/>
          </w:rPr>
          <w:t xml:space="preserve"> brief </w:t>
        </w:r>
        <w:r w:rsidR="003361E8" w:rsidRPr="00777762">
          <w:rPr>
            <w:rStyle w:val="Hyperlink"/>
            <w:rFonts w:ascii="Times New Roman" w:hAnsi="Times New Roman" w:cs="Times New Roman"/>
            <w:sz w:val="24"/>
            <w:szCs w:val="24"/>
            <w:shd w:val="clear" w:color="auto" w:fill="FFFFFF"/>
          </w:rPr>
          <w:t xml:space="preserve">(Appendix </w:t>
        </w:r>
        <w:r w:rsidR="00553F70" w:rsidRPr="00777762">
          <w:rPr>
            <w:rStyle w:val="Hyperlink"/>
            <w:rFonts w:ascii="Times New Roman" w:hAnsi="Times New Roman" w:cs="Times New Roman"/>
            <w:sz w:val="24"/>
            <w:szCs w:val="24"/>
            <w:shd w:val="clear" w:color="auto" w:fill="FFFFFF"/>
          </w:rPr>
          <w:t>5</w:t>
        </w:r>
        <w:r w:rsidR="003361E8" w:rsidRPr="00777762">
          <w:rPr>
            <w:rStyle w:val="Hyperlink"/>
            <w:rFonts w:ascii="Times New Roman" w:hAnsi="Times New Roman" w:cs="Times New Roman"/>
            <w:sz w:val="24"/>
            <w:szCs w:val="24"/>
            <w:shd w:val="clear" w:color="auto" w:fill="FFFFFF"/>
          </w:rPr>
          <w:t>)</w:t>
        </w:r>
      </w:hyperlink>
      <w:r w:rsidR="003361E8" w:rsidRPr="00777762">
        <w:rPr>
          <w:rFonts w:ascii="Times New Roman" w:hAnsi="Times New Roman" w:cs="Times New Roman"/>
          <w:sz w:val="24"/>
          <w:szCs w:val="24"/>
          <w:shd w:val="clear" w:color="auto" w:fill="FFFFFF"/>
        </w:rPr>
        <w:t xml:space="preserve"> at </w:t>
      </w:r>
      <w:r w:rsidRPr="00777762">
        <w:rPr>
          <w:rFonts w:ascii="Times New Roman" w:hAnsi="Times New Roman" w:cs="Times New Roman"/>
          <w:sz w:val="24"/>
          <w:szCs w:val="24"/>
          <w:shd w:val="clear" w:color="auto" w:fill="FFFFFF"/>
        </w:rPr>
        <w:t xml:space="preserve">9-10. However, as the Kopps argued, </w:t>
      </w:r>
      <w:hyperlink r:id="rId20" w:history="1">
        <w:r w:rsidR="003361E8" w:rsidRPr="00777762">
          <w:rPr>
            <w:rStyle w:val="Hyperlink"/>
            <w:rFonts w:ascii="Times New Roman" w:hAnsi="Times New Roman" w:cs="Times New Roman"/>
            <w:sz w:val="24"/>
            <w:szCs w:val="24"/>
            <w:shd w:val="clear" w:color="auto" w:fill="FFFFFF"/>
          </w:rPr>
          <w:t>Tenants’</w:t>
        </w:r>
        <w:r w:rsidRPr="00777762">
          <w:rPr>
            <w:rStyle w:val="Hyperlink"/>
            <w:rFonts w:ascii="Times New Roman" w:hAnsi="Times New Roman" w:cs="Times New Roman"/>
            <w:sz w:val="24"/>
            <w:szCs w:val="24"/>
            <w:shd w:val="clear" w:color="auto" w:fill="FFFFFF"/>
          </w:rPr>
          <w:t xml:space="preserve"> bri</w:t>
        </w:r>
        <w:r w:rsidR="00FA0034">
          <w:rPr>
            <w:rStyle w:val="Hyperlink"/>
            <w:rFonts w:ascii="Times New Roman" w:hAnsi="Times New Roman" w:cs="Times New Roman"/>
            <w:sz w:val="24"/>
            <w:szCs w:val="24"/>
            <w:shd w:val="clear" w:color="auto" w:fill="FFFFFF"/>
          </w:rPr>
          <w:t>ef (Appendix 4)</w:t>
        </w:r>
      </w:hyperlink>
      <w:r w:rsidRPr="00777762">
        <w:rPr>
          <w:rFonts w:ascii="Times New Roman" w:hAnsi="Times New Roman" w:cs="Times New Roman"/>
          <w:sz w:val="24"/>
          <w:szCs w:val="24"/>
          <w:shd w:val="clear" w:color="auto" w:fill="FFFFFF"/>
        </w:rPr>
        <w:t xml:space="preserve"> at 8, that strikes me as a canard.</w:t>
      </w:r>
    </w:p>
    <w:p w:rsidR="009A4744" w:rsidRPr="004122BC" w:rsidRDefault="009A4744" w:rsidP="004E33D2">
      <w:pPr>
        <w:pStyle w:val="FootnoteText"/>
        <w:rPr>
          <w:rFonts w:ascii="Times New Roman" w:hAnsi="Times New Roman" w:cs="Times New Roman"/>
          <w:sz w:val="24"/>
          <w:szCs w:val="24"/>
        </w:rPr>
      </w:pPr>
    </w:p>
  </w:footnote>
  <w:footnote w:id="18">
    <w:p w:rsidR="009A4744" w:rsidRDefault="009A4744">
      <w:pPr>
        <w:pStyle w:val="FootnoteText"/>
        <w:rPr>
          <w:rFonts w:ascii="Times New Roman" w:hAnsi="Times New Roman" w:cs="Times New Roman"/>
          <w:sz w:val="24"/>
          <w:szCs w:val="24"/>
        </w:rPr>
      </w:pPr>
      <w:r w:rsidRPr="004122BC">
        <w:rPr>
          <w:rStyle w:val="FootnoteReference"/>
          <w:rFonts w:ascii="Times New Roman" w:hAnsi="Times New Roman" w:cs="Times New Roman"/>
          <w:sz w:val="24"/>
          <w:szCs w:val="24"/>
        </w:rPr>
        <w:footnoteRef/>
      </w:r>
      <w:r w:rsidRPr="004122BC">
        <w:rPr>
          <w:rFonts w:ascii="Times New Roman" w:hAnsi="Times New Roman" w:cs="Times New Roman"/>
          <w:sz w:val="24"/>
          <w:szCs w:val="24"/>
        </w:rPr>
        <w:t xml:space="preserve"> AERC claimed the Kopps did receive an itemized-damage list. </w:t>
      </w:r>
      <w:hyperlink r:id="rId21" w:history="1">
        <w:r w:rsidRPr="00777762">
          <w:rPr>
            <w:rStyle w:val="Hyperlink"/>
            <w:rFonts w:ascii="Times New Roman" w:hAnsi="Times New Roman" w:cs="Times New Roman"/>
            <w:sz w:val="24"/>
            <w:szCs w:val="24"/>
          </w:rPr>
          <w:t>AERC brief</w:t>
        </w:r>
        <w:r w:rsidR="00CA5AAA">
          <w:rPr>
            <w:rStyle w:val="Hyperlink"/>
            <w:rFonts w:ascii="Times New Roman" w:hAnsi="Times New Roman" w:cs="Times New Roman"/>
            <w:sz w:val="24"/>
            <w:szCs w:val="24"/>
          </w:rPr>
          <w:t xml:space="preserve"> (Appendix 5) </w:t>
        </w:r>
        <w:r w:rsidR="00CA5AAA" w:rsidRPr="00CA5AAA">
          <w:rPr>
            <w:rStyle w:val="Hyperlink"/>
            <w:rFonts w:ascii="Times New Roman" w:hAnsi="Times New Roman" w:cs="Times New Roman"/>
            <w:sz w:val="24"/>
            <w:szCs w:val="24"/>
          </w:rPr>
          <w:t>at 12</w:t>
        </w:r>
        <w:r w:rsidR="00CA5AAA">
          <w:rPr>
            <w:rStyle w:val="Hyperlink"/>
            <w:rFonts w:ascii="Times New Roman" w:hAnsi="Times New Roman" w:cs="Times New Roman"/>
            <w:sz w:val="24"/>
            <w:szCs w:val="24"/>
          </w:rPr>
          <w:t xml:space="preserve">, </w:t>
        </w:r>
        <w:r w:rsidRPr="00777762">
          <w:rPr>
            <w:rStyle w:val="Hyperlink"/>
            <w:rFonts w:ascii="Times New Roman" w:hAnsi="Times New Roman" w:cs="Times New Roman"/>
            <w:sz w:val="24"/>
            <w:szCs w:val="24"/>
          </w:rPr>
          <w:t>fn. 5</w:t>
        </w:r>
      </w:hyperlink>
      <w:r w:rsidRPr="004122BC">
        <w:rPr>
          <w:rFonts w:ascii="Times New Roman" w:hAnsi="Times New Roman" w:cs="Times New Roman"/>
          <w:sz w:val="24"/>
          <w:szCs w:val="24"/>
        </w:rPr>
        <w:t xml:space="preserve">. However, since the case was decided against the Kopps by summary judgment, the facts must be construed in favor of the Kopps, and they alleged </w:t>
      </w:r>
      <w:r w:rsidR="003361E8">
        <w:rPr>
          <w:rFonts w:ascii="Times New Roman" w:hAnsi="Times New Roman" w:cs="Times New Roman"/>
          <w:sz w:val="24"/>
          <w:szCs w:val="24"/>
        </w:rPr>
        <w:t>they did not receive</w:t>
      </w:r>
      <w:r>
        <w:rPr>
          <w:rFonts w:ascii="Times New Roman" w:hAnsi="Times New Roman" w:cs="Times New Roman"/>
          <w:sz w:val="24"/>
          <w:szCs w:val="24"/>
        </w:rPr>
        <w:t xml:space="preserve"> </w:t>
      </w:r>
      <w:r w:rsidRPr="004122BC">
        <w:rPr>
          <w:rFonts w:ascii="Times New Roman" w:hAnsi="Times New Roman" w:cs="Times New Roman"/>
          <w:sz w:val="24"/>
          <w:szCs w:val="24"/>
        </w:rPr>
        <w:t>such a list.</w:t>
      </w:r>
    </w:p>
    <w:p w:rsidR="009A4744" w:rsidRPr="00672E9A" w:rsidRDefault="009A4744">
      <w:pPr>
        <w:pStyle w:val="FootnoteText"/>
        <w:rPr>
          <w:rFonts w:ascii="Times New Roman" w:hAnsi="Times New Roman" w:cs="Times New Roman"/>
          <w:sz w:val="24"/>
          <w:szCs w:val="24"/>
        </w:rPr>
      </w:pPr>
    </w:p>
  </w:footnote>
  <w:footnote w:id="19">
    <w:p w:rsidR="009A4744" w:rsidRDefault="009A4744">
      <w:pPr>
        <w:pStyle w:val="FootnoteText"/>
      </w:pPr>
      <w:r>
        <w:rPr>
          <w:rStyle w:val="FootnoteReference"/>
        </w:rPr>
        <w:footnoteRef/>
      </w:r>
      <w:r>
        <w:t xml:space="preserve"> </w:t>
      </w:r>
      <w:hyperlink r:id="rId22" w:history="1">
        <w:r w:rsidR="00F77C05" w:rsidRPr="00777762">
          <w:rPr>
            <w:rStyle w:val="Hyperlink"/>
            <w:rFonts w:ascii="Times New Roman" w:hAnsi="Times New Roman" w:cs="Times New Roman"/>
            <w:sz w:val="24"/>
            <w:szCs w:val="24"/>
            <w:shd w:val="clear" w:color="auto" w:fill="FFFFFF"/>
          </w:rPr>
          <w:t>AERC’s brief (Appendix 5)</w:t>
        </w:r>
      </w:hyperlink>
      <w:r w:rsidR="00F77C05">
        <w:rPr>
          <w:rFonts w:ascii="Times New Roman" w:hAnsi="Times New Roman" w:cs="Times New Roman"/>
          <w:sz w:val="24"/>
          <w:szCs w:val="24"/>
          <w:shd w:val="clear" w:color="auto" w:fill="FFFFFF"/>
        </w:rPr>
        <w:t xml:space="preserve"> at </w:t>
      </w:r>
      <w:r w:rsidR="00F77C05" w:rsidRPr="00777762">
        <w:rPr>
          <w:rFonts w:ascii="Times New Roman" w:hAnsi="Times New Roman" w:cs="Times New Roman"/>
          <w:sz w:val="24"/>
          <w:szCs w:val="24"/>
          <w:shd w:val="clear" w:color="auto" w:fill="FFFFFF"/>
        </w:rPr>
        <w:t>10</w:t>
      </w:r>
      <w:r w:rsidR="003A2BF1">
        <w:rPr>
          <w:rFonts w:ascii="Times New Roman" w:hAnsi="Times New Roman" w:cs="Times New Roman"/>
          <w:sz w:val="24"/>
          <w:szCs w:val="24"/>
          <w:shd w:val="clear" w:color="auto" w:fill="FFFFFF"/>
        </w:rPr>
        <w:t>.</w:t>
      </w:r>
    </w:p>
  </w:footnote>
  <w:footnote w:id="20">
    <w:p w:rsidR="002F727C" w:rsidRDefault="002F727C">
      <w:pPr>
        <w:pStyle w:val="FootnoteText"/>
      </w:pPr>
      <w:r w:rsidRPr="002F727C">
        <w:rPr>
          <w:rStyle w:val="FootnoteReference"/>
          <w:rFonts w:ascii="Times New Roman" w:hAnsi="Times New Roman" w:cs="Times New Roman"/>
          <w:sz w:val="24"/>
          <w:szCs w:val="24"/>
        </w:rPr>
        <w:footnoteRef/>
      </w:r>
      <w:r w:rsidRPr="002F727C">
        <w:rPr>
          <w:rFonts w:ascii="Times New Roman" w:hAnsi="Times New Roman" w:cs="Times New Roman"/>
          <w:sz w:val="24"/>
          <w:szCs w:val="24"/>
        </w:rPr>
        <w:t xml:space="preserve"> As discussed below, the language of Minn. Stat. § 504B.178, subd. 1, has not changed since the original statute was enacted in 1973. Therefore, definitions in dictionaries available in 1973 are relevant. Black’s 4</w:t>
      </w:r>
      <w:r w:rsidRPr="002F727C">
        <w:rPr>
          <w:rFonts w:ascii="Times New Roman" w:hAnsi="Times New Roman" w:cs="Times New Roman"/>
          <w:sz w:val="24"/>
          <w:szCs w:val="24"/>
          <w:vertAlign w:val="superscript"/>
        </w:rPr>
        <w:t>th</w:t>
      </w:r>
      <w:r w:rsidRPr="002F727C">
        <w:rPr>
          <w:rFonts w:ascii="Times New Roman" w:hAnsi="Times New Roman" w:cs="Times New Roman"/>
          <w:sz w:val="24"/>
          <w:szCs w:val="24"/>
        </w:rPr>
        <w:t xml:space="preserve"> edition was published in 1951; the 5</w:t>
      </w:r>
      <w:r w:rsidRPr="002F727C">
        <w:rPr>
          <w:rFonts w:ascii="Times New Roman" w:hAnsi="Times New Roman" w:cs="Times New Roman"/>
          <w:sz w:val="24"/>
          <w:szCs w:val="24"/>
          <w:vertAlign w:val="superscript"/>
        </w:rPr>
        <w:t>th</w:t>
      </w:r>
      <w:r w:rsidRPr="002F727C">
        <w:rPr>
          <w:rFonts w:ascii="Times New Roman" w:hAnsi="Times New Roman" w:cs="Times New Roman"/>
          <w:sz w:val="24"/>
          <w:szCs w:val="24"/>
        </w:rPr>
        <w:t xml:space="preserve"> edition was published in 1983.</w:t>
      </w:r>
    </w:p>
  </w:footnote>
  <w:footnote w:id="21">
    <w:p w:rsidR="00675977" w:rsidRPr="00BF7C6E" w:rsidRDefault="00675977" w:rsidP="00675977">
      <w:pPr>
        <w:pStyle w:val="FootnoteText"/>
        <w:rPr>
          <w:rFonts w:ascii="Times New Roman" w:hAnsi="Times New Roman" w:cs="Times New Roman"/>
          <w:sz w:val="24"/>
          <w:szCs w:val="24"/>
        </w:rPr>
      </w:pPr>
      <w:r w:rsidRPr="00BF7C6E">
        <w:rPr>
          <w:rStyle w:val="FootnoteReference"/>
          <w:rFonts w:ascii="Times New Roman" w:hAnsi="Times New Roman" w:cs="Times New Roman"/>
          <w:sz w:val="24"/>
          <w:szCs w:val="24"/>
        </w:rPr>
        <w:footnoteRef/>
      </w:r>
      <w:r w:rsidRPr="00BF7C6E">
        <w:rPr>
          <w:rFonts w:ascii="Times New Roman" w:hAnsi="Times New Roman" w:cs="Times New Roman"/>
          <w:sz w:val="24"/>
          <w:szCs w:val="24"/>
        </w:rPr>
        <w:t xml:space="preserve"> Of course there is a</w:t>
      </w:r>
      <w:r w:rsidR="00D65175">
        <w:rPr>
          <w:rFonts w:ascii="Times New Roman" w:hAnsi="Times New Roman" w:cs="Times New Roman"/>
          <w:sz w:val="24"/>
          <w:szCs w:val="24"/>
        </w:rPr>
        <w:t xml:space="preserve"> countervailing</w:t>
      </w:r>
      <w:r w:rsidRPr="00BF7C6E">
        <w:rPr>
          <w:rFonts w:ascii="Times New Roman" w:hAnsi="Times New Roman" w:cs="Times New Roman"/>
          <w:sz w:val="24"/>
          <w:szCs w:val="24"/>
        </w:rPr>
        <w:t xml:space="preserve"> canon -- remedial statutes should be given a liberal construction when they are ambiguous. </w:t>
      </w:r>
      <w:hyperlink r:id="rId23" w:history="1">
        <w:r w:rsidRPr="00BF7C6E">
          <w:rPr>
            <w:rStyle w:val="Hyperlink"/>
            <w:rFonts w:ascii="Times New Roman" w:hAnsi="Times New Roman" w:cs="Times New Roman"/>
            <w:i/>
            <w:iCs/>
            <w:color w:val="1A0DAB"/>
            <w:sz w:val="24"/>
            <w:szCs w:val="24"/>
            <w:shd w:val="clear" w:color="auto" w:fill="FFFFFF"/>
          </w:rPr>
          <w:t>S.M. Hentges &amp; Sons, Inc. v. Mensing,</w:t>
        </w:r>
        <w:r w:rsidRPr="00BF7C6E">
          <w:rPr>
            <w:rStyle w:val="Hyperlink"/>
            <w:rFonts w:ascii="Times New Roman" w:hAnsi="Times New Roman" w:cs="Times New Roman"/>
            <w:color w:val="1A0DAB"/>
            <w:sz w:val="24"/>
            <w:szCs w:val="24"/>
            <w:shd w:val="clear" w:color="auto" w:fill="FFFFFF"/>
          </w:rPr>
          <w:t> 777 N.W.2d 228,232 (Minn. 2010)</w:t>
        </w:r>
      </w:hyperlink>
      <w:r w:rsidRPr="00BF7C6E">
        <w:rPr>
          <w:rFonts w:ascii="Times New Roman" w:hAnsi="Times New Roman" w:cs="Times New Roman"/>
          <w:sz w:val="24"/>
          <w:szCs w:val="24"/>
        </w:rPr>
        <w:t xml:space="preserve"> .</w:t>
      </w:r>
    </w:p>
    <w:p w:rsidR="00675977" w:rsidRDefault="00675977" w:rsidP="00675977">
      <w:pPr>
        <w:pStyle w:val="FootnoteText"/>
      </w:pPr>
    </w:p>
  </w:footnote>
  <w:footnote w:id="22">
    <w:p w:rsidR="009A4744" w:rsidRPr="0066503D" w:rsidRDefault="009A4744">
      <w:pPr>
        <w:pStyle w:val="FootnoteText"/>
        <w:rPr>
          <w:rFonts w:ascii="Times New Roman" w:hAnsi="Times New Roman" w:cs="Times New Roman"/>
          <w:sz w:val="24"/>
          <w:szCs w:val="24"/>
        </w:rPr>
      </w:pPr>
      <w:r w:rsidRPr="0066503D">
        <w:rPr>
          <w:rStyle w:val="FootnoteReference"/>
          <w:rFonts w:ascii="Times New Roman" w:hAnsi="Times New Roman" w:cs="Times New Roman"/>
          <w:sz w:val="24"/>
          <w:szCs w:val="24"/>
        </w:rPr>
        <w:footnoteRef/>
      </w:r>
      <w:r w:rsidRPr="0066503D">
        <w:rPr>
          <w:rFonts w:ascii="Times New Roman" w:hAnsi="Times New Roman" w:cs="Times New Roman"/>
          <w:sz w:val="24"/>
          <w:szCs w:val="24"/>
        </w:rPr>
        <w:t xml:space="preserve"> Recodifications changed </w:t>
      </w:r>
      <w:r w:rsidR="0066503D" w:rsidRPr="0066503D">
        <w:rPr>
          <w:rFonts w:ascii="Times New Roman" w:hAnsi="Times New Roman" w:cs="Times New Roman"/>
          <w:sz w:val="24"/>
          <w:szCs w:val="24"/>
        </w:rPr>
        <w:t xml:space="preserve">Minn. Stat. § </w:t>
      </w:r>
      <w:r w:rsidRPr="0066503D">
        <w:rPr>
          <w:rFonts w:ascii="Times New Roman" w:hAnsi="Times New Roman" w:cs="Times New Roman"/>
          <w:sz w:val="24"/>
          <w:szCs w:val="24"/>
        </w:rPr>
        <w:t xml:space="preserve">504.20 </w:t>
      </w:r>
      <w:r w:rsidR="008C51B8">
        <w:rPr>
          <w:rFonts w:ascii="Times New Roman" w:hAnsi="Times New Roman" w:cs="Times New Roman"/>
          <w:sz w:val="24"/>
          <w:szCs w:val="24"/>
        </w:rPr>
        <w:t>(1973)</w:t>
      </w:r>
      <w:r w:rsidR="008C51B8" w:rsidRPr="0066503D">
        <w:rPr>
          <w:rFonts w:ascii="Times New Roman" w:hAnsi="Times New Roman" w:cs="Times New Roman"/>
          <w:sz w:val="24"/>
          <w:szCs w:val="24"/>
        </w:rPr>
        <w:t xml:space="preserve"> </w:t>
      </w:r>
      <w:r w:rsidRPr="0066503D">
        <w:rPr>
          <w:rFonts w:ascii="Times New Roman" w:hAnsi="Times New Roman" w:cs="Times New Roman"/>
          <w:sz w:val="24"/>
          <w:szCs w:val="24"/>
        </w:rPr>
        <w:t xml:space="preserve">into </w:t>
      </w:r>
      <w:r w:rsidR="0066503D" w:rsidRPr="0066503D">
        <w:rPr>
          <w:rFonts w:ascii="Times New Roman" w:hAnsi="Times New Roman" w:cs="Times New Roman"/>
          <w:sz w:val="24"/>
          <w:szCs w:val="24"/>
        </w:rPr>
        <w:t xml:space="preserve">Minn. Stat. § </w:t>
      </w:r>
      <w:r w:rsidRPr="0066503D">
        <w:rPr>
          <w:rFonts w:ascii="Times New Roman" w:hAnsi="Times New Roman" w:cs="Times New Roman"/>
          <w:sz w:val="24"/>
          <w:szCs w:val="24"/>
        </w:rPr>
        <w:t>504B.178</w:t>
      </w:r>
      <w:r w:rsidR="008C51B8">
        <w:rPr>
          <w:rFonts w:ascii="Times New Roman" w:hAnsi="Times New Roman" w:cs="Times New Roman"/>
          <w:sz w:val="24"/>
          <w:szCs w:val="24"/>
        </w:rPr>
        <w:t xml:space="preserve"> (2020)</w:t>
      </w:r>
      <w:r w:rsidRPr="0066503D">
        <w:rPr>
          <w:rFonts w:ascii="Times New Roman" w:hAnsi="Times New Roman" w:cs="Times New Roman"/>
          <w:sz w:val="24"/>
          <w:szCs w:val="24"/>
        </w:rPr>
        <w:t xml:space="preserve"> and</w:t>
      </w:r>
      <w:r w:rsidR="008C51B8">
        <w:rPr>
          <w:rFonts w:ascii="Times New Roman" w:hAnsi="Times New Roman" w:cs="Times New Roman"/>
          <w:sz w:val="24"/>
          <w:szCs w:val="24"/>
        </w:rPr>
        <w:t xml:space="preserve"> </w:t>
      </w:r>
      <w:r w:rsidR="008C51B8" w:rsidRPr="0066503D">
        <w:rPr>
          <w:rFonts w:ascii="Times New Roman" w:hAnsi="Times New Roman" w:cs="Times New Roman"/>
          <w:sz w:val="24"/>
          <w:szCs w:val="24"/>
        </w:rPr>
        <w:t xml:space="preserve">Minn. Stat. § </w:t>
      </w:r>
      <w:r w:rsidR="008C51B8">
        <w:rPr>
          <w:rFonts w:ascii="Times New Roman" w:hAnsi="Times New Roman" w:cs="Times New Roman"/>
          <w:sz w:val="24"/>
          <w:szCs w:val="24"/>
        </w:rPr>
        <w:t>82.17, subd. 7 (1973)</w:t>
      </w:r>
      <w:r w:rsidR="008C51B8" w:rsidRPr="0066503D">
        <w:rPr>
          <w:rFonts w:ascii="Times New Roman" w:hAnsi="Times New Roman" w:cs="Times New Roman"/>
          <w:sz w:val="24"/>
          <w:szCs w:val="24"/>
        </w:rPr>
        <w:t xml:space="preserve"> into Minn. Stat. § </w:t>
      </w:r>
      <w:r w:rsidR="008C51B8">
        <w:rPr>
          <w:rFonts w:ascii="Times New Roman" w:hAnsi="Times New Roman" w:cs="Times New Roman"/>
          <w:sz w:val="24"/>
          <w:szCs w:val="24"/>
        </w:rPr>
        <w:t>82.55, subd. 26 (2020).</w:t>
      </w:r>
    </w:p>
  </w:footnote>
  <w:footnote w:id="23">
    <w:p w:rsidR="0045615A" w:rsidRPr="00A831AF" w:rsidRDefault="0045615A" w:rsidP="0045615A">
      <w:pPr>
        <w:pStyle w:val="FootnoteText"/>
        <w:rPr>
          <w:rFonts w:ascii="Times New Roman" w:hAnsi="Times New Roman" w:cs="Times New Roman"/>
          <w:sz w:val="24"/>
          <w:szCs w:val="24"/>
        </w:rPr>
      </w:pPr>
      <w:r w:rsidRPr="00A831AF">
        <w:rPr>
          <w:rStyle w:val="FootnoteReference"/>
          <w:rFonts w:ascii="Times New Roman" w:hAnsi="Times New Roman" w:cs="Times New Roman"/>
          <w:sz w:val="24"/>
          <w:szCs w:val="24"/>
        </w:rPr>
        <w:footnoteRef/>
      </w:r>
      <w:r w:rsidRPr="00A831AF">
        <w:rPr>
          <w:rFonts w:ascii="Times New Roman" w:hAnsi="Times New Roman" w:cs="Times New Roman"/>
          <w:sz w:val="24"/>
          <w:szCs w:val="24"/>
        </w:rPr>
        <w:t xml:space="preserve"> The “</w:t>
      </w:r>
      <w:r>
        <w:rPr>
          <w:rFonts w:ascii="Times New Roman" w:hAnsi="Times New Roman" w:cs="Times New Roman"/>
          <w:sz w:val="24"/>
          <w:szCs w:val="24"/>
        </w:rPr>
        <w:t>Tentative D</w:t>
      </w:r>
      <w:r w:rsidRPr="00A831AF">
        <w:rPr>
          <w:rFonts w:ascii="Times New Roman" w:hAnsi="Times New Roman" w:cs="Times New Roman"/>
          <w:sz w:val="24"/>
          <w:szCs w:val="24"/>
        </w:rPr>
        <w:t xml:space="preserve">raft” part of the title refers to the authors’ intent that it be viewed as a “basis for discussion and not as a proposal ready for adoption”. </w:t>
      </w:r>
      <w:r w:rsidRPr="0045615A">
        <w:rPr>
          <w:rFonts w:ascii="Times New Roman" w:hAnsi="Times New Roman" w:cs="Times New Roman"/>
          <w:i/>
          <w:sz w:val="24"/>
          <w:szCs w:val="24"/>
        </w:rPr>
        <w:t>Id</w:t>
      </w:r>
      <w:r w:rsidRPr="00A831AF">
        <w:rPr>
          <w:rFonts w:ascii="Times New Roman" w:hAnsi="Times New Roman" w:cs="Times New Roman"/>
          <w:sz w:val="24"/>
          <w:szCs w:val="24"/>
        </w:rPr>
        <w:t>. at 1. There was no second draft.</w:t>
      </w:r>
    </w:p>
    <w:p w:rsidR="0045615A" w:rsidRPr="00A831AF" w:rsidRDefault="0045615A" w:rsidP="0045615A">
      <w:pPr>
        <w:pStyle w:val="FootnoteText"/>
        <w:rPr>
          <w:rFonts w:ascii="Times New Roman" w:hAnsi="Times New Roman" w:cs="Times New Roman"/>
          <w:sz w:val="24"/>
          <w:szCs w:val="24"/>
        </w:rPr>
      </w:pPr>
    </w:p>
  </w:footnote>
  <w:footnote w:id="24">
    <w:p w:rsidR="00EF10BE" w:rsidRDefault="00EF10BE">
      <w:pPr>
        <w:pStyle w:val="FootnoteText"/>
        <w:rPr>
          <w:rFonts w:ascii="Times New Roman" w:hAnsi="Times New Roman" w:cs="Times New Roman"/>
          <w:sz w:val="24"/>
          <w:szCs w:val="24"/>
          <w:shd w:val="clear" w:color="auto" w:fill="FFFFFF"/>
        </w:rPr>
      </w:pPr>
      <w:r w:rsidRPr="00EF10BE">
        <w:rPr>
          <w:rStyle w:val="FootnoteReference"/>
          <w:rFonts w:ascii="Times New Roman" w:hAnsi="Times New Roman" w:cs="Times New Roman"/>
          <w:sz w:val="24"/>
          <w:szCs w:val="24"/>
        </w:rPr>
        <w:footnoteRef/>
      </w:r>
      <w:r w:rsidRPr="00EF10BE">
        <w:rPr>
          <w:rFonts w:ascii="Times New Roman" w:hAnsi="Times New Roman" w:cs="Times New Roman"/>
          <w:sz w:val="24"/>
          <w:szCs w:val="24"/>
        </w:rPr>
        <w:t xml:space="preserve"> </w:t>
      </w:r>
      <w:r w:rsidR="00B168F9">
        <w:rPr>
          <w:rFonts w:ascii="Times New Roman" w:hAnsi="Times New Roman" w:cs="Times New Roman"/>
          <w:sz w:val="24"/>
          <w:szCs w:val="24"/>
          <w:shd w:val="clear" w:color="auto" w:fill="FFFFFF"/>
        </w:rPr>
        <w:t>The entire Model Code</w:t>
      </w:r>
      <w:r w:rsidRPr="00EF10BE">
        <w:rPr>
          <w:rFonts w:ascii="Times New Roman" w:hAnsi="Times New Roman" w:cs="Times New Roman"/>
          <w:sz w:val="24"/>
          <w:szCs w:val="24"/>
          <w:shd w:val="clear" w:color="auto" w:fill="FFFFFF"/>
        </w:rPr>
        <w:t xml:space="preserve"> is available at some law libraries but it is copyrighted so I hesitate to reprint all of it. I do have a copy in my home.</w:t>
      </w:r>
    </w:p>
    <w:p w:rsidR="00CD3D21" w:rsidRPr="00EF10BE" w:rsidRDefault="00CD3D21">
      <w:pPr>
        <w:pStyle w:val="FootnoteText"/>
        <w:rPr>
          <w:rFonts w:ascii="Times New Roman" w:hAnsi="Times New Roman" w:cs="Times New Roman"/>
          <w:sz w:val="24"/>
          <w:szCs w:val="24"/>
        </w:rPr>
      </w:pPr>
    </w:p>
  </w:footnote>
  <w:footnote w:id="25">
    <w:p w:rsidR="00A831AF" w:rsidRDefault="00A831AF">
      <w:pPr>
        <w:pStyle w:val="FootnoteText"/>
        <w:rPr>
          <w:rFonts w:ascii="Times New Roman" w:hAnsi="Times New Roman" w:cs="Times New Roman"/>
          <w:color w:val="FF0000"/>
          <w:sz w:val="24"/>
          <w:szCs w:val="24"/>
        </w:rPr>
      </w:pPr>
      <w:r w:rsidRPr="00A831AF">
        <w:rPr>
          <w:rStyle w:val="FootnoteReference"/>
          <w:rFonts w:ascii="Times New Roman" w:hAnsi="Times New Roman" w:cs="Times New Roman"/>
          <w:sz w:val="24"/>
          <w:szCs w:val="24"/>
        </w:rPr>
        <w:footnoteRef/>
      </w:r>
      <w:r w:rsidRPr="00A831AF">
        <w:rPr>
          <w:rFonts w:ascii="Times New Roman" w:hAnsi="Times New Roman" w:cs="Times New Roman"/>
          <w:sz w:val="24"/>
          <w:szCs w:val="24"/>
        </w:rPr>
        <w:t xml:space="preserve"> A more widely adopted uniform law, the Uniform Residential Landlord Tenant Act</w:t>
      </w:r>
      <w:r w:rsidR="00ED2940">
        <w:rPr>
          <w:rFonts w:ascii="Times New Roman" w:hAnsi="Times New Roman" w:cs="Times New Roman"/>
          <w:sz w:val="24"/>
          <w:szCs w:val="24"/>
        </w:rPr>
        <w:t xml:space="preserve"> (“URLTA”)</w:t>
      </w:r>
      <w:r w:rsidRPr="00A831AF">
        <w:rPr>
          <w:rFonts w:ascii="Times New Roman" w:hAnsi="Times New Roman" w:cs="Times New Roman"/>
          <w:sz w:val="24"/>
          <w:szCs w:val="24"/>
        </w:rPr>
        <w:t xml:space="preserve">, was not a model for </w:t>
      </w:r>
      <w:r w:rsidR="00270CED">
        <w:rPr>
          <w:rFonts w:ascii="Times New Roman" w:hAnsi="Times New Roman" w:cs="Times New Roman"/>
          <w:sz w:val="24"/>
          <w:szCs w:val="24"/>
        </w:rPr>
        <w:t>the Minnesota law. T</w:t>
      </w:r>
      <w:r w:rsidRPr="00A831AF">
        <w:rPr>
          <w:rFonts w:ascii="Times New Roman" w:hAnsi="Times New Roman" w:cs="Times New Roman"/>
          <w:sz w:val="24"/>
          <w:szCs w:val="24"/>
        </w:rPr>
        <w:t xml:space="preserve">he </w:t>
      </w:r>
      <w:hyperlink r:id="rId24" w:anchor="%C2%A7%C2%A02.101.%20[Security%20Deposits;%20Prepaid%20Rent]" w:history="1">
        <w:r w:rsidRPr="00A831AF">
          <w:rPr>
            <w:rStyle w:val="Hyperlink"/>
            <w:rFonts w:ascii="Times New Roman" w:hAnsi="Times New Roman" w:cs="Times New Roman"/>
            <w:sz w:val="24"/>
            <w:szCs w:val="24"/>
          </w:rPr>
          <w:t xml:space="preserve">security-deposit </w:t>
        </w:r>
        <w:r w:rsidR="00270CED">
          <w:rPr>
            <w:rStyle w:val="Hyperlink"/>
            <w:rFonts w:ascii="Times New Roman" w:hAnsi="Times New Roman" w:cs="Times New Roman"/>
            <w:sz w:val="24"/>
            <w:szCs w:val="24"/>
          </w:rPr>
          <w:t>provision</w:t>
        </w:r>
        <w:r w:rsidRPr="00A831AF">
          <w:rPr>
            <w:rStyle w:val="Hyperlink"/>
            <w:rFonts w:ascii="Times New Roman" w:hAnsi="Times New Roman" w:cs="Times New Roman"/>
            <w:sz w:val="24"/>
            <w:szCs w:val="24"/>
          </w:rPr>
          <w:t xml:space="preserve"> of the URLTA</w:t>
        </w:r>
      </w:hyperlink>
      <w:r w:rsidRPr="00A831AF">
        <w:rPr>
          <w:rFonts w:ascii="Times New Roman" w:hAnsi="Times New Roman" w:cs="Times New Roman"/>
          <w:color w:val="FF0000"/>
          <w:sz w:val="24"/>
          <w:szCs w:val="24"/>
        </w:rPr>
        <w:t xml:space="preserve"> </w:t>
      </w:r>
      <w:r w:rsidR="00270CED" w:rsidRPr="00270CED">
        <w:rPr>
          <w:rFonts w:ascii="Times New Roman" w:hAnsi="Times New Roman" w:cs="Times New Roman"/>
          <w:sz w:val="24"/>
          <w:szCs w:val="24"/>
        </w:rPr>
        <w:t xml:space="preserve">and </w:t>
      </w:r>
      <w:r w:rsidR="00270CED">
        <w:rPr>
          <w:rFonts w:ascii="Times New Roman" w:hAnsi="Times New Roman" w:cs="Times New Roman"/>
          <w:sz w:val="24"/>
          <w:szCs w:val="24"/>
        </w:rPr>
        <w:t>the Minnesota law are v</w:t>
      </w:r>
      <w:r w:rsidR="00270CED" w:rsidRPr="00A831AF">
        <w:rPr>
          <w:rFonts w:ascii="Times New Roman" w:hAnsi="Times New Roman" w:cs="Times New Roman"/>
          <w:sz w:val="24"/>
          <w:szCs w:val="24"/>
        </w:rPr>
        <w:t>ery different</w:t>
      </w:r>
      <w:r w:rsidR="00270CED">
        <w:rPr>
          <w:rFonts w:ascii="Times New Roman" w:hAnsi="Times New Roman" w:cs="Times New Roman"/>
          <w:sz w:val="24"/>
          <w:szCs w:val="24"/>
        </w:rPr>
        <w:t>.</w:t>
      </w:r>
    </w:p>
    <w:p w:rsidR="000E478B" w:rsidRPr="00A831AF" w:rsidRDefault="000E478B">
      <w:pPr>
        <w:pStyle w:val="FootnoteText"/>
      </w:pPr>
    </w:p>
  </w:footnote>
  <w:footnote w:id="26">
    <w:p w:rsidR="00466517" w:rsidRPr="00466517" w:rsidRDefault="00466517">
      <w:pPr>
        <w:pStyle w:val="FootnoteText"/>
        <w:rPr>
          <w:rFonts w:ascii="Times New Roman" w:hAnsi="Times New Roman" w:cs="Times New Roman"/>
          <w:sz w:val="24"/>
          <w:szCs w:val="24"/>
          <w:u w:val="single"/>
        </w:rPr>
      </w:pPr>
      <w:r w:rsidRPr="00466517">
        <w:rPr>
          <w:rStyle w:val="FootnoteReference"/>
          <w:rFonts w:ascii="Times New Roman" w:hAnsi="Times New Roman" w:cs="Times New Roman"/>
          <w:sz w:val="24"/>
          <w:szCs w:val="24"/>
        </w:rPr>
        <w:footnoteRef/>
      </w:r>
      <w:r w:rsidRPr="00466517">
        <w:rPr>
          <w:rFonts w:ascii="Times New Roman" w:hAnsi="Times New Roman" w:cs="Times New Roman"/>
          <w:sz w:val="24"/>
          <w:szCs w:val="24"/>
        </w:rPr>
        <w:t xml:space="preserve"> The Model Code did not use the word “residential” </w:t>
      </w:r>
      <w:r w:rsidR="00ED2940">
        <w:rPr>
          <w:rFonts w:ascii="Times New Roman" w:hAnsi="Times New Roman" w:cs="Times New Roman"/>
          <w:sz w:val="24"/>
          <w:szCs w:val="24"/>
        </w:rPr>
        <w:t xml:space="preserve">in section 4-201(1) </w:t>
      </w:r>
      <w:r w:rsidRPr="00466517">
        <w:rPr>
          <w:rFonts w:ascii="Times New Roman" w:hAnsi="Times New Roman" w:cs="Times New Roman"/>
          <w:sz w:val="24"/>
          <w:szCs w:val="24"/>
        </w:rPr>
        <w:t>because its definition of “rental agreement” in section 1-207 was limited to leasing dwelling units. For ease of reading, I’ve inserted “residential” above.</w:t>
      </w:r>
    </w:p>
  </w:footnote>
  <w:footnote w:id="27">
    <w:p w:rsidR="00B14372" w:rsidRPr="00B14372" w:rsidRDefault="00B14372">
      <w:pPr>
        <w:pStyle w:val="FootnoteText"/>
        <w:rPr>
          <w:rFonts w:ascii="Times New Roman" w:hAnsi="Times New Roman" w:cs="Times New Roman"/>
          <w:sz w:val="24"/>
          <w:szCs w:val="24"/>
        </w:rPr>
      </w:pPr>
      <w:r w:rsidRPr="00B14372">
        <w:rPr>
          <w:rStyle w:val="FootnoteReference"/>
          <w:rFonts w:ascii="Times New Roman" w:hAnsi="Times New Roman" w:cs="Times New Roman"/>
          <w:sz w:val="24"/>
          <w:szCs w:val="24"/>
        </w:rPr>
        <w:footnoteRef/>
      </w:r>
      <w:r w:rsidRPr="00B14372">
        <w:rPr>
          <w:rFonts w:ascii="Times New Roman" w:hAnsi="Times New Roman" w:cs="Times New Roman"/>
          <w:sz w:val="24"/>
          <w:szCs w:val="24"/>
        </w:rPr>
        <w:t xml:space="preserve"> One of the two main authors of the Model Code</w:t>
      </w:r>
      <w:r w:rsidR="000E478B">
        <w:rPr>
          <w:rFonts w:ascii="Times New Roman" w:hAnsi="Times New Roman" w:cs="Times New Roman"/>
          <w:sz w:val="24"/>
          <w:szCs w:val="24"/>
        </w:rPr>
        <w:t xml:space="preserve"> (Julian Levi)</w:t>
      </w:r>
      <w:r w:rsidRPr="00B14372">
        <w:rPr>
          <w:rFonts w:ascii="Times New Roman" w:hAnsi="Times New Roman" w:cs="Times New Roman"/>
          <w:sz w:val="24"/>
          <w:szCs w:val="24"/>
        </w:rPr>
        <w:t xml:space="preserve"> is dead but</w:t>
      </w:r>
      <w:r w:rsidR="000E478B">
        <w:rPr>
          <w:rFonts w:ascii="Times New Roman" w:hAnsi="Times New Roman" w:cs="Times New Roman"/>
          <w:sz w:val="24"/>
          <w:szCs w:val="24"/>
        </w:rPr>
        <w:t xml:space="preserve"> recently</w:t>
      </w:r>
      <w:r w:rsidRPr="00B14372">
        <w:rPr>
          <w:rFonts w:ascii="Times New Roman" w:hAnsi="Times New Roman" w:cs="Times New Roman"/>
          <w:sz w:val="24"/>
          <w:szCs w:val="24"/>
        </w:rPr>
        <w:t xml:space="preserve"> I had a chance to speak to the other main author, Philip Hablutzel. He pointed out the import of sections 1-104 and 1-207 to me. He recalled testifying about the Model Code to the California legislature but does not recall discussing the bonds-as-deposits issue</w:t>
      </w:r>
      <w:r w:rsidR="009267D2">
        <w:rPr>
          <w:rFonts w:ascii="Times New Roman" w:hAnsi="Times New Roman" w:cs="Times New Roman"/>
          <w:sz w:val="24"/>
          <w:szCs w:val="24"/>
        </w:rPr>
        <w:t xml:space="preserve"> there or otherwise (until I </w:t>
      </w:r>
      <w:r w:rsidR="000E478B">
        <w:rPr>
          <w:rFonts w:ascii="Times New Roman" w:hAnsi="Times New Roman" w:cs="Times New Roman"/>
          <w:sz w:val="24"/>
          <w:szCs w:val="24"/>
        </w:rPr>
        <w:t>telephoned</w:t>
      </w:r>
      <w:r w:rsidR="009267D2">
        <w:rPr>
          <w:rFonts w:ascii="Times New Roman" w:hAnsi="Times New Roman" w:cs="Times New Roman"/>
          <w:sz w:val="24"/>
          <w:szCs w:val="24"/>
        </w:rPr>
        <w:t xml:space="preserve"> him).</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0232C4"/>
    <w:multiLevelType w:val="hybridMultilevel"/>
    <w:tmpl w:val="ADDC4308"/>
    <w:lvl w:ilvl="0" w:tplc="F3D6FE38">
      <w:start w:val="1"/>
      <w:numFmt w:val="bullet"/>
      <w:lvlText w:val="•"/>
      <w:lvlJc w:val="left"/>
      <w:pPr>
        <w:tabs>
          <w:tab w:val="num" w:pos="720"/>
        </w:tabs>
        <w:ind w:left="720" w:hanging="360"/>
      </w:pPr>
      <w:rPr>
        <w:rFonts w:ascii="Arial" w:hAnsi="Arial" w:hint="default"/>
      </w:rPr>
    </w:lvl>
    <w:lvl w:ilvl="1" w:tplc="485A09BA">
      <w:start w:val="1"/>
      <w:numFmt w:val="bullet"/>
      <w:lvlText w:val="•"/>
      <w:lvlJc w:val="left"/>
      <w:pPr>
        <w:tabs>
          <w:tab w:val="num" w:pos="1440"/>
        </w:tabs>
        <w:ind w:left="1440" w:hanging="360"/>
      </w:pPr>
      <w:rPr>
        <w:rFonts w:ascii="Arial" w:hAnsi="Arial" w:hint="default"/>
      </w:rPr>
    </w:lvl>
    <w:lvl w:ilvl="2" w:tplc="998E441E" w:tentative="1">
      <w:start w:val="1"/>
      <w:numFmt w:val="bullet"/>
      <w:lvlText w:val="•"/>
      <w:lvlJc w:val="left"/>
      <w:pPr>
        <w:tabs>
          <w:tab w:val="num" w:pos="2160"/>
        </w:tabs>
        <w:ind w:left="2160" w:hanging="360"/>
      </w:pPr>
      <w:rPr>
        <w:rFonts w:ascii="Arial" w:hAnsi="Arial" w:hint="default"/>
      </w:rPr>
    </w:lvl>
    <w:lvl w:ilvl="3" w:tplc="BC942B66" w:tentative="1">
      <w:start w:val="1"/>
      <w:numFmt w:val="bullet"/>
      <w:lvlText w:val="•"/>
      <w:lvlJc w:val="left"/>
      <w:pPr>
        <w:tabs>
          <w:tab w:val="num" w:pos="2880"/>
        </w:tabs>
        <w:ind w:left="2880" w:hanging="360"/>
      </w:pPr>
      <w:rPr>
        <w:rFonts w:ascii="Arial" w:hAnsi="Arial" w:hint="default"/>
      </w:rPr>
    </w:lvl>
    <w:lvl w:ilvl="4" w:tplc="6BB8C8F0" w:tentative="1">
      <w:start w:val="1"/>
      <w:numFmt w:val="bullet"/>
      <w:lvlText w:val="•"/>
      <w:lvlJc w:val="left"/>
      <w:pPr>
        <w:tabs>
          <w:tab w:val="num" w:pos="3600"/>
        </w:tabs>
        <w:ind w:left="3600" w:hanging="360"/>
      </w:pPr>
      <w:rPr>
        <w:rFonts w:ascii="Arial" w:hAnsi="Arial" w:hint="default"/>
      </w:rPr>
    </w:lvl>
    <w:lvl w:ilvl="5" w:tplc="13C0E8F2" w:tentative="1">
      <w:start w:val="1"/>
      <w:numFmt w:val="bullet"/>
      <w:lvlText w:val="•"/>
      <w:lvlJc w:val="left"/>
      <w:pPr>
        <w:tabs>
          <w:tab w:val="num" w:pos="4320"/>
        </w:tabs>
        <w:ind w:left="4320" w:hanging="360"/>
      </w:pPr>
      <w:rPr>
        <w:rFonts w:ascii="Arial" w:hAnsi="Arial" w:hint="default"/>
      </w:rPr>
    </w:lvl>
    <w:lvl w:ilvl="6" w:tplc="367C79C0" w:tentative="1">
      <w:start w:val="1"/>
      <w:numFmt w:val="bullet"/>
      <w:lvlText w:val="•"/>
      <w:lvlJc w:val="left"/>
      <w:pPr>
        <w:tabs>
          <w:tab w:val="num" w:pos="5040"/>
        </w:tabs>
        <w:ind w:left="5040" w:hanging="360"/>
      </w:pPr>
      <w:rPr>
        <w:rFonts w:ascii="Arial" w:hAnsi="Arial" w:hint="default"/>
      </w:rPr>
    </w:lvl>
    <w:lvl w:ilvl="7" w:tplc="4EF6A370" w:tentative="1">
      <w:start w:val="1"/>
      <w:numFmt w:val="bullet"/>
      <w:lvlText w:val="•"/>
      <w:lvlJc w:val="left"/>
      <w:pPr>
        <w:tabs>
          <w:tab w:val="num" w:pos="5760"/>
        </w:tabs>
        <w:ind w:left="5760" w:hanging="360"/>
      </w:pPr>
      <w:rPr>
        <w:rFonts w:ascii="Arial" w:hAnsi="Arial" w:hint="default"/>
      </w:rPr>
    </w:lvl>
    <w:lvl w:ilvl="8" w:tplc="B016A9D2"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4394"/>
    <w:rsid w:val="000059B0"/>
    <w:rsid w:val="00017464"/>
    <w:rsid w:val="00024C4D"/>
    <w:rsid w:val="000313E9"/>
    <w:rsid w:val="0004092B"/>
    <w:rsid w:val="00042BBC"/>
    <w:rsid w:val="00044330"/>
    <w:rsid w:val="000533FA"/>
    <w:rsid w:val="00053E1C"/>
    <w:rsid w:val="00064404"/>
    <w:rsid w:val="00066991"/>
    <w:rsid w:val="000703F6"/>
    <w:rsid w:val="0007685A"/>
    <w:rsid w:val="00082A7D"/>
    <w:rsid w:val="00083D1D"/>
    <w:rsid w:val="0009398B"/>
    <w:rsid w:val="000A0AED"/>
    <w:rsid w:val="000C78DC"/>
    <w:rsid w:val="000D45F4"/>
    <w:rsid w:val="000E478B"/>
    <w:rsid w:val="000E4903"/>
    <w:rsid w:val="000E6DE7"/>
    <w:rsid w:val="000F1FA7"/>
    <w:rsid w:val="000F1FE9"/>
    <w:rsid w:val="000F4E42"/>
    <w:rsid w:val="001048C8"/>
    <w:rsid w:val="0010600E"/>
    <w:rsid w:val="00107D9E"/>
    <w:rsid w:val="00107FDF"/>
    <w:rsid w:val="00112DEF"/>
    <w:rsid w:val="00134D15"/>
    <w:rsid w:val="00144EFD"/>
    <w:rsid w:val="001619DD"/>
    <w:rsid w:val="001621BA"/>
    <w:rsid w:val="00166C06"/>
    <w:rsid w:val="001802E8"/>
    <w:rsid w:val="001812F0"/>
    <w:rsid w:val="00193F7F"/>
    <w:rsid w:val="00196840"/>
    <w:rsid w:val="001A1E40"/>
    <w:rsid w:val="001A1F61"/>
    <w:rsid w:val="001B2BDD"/>
    <w:rsid w:val="001E0AC5"/>
    <w:rsid w:val="002024D7"/>
    <w:rsid w:val="00210DC3"/>
    <w:rsid w:val="002144D5"/>
    <w:rsid w:val="00234855"/>
    <w:rsid w:val="00234AFB"/>
    <w:rsid w:val="00262B0C"/>
    <w:rsid w:val="00263FF0"/>
    <w:rsid w:val="00270CED"/>
    <w:rsid w:val="00294D63"/>
    <w:rsid w:val="002956F2"/>
    <w:rsid w:val="00295F8D"/>
    <w:rsid w:val="002A1EB0"/>
    <w:rsid w:val="002B7F13"/>
    <w:rsid w:val="002C42B4"/>
    <w:rsid w:val="002C5DCA"/>
    <w:rsid w:val="002F2130"/>
    <w:rsid w:val="002F727C"/>
    <w:rsid w:val="00307902"/>
    <w:rsid w:val="00307A4D"/>
    <w:rsid w:val="00325D13"/>
    <w:rsid w:val="00327EBD"/>
    <w:rsid w:val="00330A9A"/>
    <w:rsid w:val="003361E8"/>
    <w:rsid w:val="0034648B"/>
    <w:rsid w:val="00371872"/>
    <w:rsid w:val="00372BEF"/>
    <w:rsid w:val="00382C9C"/>
    <w:rsid w:val="00397257"/>
    <w:rsid w:val="003A2BF1"/>
    <w:rsid w:val="003B6709"/>
    <w:rsid w:val="003B6AFB"/>
    <w:rsid w:val="003C08C7"/>
    <w:rsid w:val="003C2B87"/>
    <w:rsid w:val="003C6056"/>
    <w:rsid w:val="003C77C2"/>
    <w:rsid w:val="003D0469"/>
    <w:rsid w:val="003D4964"/>
    <w:rsid w:val="003E02F0"/>
    <w:rsid w:val="003E12EB"/>
    <w:rsid w:val="003F165B"/>
    <w:rsid w:val="00410A49"/>
    <w:rsid w:val="004122BC"/>
    <w:rsid w:val="004272BB"/>
    <w:rsid w:val="00433BBE"/>
    <w:rsid w:val="0044236E"/>
    <w:rsid w:val="0045615A"/>
    <w:rsid w:val="00466517"/>
    <w:rsid w:val="00475F20"/>
    <w:rsid w:val="00487C5D"/>
    <w:rsid w:val="004A3ED3"/>
    <w:rsid w:val="004C69E6"/>
    <w:rsid w:val="004C7AE6"/>
    <w:rsid w:val="004E33D2"/>
    <w:rsid w:val="0050612D"/>
    <w:rsid w:val="00506260"/>
    <w:rsid w:val="00553F70"/>
    <w:rsid w:val="00570249"/>
    <w:rsid w:val="005702B2"/>
    <w:rsid w:val="005A1AF8"/>
    <w:rsid w:val="005A203C"/>
    <w:rsid w:val="005A5A2E"/>
    <w:rsid w:val="005A7CC0"/>
    <w:rsid w:val="005B2CA9"/>
    <w:rsid w:val="005C03B0"/>
    <w:rsid w:val="005C3426"/>
    <w:rsid w:val="005C5FCF"/>
    <w:rsid w:val="005D2DCB"/>
    <w:rsid w:val="005E73B0"/>
    <w:rsid w:val="005F18CF"/>
    <w:rsid w:val="005F2B9D"/>
    <w:rsid w:val="005F56BD"/>
    <w:rsid w:val="00625EA6"/>
    <w:rsid w:val="006322F2"/>
    <w:rsid w:val="00637930"/>
    <w:rsid w:val="006529B7"/>
    <w:rsid w:val="00655EB1"/>
    <w:rsid w:val="00656974"/>
    <w:rsid w:val="0066503D"/>
    <w:rsid w:val="00667121"/>
    <w:rsid w:val="00672C6F"/>
    <w:rsid w:val="00672E9A"/>
    <w:rsid w:val="00675977"/>
    <w:rsid w:val="00676723"/>
    <w:rsid w:val="006841E7"/>
    <w:rsid w:val="0068520E"/>
    <w:rsid w:val="0069289F"/>
    <w:rsid w:val="00692A2E"/>
    <w:rsid w:val="00695012"/>
    <w:rsid w:val="006958F2"/>
    <w:rsid w:val="006B110C"/>
    <w:rsid w:val="006C216D"/>
    <w:rsid w:val="006D2E16"/>
    <w:rsid w:val="006F3F66"/>
    <w:rsid w:val="006F686C"/>
    <w:rsid w:val="00703366"/>
    <w:rsid w:val="00703776"/>
    <w:rsid w:val="007119F1"/>
    <w:rsid w:val="00713E90"/>
    <w:rsid w:val="00725F56"/>
    <w:rsid w:val="00741BB1"/>
    <w:rsid w:val="00741BD2"/>
    <w:rsid w:val="00746883"/>
    <w:rsid w:val="00760F0D"/>
    <w:rsid w:val="007720E5"/>
    <w:rsid w:val="00777762"/>
    <w:rsid w:val="00795668"/>
    <w:rsid w:val="007A2918"/>
    <w:rsid w:val="007B266D"/>
    <w:rsid w:val="007B7EFE"/>
    <w:rsid w:val="007D340E"/>
    <w:rsid w:val="007F3AED"/>
    <w:rsid w:val="00810B03"/>
    <w:rsid w:val="00824BBF"/>
    <w:rsid w:val="008778D4"/>
    <w:rsid w:val="00882B0F"/>
    <w:rsid w:val="00886980"/>
    <w:rsid w:val="00887F89"/>
    <w:rsid w:val="008933D7"/>
    <w:rsid w:val="008B7937"/>
    <w:rsid w:val="008C51B8"/>
    <w:rsid w:val="008C68D3"/>
    <w:rsid w:val="008D153F"/>
    <w:rsid w:val="008E6806"/>
    <w:rsid w:val="00925001"/>
    <w:rsid w:val="009267D2"/>
    <w:rsid w:val="0094300E"/>
    <w:rsid w:val="0094421A"/>
    <w:rsid w:val="00945339"/>
    <w:rsid w:val="0095121C"/>
    <w:rsid w:val="00951478"/>
    <w:rsid w:val="00964394"/>
    <w:rsid w:val="0097107C"/>
    <w:rsid w:val="00973E03"/>
    <w:rsid w:val="009872AF"/>
    <w:rsid w:val="009A2F1F"/>
    <w:rsid w:val="009A4744"/>
    <w:rsid w:val="009A50AF"/>
    <w:rsid w:val="009A73DB"/>
    <w:rsid w:val="009A7B72"/>
    <w:rsid w:val="009D21CB"/>
    <w:rsid w:val="009D28EB"/>
    <w:rsid w:val="009D39AF"/>
    <w:rsid w:val="009D4A2C"/>
    <w:rsid w:val="009D5D9A"/>
    <w:rsid w:val="009E23E8"/>
    <w:rsid w:val="00A05F91"/>
    <w:rsid w:val="00A07B12"/>
    <w:rsid w:val="00A22267"/>
    <w:rsid w:val="00A27F16"/>
    <w:rsid w:val="00A32F13"/>
    <w:rsid w:val="00A37D56"/>
    <w:rsid w:val="00A445BB"/>
    <w:rsid w:val="00A617F2"/>
    <w:rsid w:val="00A664B5"/>
    <w:rsid w:val="00A831AF"/>
    <w:rsid w:val="00A858A5"/>
    <w:rsid w:val="00A9173C"/>
    <w:rsid w:val="00AA25BE"/>
    <w:rsid w:val="00AA4C44"/>
    <w:rsid w:val="00AA762F"/>
    <w:rsid w:val="00AC5321"/>
    <w:rsid w:val="00AC6AE2"/>
    <w:rsid w:val="00AD09A6"/>
    <w:rsid w:val="00AE1E7B"/>
    <w:rsid w:val="00AE3C5E"/>
    <w:rsid w:val="00B14372"/>
    <w:rsid w:val="00B168F9"/>
    <w:rsid w:val="00B26D2A"/>
    <w:rsid w:val="00B26E3B"/>
    <w:rsid w:val="00B41E84"/>
    <w:rsid w:val="00B449F9"/>
    <w:rsid w:val="00B45377"/>
    <w:rsid w:val="00B53ED7"/>
    <w:rsid w:val="00B546C4"/>
    <w:rsid w:val="00B65B9A"/>
    <w:rsid w:val="00B7299C"/>
    <w:rsid w:val="00B7412A"/>
    <w:rsid w:val="00BA030B"/>
    <w:rsid w:val="00BA6016"/>
    <w:rsid w:val="00BB3AA6"/>
    <w:rsid w:val="00BB6E44"/>
    <w:rsid w:val="00BC1C31"/>
    <w:rsid w:val="00BC656F"/>
    <w:rsid w:val="00BD2116"/>
    <w:rsid w:val="00BE5C99"/>
    <w:rsid w:val="00BF5C2E"/>
    <w:rsid w:val="00BF7C6E"/>
    <w:rsid w:val="00C02D10"/>
    <w:rsid w:val="00C1740A"/>
    <w:rsid w:val="00C2445D"/>
    <w:rsid w:val="00C34A2E"/>
    <w:rsid w:val="00C34DB0"/>
    <w:rsid w:val="00C3555B"/>
    <w:rsid w:val="00C3742E"/>
    <w:rsid w:val="00C418D9"/>
    <w:rsid w:val="00C66619"/>
    <w:rsid w:val="00C920D9"/>
    <w:rsid w:val="00CA3BD2"/>
    <w:rsid w:val="00CA5AAA"/>
    <w:rsid w:val="00CB0C1F"/>
    <w:rsid w:val="00CB1B12"/>
    <w:rsid w:val="00CC638F"/>
    <w:rsid w:val="00CD3D21"/>
    <w:rsid w:val="00CD75C3"/>
    <w:rsid w:val="00CE1C98"/>
    <w:rsid w:val="00CF5A8F"/>
    <w:rsid w:val="00D13BB7"/>
    <w:rsid w:val="00D141D3"/>
    <w:rsid w:val="00D169B7"/>
    <w:rsid w:val="00D251E3"/>
    <w:rsid w:val="00D36CDA"/>
    <w:rsid w:val="00D55F0F"/>
    <w:rsid w:val="00D561C0"/>
    <w:rsid w:val="00D65175"/>
    <w:rsid w:val="00D67FA2"/>
    <w:rsid w:val="00D71E68"/>
    <w:rsid w:val="00D747DA"/>
    <w:rsid w:val="00D810A6"/>
    <w:rsid w:val="00D97E75"/>
    <w:rsid w:val="00DA4219"/>
    <w:rsid w:val="00DA7A9C"/>
    <w:rsid w:val="00DB210E"/>
    <w:rsid w:val="00DD5882"/>
    <w:rsid w:val="00DF0BE0"/>
    <w:rsid w:val="00DF2504"/>
    <w:rsid w:val="00E00C23"/>
    <w:rsid w:val="00E01EAD"/>
    <w:rsid w:val="00E24973"/>
    <w:rsid w:val="00E50A50"/>
    <w:rsid w:val="00E51377"/>
    <w:rsid w:val="00EA6506"/>
    <w:rsid w:val="00EB6A2B"/>
    <w:rsid w:val="00ED2940"/>
    <w:rsid w:val="00ED7F5B"/>
    <w:rsid w:val="00EE5E9F"/>
    <w:rsid w:val="00EF10BE"/>
    <w:rsid w:val="00EF165C"/>
    <w:rsid w:val="00EF62B5"/>
    <w:rsid w:val="00F003AB"/>
    <w:rsid w:val="00F011F8"/>
    <w:rsid w:val="00F15444"/>
    <w:rsid w:val="00F2562B"/>
    <w:rsid w:val="00F305FB"/>
    <w:rsid w:val="00F36C0F"/>
    <w:rsid w:val="00F53603"/>
    <w:rsid w:val="00F606E3"/>
    <w:rsid w:val="00F75054"/>
    <w:rsid w:val="00F76CDD"/>
    <w:rsid w:val="00F77C05"/>
    <w:rsid w:val="00F86B5E"/>
    <w:rsid w:val="00F91503"/>
    <w:rsid w:val="00F92C32"/>
    <w:rsid w:val="00F9550F"/>
    <w:rsid w:val="00FA0034"/>
    <w:rsid w:val="00FA0F8B"/>
    <w:rsid w:val="00FA34B8"/>
    <w:rsid w:val="00FA3EDF"/>
    <w:rsid w:val="00FB2538"/>
    <w:rsid w:val="00FD1CA0"/>
    <w:rsid w:val="00FD530F"/>
    <w:rsid w:val="00FD705C"/>
    <w:rsid w:val="00FE3479"/>
    <w:rsid w:val="00FE7AC5"/>
    <w:rsid w:val="00FF7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3D5990-6CE0-4CD1-A322-F22EEEDC2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E6DE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234AF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64394"/>
    <w:pPr>
      <w:spacing w:after="0" w:line="240" w:lineRule="auto"/>
    </w:pPr>
    <w:rPr>
      <w:sz w:val="20"/>
      <w:szCs w:val="20"/>
    </w:rPr>
  </w:style>
  <w:style w:type="character" w:customStyle="1" w:styleId="FootnoteTextChar">
    <w:name w:val="Footnote Text Char"/>
    <w:basedOn w:val="DefaultParagraphFont"/>
    <w:link w:val="FootnoteText"/>
    <w:uiPriority w:val="99"/>
    <w:rsid w:val="00964394"/>
    <w:rPr>
      <w:sz w:val="20"/>
      <w:szCs w:val="20"/>
    </w:rPr>
  </w:style>
  <w:style w:type="character" w:styleId="FootnoteReference">
    <w:name w:val="footnote reference"/>
    <w:basedOn w:val="DefaultParagraphFont"/>
    <w:uiPriority w:val="99"/>
    <w:semiHidden/>
    <w:unhideWhenUsed/>
    <w:rsid w:val="00964394"/>
    <w:rPr>
      <w:vertAlign w:val="superscript"/>
    </w:rPr>
  </w:style>
  <w:style w:type="character" w:styleId="Hyperlink">
    <w:name w:val="Hyperlink"/>
    <w:basedOn w:val="DefaultParagraphFont"/>
    <w:uiPriority w:val="99"/>
    <w:unhideWhenUsed/>
    <w:rsid w:val="00EA6506"/>
    <w:rPr>
      <w:color w:val="0563C1" w:themeColor="hyperlink"/>
      <w:u w:val="single"/>
    </w:rPr>
  </w:style>
  <w:style w:type="character" w:customStyle="1" w:styleId="Heading3Char">
    <w:name w:val="Heading 3 Char"/>
    <w:basedOn w:val="DefaultParagraphFont"/>
    <w:link w:val="Heading3"/>
    <w:uiPriority w:val="9"/>
    <w:rsid w:val="00234AFB"/>
    <w:rPr>
      <w:rFonts w:ascii="Times New Roman" w:eastAsia="Times New Roman" w:hAnsi="Times New Roman" w:cs="Times New Roman"/>
      <w:b/>
      <w:bCs/>
      <w:sz w:val="27"/>
      <w:szCs w:val="27"/>
    </w:rPr>
  </w:style>
  <w:style w:type="paragraph" w:styleId="NormalWeb">
    <w:name w:val="Normal (Web)"/>
    <w:basedOn w:val="Normal"/>
    <w:uiPriority w:val="99"/>
    <w:unhideWhenUsed/>
    <w:rsid w:val="00234A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semiHidden/>
    <w:rsid w:val="000E6DE7"/>
    <w:rPr>
      <w:rFonts w:asciiTheme="majorHAnsi" w:eastAsiaTheme="majorEastAsia" w:hAnsiTheme="majorHAnsi" w:cstheme="majorBidi"/>
      <w:color w:val="2E74B5" w:themeColor="accent1" w:themeShade="BF"/>
      <w:sz w:val="26"/>
      <w:szCs w:val="26"/>
    </w:rPr>
  </w:style>
  <w:style w:type="paragraph" w:styleId="Header">
    <w:name w:val="header"/>
    <w:basedOn w:val="Normal"/>
    <w:link w:val="HeaderChar"/>
    <w:uiPriority w:val="99"/>
    <w:unhideWhenUsed/>
    <w:rsid w:val="000F1F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FE9"/>
  </w:style>
  <w:style w:type="paragraph" w:styleId="Footer">
    <w:name w:val="footer"/>
    <w:basedOn w:val="Normal"/>
    <w:link w:val="FooterChar"/>
    <w:uiPriority w:val="99"/>
    <w:unhideWhenUsed/>
    <w:rsid w:val="000F1F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FE9"/>
  </w:style>
  <w:style w:type="character" w:customStyle="1" w:styleId="headnote">
    <w:name w:val="headnote"/>
    <w:basedOn w:val="DefaultParagraphFont"/>
    <w:rsid w:val="00F606E3"/>
  </w:style>
  <w:style w:type="paragraph" w:styleId="BalloonText">
    <w:name w:val="Balloon Text"/>
    <w:basedOn w:val="Normal"/>
    <w:link w:val="BalloonTextChar"/>
    <w:uiPriority w:val="99"/>
    <w:semiHidden/>
    <w:unhideWhenUsed/>
    <w:rsid w:val="006B11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10C"/>
    <w:rPr>
      <w:rFonts w:ascii="Segoe UI" w:hAnsi="Segoe UI" w:cs="Segoe UI"/>
      <w:sz w:val="18"/>
      <w:szCs w:val="18"/>
    </w:rPr>
  </w:style>
  <w:style w:type="paragraph" w:styleId="ListParagraph">
    <w:name w:val="List Paragraph"/>
    <w:basedOn w:val="Normal"/>
    <w:uiPriority w:val="34"/>
    <w:qFormat/>
    <w:rsid w:val="006B110C"/>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7465042">
      <w:bodyDiv w:val="1"/>
      <w:marLeft w:val="0"/>
      <w:marRight w:val="0"/>
      <w:marTop w:val="0"/>
      <w:marBottom w:val="0"/>
      <w:divBdr>
        <w:top w:val="none" w:sz="0" w:space="0" w:color="auto"/>
        <w:left w:val="none" w:sz="0" w:space="0" w:color="auto"/>
        <w:bottom w:val="none" w:sz="0" w:space="0" w:color="auto"/>
        <w:right w:val="none" w:sz="0" w:space="0" w:color="auto"/>
      </w:divBdr>
    </w:div>
    <w:div w:id="746615729">
      <w:bodyDiv w:val="1"/>
      <w:marLeft w:val="0"/>
      <w:marRight w:val="0"/>
      <w:marTop w:val="0"/>
      <w:marBottom w:val="0"/>
      <w:divBdr>
        <w:top w:val="none" w:sz="0" w:space="0" w:color="auto"/>
        <w:left w:val="none" w:sz="0" w:space="0" w:color="auto"/>
        <w:bottom w:val="none" w:sz="0" w:space="0" w:color="auto"/>
        <w:right w:val="none" w:sz="0" w:space="0" w:color="auto"/>
      </w:divBdr>
      <w:divsChild>
        <w:div w:id="1340035753">
          <w:marLeft w:val="907"/>
          <w:marRight w:val="0"/>
          <w:marTop w:val="120"/>
          <w:marBottom w:val="0"/>
          <w:divBdr>
            <w:top w:val="none" w:sz="0" w:space="0" w:color="auto"/>
            <w:left w:val="none" w:sz="0" w:space="0" w:color="auto"/>
            <w:bottom w:val="none" w:sz="0" w:space="0" w:color="auto"/>
            <w:right w:val="none" w:sz="0" w:space="0" w:color="auto"/>
          </w:divBdr>
        </w:div>
      </w:divsChild>
    </w:div>
    <w:div w:id="949701620">
      <w:bodyDiv w:val="1"/>
      <w:marLeft w:val="0"/>
      <w:marRight w:val="0"/>
      <w:marTop w:val="0"/>
      <w:marBottom w:val="0"/>
      <w:divBdr>
        <w:top w:val="none" w:sz="0" w:space="0" w:color="auto"/>
        <w:left w:val="none" w:sz="0" w:space="0" w:color="auto"/>
        <w:bottom w:val="none" w:sz="0" w:space="0" w:color="auto"/>
        <w:right w:val="none" w:sz="0" w:space="0" w:color="auto"/>
      </w:divBdr>
      <w:divsChild>
        <w:div w:id="829717650">
          <w:marLeft w:val="0"/>
          <w:marRight w:val="0"/>
          <w:marTop w:val="0"/>
          <w:marBottom w:val="0"/>
          <w:divBdr>
            <w:top w:val="none" w:sz="0" w:space="0" w:color="auto"/>
            <w:left w:val="none" w:sz="0" w:space="0" w:color="auto"/>
            <w:bottom w:val="none" w:sz="0" w:space="0" w:color="auto"/>
            <w:right w:val="none" w:sz="0" w:space="0" w:color="auto"/>
          </w:divBdr>
        </w:div>
        <w:div w:id="189539892">
          <w:marLeft w:val="0"/>
          <w:marRight w:val="0"/>
          <w:marTop w:val="0"/>
          <w:marBottom w:val="0"/>
          <w:divBdr>
            <w:top w:val="none" w:sz="0" w:space="0" w:color="auto"/>
            <w:left w:val="none" w:sz="0" w:space="0" w:color="auto"/>
            <w:bottom w:val="none" w:sz="0" w:space="0" w:color="auto"/>
            <w:right w:val="none" w:sz="0" w:space="0" w:color="auto"/>
          </w:divBdr>
        </w:div>
      </w:divsChild>
    </w:div>
    <w:div w:id="1020081914">
      <w:bodyDiv w:val="1"/>
      <w:marLeft w:val="0"/>
      <w:marRight w:val="0"/>
      <w:marTop w:val="0"/>
      <w:marBottom w:val="0"/>
      <w:divBdr>
        <w:top w:val="none" w:sz="0" w:space="0" w:color="auto"/>
        <w:left w:val="none" w:sz="0" w:space="0" w:color="auto"/>
        <w:bottom w:val="none" w:sz="0" w:space="0" w:color="auto"/>
        <w:right w:val="none" w:sz="0" w:space="0" w:color="auto"/>
      </w:divBdr>
      <w:divsChild>
        <w:div w:id="377705644">
          <w:marLeft w:val="0"/>
          <w:marRight w:val="0"/>
          <w:marTop w:val="0"/>
          <w:marBottom w:val="0"/>
          <w:divBdr>
            <w:top w:val="none" w:sz="0" w:space="0" w:color="auto"/>
            <w:left w:val="none" w:sz="0" w:space="0" w:color="auto"/>
            <w:bottom w:val="none" w:sz="0" w:space="0" w:color="auto"/>
            <w:right w:val="none" w:sz="0" w:space="0" w:color="auto"/>
          </w:divBdr>
        </w:div>
      </w:divsChild>
    </w:div>
    <w:div w:id="1350595078">
      <w:bodyDiv w:val="1"/>
      <w:marLeft w:val="0"/>
      <w:marRight w:val="0"/>
      <w:marTop w:val="0"/>
      <w:marBottom w:val="0"/>
      <w:divBdr>
        <w:top w:val="none" w:sz="0" w:space="0" w:color="auto"/>
        <w:left w:val="none" w:sz="0" w:space="0" w:color="auto"/>
        <w:bottom w:val="none" w:sz="0" w:space="0" w:color="auto"/>
        <w:right w:val="none" w:sz="0" w:space="0" w:color="auto"/>
      </w:divBdr>
    </w:div>
    <w:div w:id="1618366771">
      <w:bodyDiv w:val="1"/>
      <w:marLeft w:val="0"/>
      <w:marRight w:val="0"/>
      <w:marTop w:val="0"/>
      <w:marBottom w:val="0"/>
      <w:divBdr>
        <w:top w:val="none" w:sz="0" w:space="0" w:color="auto"/>
        <w:left w:val="none" w:sz="0" w:space="0" w:color="auto"/>
        <w:bottom w:val="none" w:sz="0" w:space="0" w:color="auto"/>
        <w:right w:val="none" w:sz="0" w:space="0" w:color="auto"/>
      </w:divBdr>
      <w:divsChild>
        <w:div w:id="1140657082">
          <w:marLeft w:val="0"/>
          <w:marRight w:val="0"/>
          <w:marTop w:val="0"/>
          <w:marBottom w:val="0"/>
          <w:divBdr>
            <w:top w:val="none" w:sz="0" w:space="0" w:color="auto"/>
            <w:left w:val="none" w:sz="0" w:space="0" w:color="auto"/>
            <w:bottom w:val="none" w:sz="0" w:space="0" w:color="auto"/>
            <w:right w:val="none" w:sz="0" w:space="0" w:color="auto"/>
          </w:divBdr>
        </w:div>
      </w:divsChild>
    </w:div>
    <w:div w:id="1729841272">
      <w:bodyDiv w:val="1"/>
      <w:marLeft w:val="0"/>
      <w:marRight w:val="0"/>
      <w:marTop w:val="0"/>
      <w:marBottom w:val="0"/>
      <w:divBdr>
        <w:top w:val="none" w:sz="0" w:space="0" w:color="auto"/>
        <w:left w:val="none" w:sz="0" w:space="0" w:color="auto"/>
        <w:bottom w:val="none" w:sz="0" w:space="0" w:color="auto"/>
        <w:right w:val="none" w:sz="0" w:space="0" w:color="auto"/>
      </w:divBdr>
    </w:div>
    <w:div w:id="1746491481">
      <w:bodyDiv w:val="1"/>
      <w:marLeft w:val="0"/>
      <w:marRight w:val="0"/>
      <w:marTop w:val="0"/>
      <w:marBottom w:val="0"/>
      <w:divBdr>
        <w:top w:val="none" w:sz="0" w:space="0" w:color="auto"/>
        <w:left w:val="none" w:sz="0" w:space="0" w:color="auto"/>
        <w:bottom w:val="none" w:sz="0" w:space="0" w:color="auto"/>
        <w:right w:val="none" w:sz="0" w:space="0" w:color="auto"/>
      </w:divBdr>
      <w:divsChild>
        <w:div w:id="157691407">
          <w:marLeft w:val="0"/>
          <w:marRight w:val="0"/>
          <w:marTop w:val="0"/>
          <w:marBottom w:val="0"/>
          <w:divBdr>
            <w:top w:val="none" w:sz="0" w:space="0" w:color="auto"/>
            <w:left w:val="none" w:sz="0" w:space="0" w:color="auto"/>
            <w:bottom w:val="none" w:sz="0" w:space="0" w:color="auto"/>
            <w:right w:val="none" w:sz="0" w:space="0" w:color="auto"/>
          </w:divBdr>
        </w:div>
        <w:div w:id="145365674">
          <w:marLeft w:val="0"/>
          <w:marRight w:val="0"/>
          <w:marTop w:val="0"/>
          <w:marBottom w:val="0"/>
          <w:divBdr>
            <w:top w:val="none" w:sz="0" w:space="0" w:color="auto"/>
            <w:left w:val="none" w:sz="0" w:space="0" w:color="auto"/>
            <w:bottom w:val="none" w:sz="0" w:space="0" w:color="auto"/>
            <w:right w:val="none" w:sz="0" w:space="0" w:color="auto"/>
          </w:divBdr>
        </w:div>
        <w:div w:id="189032376">
          <w:marLeft w:val="0"/>
          <w:marRight w:val="0"/>
          <w:marTop w:val="0"/>
          <w:marBottom w:val="0"/>
          <w:divBdr>
            <w:top w:val="none" w:sz="0" w:space="0" w:color="auto"/>
            <w:left w:val="none" w:sz="0" w:space="0" w:color="auto"/>
            <w:bottom w:val="none" w:sz="0" w:space="0" w:color="auto"/>
            <w:right w:val="none" w:sz="0" w:space="0" w:color="auto"/>
          </w:divBdr>
        </w:div>
        <w:div w:id="169878783">
          <w:marLeft w:val="0"/>
          <w:marRight w:val="0"/>
          <w:marTop w:val="0"/>
          <w:marBottom w:val="0"/>
          <w:divBdr>
            <w:top w:val="none" w:sz="0" w:space="0" w:color="auto"/>
            <w:left w:val="none" w:sz="0" w:space="0" w:color="auto"/>
            <w:bottom w:val="none" w:sz="0" w:space="0" w:color="auto"/>
            <w:right w:val="none" w:sz="0" w:space="0" w:color="auto"/>
          </w:divBdr>
        </w:div>
      </w:divsChild>
    </w:div>
    <w:div w:id="181721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visor.mn.gov/statutes/cite/504B.178" TargetMode="External"/><Relationship Id="rId13" Type="http://schemas.openxmlformats.org/officeDocument/2006/relationships/hyperlink" Target="https://birnberglegalwebsite.files.wordpress.com/2021/04/appendix-3-sdb-blog.pdf" TargetMode="External"/><Relationship Id="rId18" Type="http://schemas.openxmlformats.org/officeDocument/2006/relationships/hyperlink" Target="https://codes.ohio.gov/ohio-revised-code/section-5321.01" TargetMode="External"/><Relationship Id="rId26" Type="http://schemas.openxmlformats.org/officeDocument/2006/relationships/hyperlink" Target="http://heimatundrecht.de/sites/default/files/dokumente/Black%27sLaw4th.pdf"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birnberglegalwebsite.files.wordpress.com/2021/04/appendix-5-sdb-blog.pdf" TargetMode="External"/><Relationship Id="rId34" Type="http://schemas.openxmlformats.org/officeDocument/2006/relationships/hyperlink" Target="https://www.revisor.mn.gov/statutes/1971/cite/504/pdf" TargetMode="External"/><Relationship Id="rId7" Type="http://schemas.openxmlformats.org/officeDocument/2006/relationships/endnotes" Target="endnotes.xml"/><Relationship Id="rId12" Type="http://schemas.openxmlformats.org/officeDocument/2006/relationships/hyperlink" Target="https://birnberglegalwebsite.files.wordpress.com/2021/04/appendix-2-sdb-blog.pdf" TargetMode="External"/><Relationship Id="rId17" Type="http://schemas.openxmlformats.org/officeDocument/2006/relationships/hyperlink" Target="https://codes.ohio.gov/ohio-revised-code/section-5321.16" TargetMode="External"/><Relationship Id="rId25" Type="http://schemas.openxmlformats.org/officeDocument/2006/relationships/hyperlink" Target="https://scholar.google.com/scholar_case?case=13562390959027666422&amp;hl=en&amp;as_sdt=6,24" TargetMode="External"/><Relationship Id="rId33" Type="http://schemas.openxmlformats.org/officeDocument/2006/relationships/hyperlink" Target="https://birnberglegalwebsite.files.wordpress.com/2021/04/appendix-8-sdb-blog.pdf"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codes.ohio.gov/ohio-revised-code/section-5321.16" TargetMode="External"/><Relationship Id="rId20" Type="http://schemas.openxmlformats.org/officeDocument/2006/relationships/hyperlink" Target="https://codes.ohio.gov/ohio-revised-code/section-5321.05" TargetMode="External"/><Relationship Id="rId29" Type="http://schemas.openxmlformats.org/officeDocument/2006/relationships/hyperlink" Target="https://www.revisor.mn.gov/statutes/cite/504B.17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holar.google.com/scholar_case?case=14388677616968769196&amp;q=curran+suredeposit&amp;hl=en&amp;as_sdt=6,24" TargetMode="External"/><Relationship Id="rId24" Type="http://schemas.openxmlformats.org/officeDocument/2006/relationships/hyperlink" Target="https://scholar.google.com/scholar_case?case=2280706072065936860&amp;q=rathbun+money&amp;hl=en&amp;as_sdt=4,24" TargetMode="External"/><Relationship Id="rId32" Type="http://schemas.openxmlformats.org/officeDocument/2006/relationships/hyperlink" Target="https://www.revisor.mn.gov/statutes/1973/cite/504/pdf" TargetMode="External"/><Relationship Id="rId37" Type="http://schemas.openxmlformats.org/officeDocument/2006/relationships/hyperlink" Target="https://birnberglegalwebsite.files.wordpress.com/2021/04/appendix-9-sdb-blog.pdf"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cholar.google.com/scholar_case?case=7444529631563235906&amp;hl=en&amp;as_sdt=6,24" TargetMode="External"/><Relationship Id="rId23" Type="http://schemas.openxmlformats.org/officeDocument/2006/relationships/hyperlink" Target="https://birnberglegalwebsite.files.wordpress.com/2021/04/appendix-4-sdb-blog.pdf" TargetMode="External"/><Relationship Id="rId28" Type="http://schemas.openxmlformats.org/officeDocument/2006/relationships/hyperlink" Target="https://www.revisor.mn.gov/statutes/1973/cite/504/pdf" TargetMode="External"/><Relationship Id="rId36" Type="http://schemas.openxmlformats.org/officeDocument/2006/relationships/hyperlink" Target="https://scholar.google.com/scholar_case?case=5583663348108327517&amp;q=bauman+islay&amp;hl=en&amp;as_sdt=6,24" TargetMode="External"/><Relationship Id="rId10" Type="http://schemas.openxmlformats.org/officeDocument/2006/relationships/hyperlink" Target="https://scholar.google.com/scholar_case?case=11963431500381456486&amp;q=%22subrogate+against+its+own+insured%22&amp;hl=en&amp;as_sdt=4,24" TargetMode="External"/><Relationship Id="rId19" Type="http://schemas.openxmlformats.org/officeDocument/2006/relationships/hyperlink" Target="https://codes.ohio.gov/ohio-revised-code/section-5321.16" TargetMode="External"/><Relationship Id="rId31" Type="http://schemas.openxmlformats.org/officeDocument/2006/relationships/hyperlink" Target="https://www.revisor.mn.gov/laws/1973/0/Session+Law/Chapter/561/pdf/" TargetMode="External"/><Relationship Id="rId4" Type="http://schemas.openxmlformats.org/officeDocument/2006/relationships/settings" Target="settings.xml"/><Relationship Id="rId9" Type="http://schemas.openxmlformats.org/officeDocument/2006/relationships/hyperlink" Target="https://birnberglegalwebsite.files.wordpress.com/2021/04/appendix-1-sdb-blog.pdf" TargetMode="External"/><Relationship Id="rId14" Type="http://schemas.openxmlformats.org/officeDocument/2006/relationships/hyperlink" Target="https://govt.westlaw.com/mdc/Document/N4F7BE881584F11E6A483DFBDA551E575?viewType=FullText&amp;originationContext=documenttoc&amp;transitionType=CategoryPageItem&amp;contextData=(sc.Default)" TargetMode="External"/><Relationship Id="rId22" Type="http://schemas.openxmlformats.org/officeDocument/2006/relationships/hyperlink" Target="https://birnberglegalwebsite.files.wordpress.com/2021/04/appendix-4-sdb-blog.pdf" TargetMode="External"/><Relationship Id="rId27" Type="http://schemas.openxmlformats.org/officeDocument/2006/relationships/hyperlink" Target="https://scholar.google.com/scholar_case?case=13463244883453203777&amp;q=wirig&amp;hl=en&amp;as_sdt=4,24" TargetMode="External"/><Relationship Id="rId30" Type="http://schemas.openxmlformats.org/officeDocument/2006/relationships/hyperlink" Target="https://birnberglegalwebsite.files.wordpress.com/2021/04/appendix-7-sdb-blog.pdf" TargetMode="External"/><Relationship Id="rId35" Type="http://schemas.openxmlformats.org/officeDocument/2006/relationships/hyperlink" Target="https://birnberglegalwebsite.files.wordpress.com/2021/04/appendix-7-sdb-blog.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birnberglegalwebsite.net/2021/04/11/a-detailed-discussion-of-minn-stat-%c2%a7-504b-178-and-minnesota-residential-security-deposits/" TargetMode="External"/><Relationship Id="rId13" Type="http://schemas.openxmlformats.org/officeDocument/2006/relationships/hyperlink" Target="https://birnberglegalwebsite.files.wordpress.com/2021/04/appendix-5-sdb-blog.pdf" TargetMode="External"/><Relationship Id="rId18" Type="http://schemas.openxmlformats.org/officeDocument/2006/relationships/hyperlink" Target="https://www.oregonlive.com/front-porch/2012/01/renters_lawsuit_challenges_bon.html" TargetMode="External"/><Relationship Id="rId3" Type="http://schemas.openxmlformats.org/officeDocument/2006/relationships/hyperlink" Target="http://www.jstor.org/stable/1115875" TargetMode="External"/><Relationship Id="rId21" Type="http://schemas.openxmlformats.org/officeDocument/2006/relationships/hyperlink" Target="https://birnberglegalwebsite.files.wordpress.com/2021/04/appendix-5-sdb-blog.pdf" TargetMode="External"/><Relationship Id="rId7" Type="http://schemas.openxmlformats.org/officeDocument/2006/relationships/hyperlink" Target="https://prrac.org/pdf/alternatives-to-security-deposits.pdf" TargetMode="External"/><Relationship Id="rId12" Type="http://schemas.openxmlformats.org/officeDocument/2006/relationships/hyperlink" Target="https://birnberglegalwebsite.files.wordpress.com/2021/04/appendix-2-sdb-blog.pdf" TargetMode="External"/><Relationship Id="rId17" Type="http://schemas.openxmlformats.org/officeDocument/2006/relationships/hyperlink" Target="https://scholar.google.com/scholar_case?case=5959643639836780427&amp;hl=en&amp;as_sdt=6,24" TargetMode="External"/><Relationship Id="rId2" Type="http://schemas.openxmlformats.org/officeDocument/2006/relationships/hyperlink" Target="https://www.revisor.mn.gov/laws/1877/0/General+Laws/Chapter/140/pdf/" TargetMode="External"/><Relationship Id="rId16" Type="http://schemas.openxmlformats.org/officeDocument/2006/relationships/hyperlink" Target="https://pa.courts.state.mn.us/default.aspx" TargetMode="External"/><Relationship Id="rId20" Type="http://schemas.openxmlformats.org/officeDocument/2006/relationships/hyperlink" Target="https://birnberglegalwebsite.files.wordpress.com/2021/04/appendix-4-sdb-blog.pdf" TargetMode="External"/><Relationship Id="rId1" Type="http://schemas.openxmlformats.org/officeDocument/2006/relationships/hyperlink" Target="https://www.revisor.mn.gov/statutes/cite/504B.101" TargetMode="External"/><Relationship Id="rId6" Type="http://schemas.openxmlformats.org/officeDocument/2006/relationships/hyperlink" Target="https://www.multihousingnews.com/post/legislation-taking-aim-at-security-deposits/" TargetMode="External"/><Relationship Id="rId11" Type="http://schemas.openxmlformats.org/officeDocument/2006/relationships/hyperlink" Target="https://birnberglegalwebsite.files.wordpress.com/2021/04/appendix-5-sdb-blog.pdf" TargetMode="External"/><Relationship Id="rId24" Type="http://schemas.openxmlformats.org/officeDocument/2006/relationships/hyperlink" Target="http://rental-housing.com/rental/URLTA.htm" TargetMode="External"/><Relationship Id="rId5" Type="http://schemas.openxmlformats.org/officeDocument/2006/relationships/hyperlink" Target="https://www.forbes.com/sites/forbesrealestatecouncil/2020/07/15/security-deposit-legislation-sweeping-the-us--are-we-finally-solving-the-problem/?sh=54561279161e" TargetMode="External"/><Relationship Id="rId15" Type="http://schemas.openxmlformats.org/officeDocument/2006/relationships/hyperlink" Target="https://scholar.google.com/scholar_case?case=6444074229171039279&amp;hl=en&amp;as_sdt=6,24" TargetMode="External"/><Relationship Id="rId23" Type="http://schemas.openxmlformats.org/officeDocument/2006/relationships/hyperlink" Target="https://scholar.google.com/scholar_case?case=17509528065475349872&amp;q=remedial+statutes+liberal+construction&amp;hl=en&amp;as_sdt=4,24" TargetMode="External"/><Relationship Id="rId10" Type="http://schemas.openxmlformats.org/officeDocument/2006/relationships/hyperlink" Target="https://birnberglegalwebsite.files.wordpress.com/2021/04/appendix-4-sdb-blog.pdf" TargetMode="External"/><Relationship Id="rId19" Type="http://schemas.openxmlformats.org/officeDocument/2006/relationships/hyperlink" Target="https://birnberglegalwebsite.files.wordpress.com/2021/04/appendix-5-sdb-blog.pdf" TargetMode="External"/><Relationship Id="rId4" Type="http://schemas.openxmlformats.org/officeDocument/2006/relationships/hyperlink" Target="https://leaselock.com/blog/security-deposit-replacement-legislation/" TargetMode="External"/><Relationship Id="rId9" Type="http://schemas.openxmlformats.org/officeDocument/2006/relationships/hyperlink" Target="https://scholar.google.com/scholar_case?case=7444529631563235906&amp;hl=en&amp;as_sdt=6,24" TargetMode="External"/><Relationship Id="rId14" Type="http://schemas.openxmlformats.org/officeDocument/2006/relationships/hyperlink" Target="https://birnberglegalwebsite.net/2020/03/20/renters-insurance-helps-a-residential-tenant-when-he-accidentally-burns-his-apartment-but-not-when-he-accidentally-floods-his-apartment-full-coverage-should-be-mandated-by-statute/" TargetMode="External"/><Relationship Id="rId22" Type="http://schemas.openxmlformats.org/officeDocument/2006/relationships/hyperlink" Target="https://birnberglegalwebsite.files.wordpress.com/2021/04/appendix-5-sdb-blog.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B7D48-DC93-47B8-A9E2-229C778C62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17</Pages>
  <Words>6502</Words>
  <Characters>37065</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Eric Hauge</cp:lastModifiedBy>
  <cp:revision>24</cp:revision>
  <cp:lastPrinted>2021-04-19T16:33:00Z</cp:lastPrinted>
  <dcterms:created xsi:type="dcterms:W3CDTF">2021-04-21T00:14:00Z</dcterms:created>
  <dcterms:modified xsi:type="dcterms:W3CDTF">2021-04-28T14:53:00Z</dcterms:modified>
</cp:coreProperties>
</file>