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E95" w:rsidRPr="00091E95" w:rsidRDefault="00091E95" w:rsidP="00091E95">
      <w:pPr>
        <w:shd w:val="clear" w:color="auto" w:fill="FFFFFF"/>
        <w:spacing w:after="0" w:line="240" w:lineRule="auto"/>
        <w:jc w:val="center"/>
        <w:rPr>
          <w:rFonts w:ascii="Times New Roman" w:eastAsia="Times New Roman" w:hAnsi="Times New Roman" w:cs="Times New Roman"/>
          <w:b/>
          <w:sz w:val="24"/>
          <w:szCs w:val="24"/>
        </w:rPr>
      </w:pPr>
      <w:r w:rsidRPr="00091E95">
        <w:rPr>
          <w:rFonts w:ascii="Times New Roman" w:eastAsia="Times New Roman" w:hAnsi="Times New Roman" w:cs="Times New Roman"/>
          <w:b/>
          <w:sz w:val="24"/>
          <w:szCs w:val="24"/>
        </w:rPr>
        <w:t>WHILE SOME SERVICE-PLUS LEASE CLAUSES ARE LEGAL AND ENFORCEABLE, THOSE IN STEVEN MELDAHL’S LEASES PROBABLY ARE NOT.</w:t>
      </w:r>
    </w:p>
    <w:p w:rsidR="00091E95" w:rsidRDefault="00091E95" w:rsidP="00E847DD">
      <w:pPr>
        <w:autoSpaceDE w:val="0"/>
        <w:autoSpaceDN w:val="0"/>
        <w:adjustRightInd w:val="0"/>
        <w:spacing w:after="0" w:line="240" w:lineRule="auto"/>
        <w:rPr>
          <w:rFonts w:ascii="Times New Roman" w:hAnsi="Times New Roman" w:cs="Times New Roman"/>
          <w:sz w:val="24"/>
          <w:szCs w:val="24"/>
          <w:u w:val="single"/>
        </w:rPr>
      </w:pPr>
    </w:p>
    <w:p w:rsidR="00204131" w:rsidRPr="00204131" w:rsidRDefault="00204131" w:rsidP="00E847DD">
      <w:pPr>
        <w:autoSpaceDE w:val="0"/>
        <w:autoSpaceDN w:val="0"/>
        <w:adjustRightInd w:val="0"/>
        <w:spacing w:after="0" w:line="240" w:lineRule="auto"/>
        <w:rPr>
          <w:rFonts w:ascii="Times New Roman" w:hAnsi="Times New Roman" w:cs="Times New Roman"/>
          <w:sz w:val="24"/>
          <w:szCs w:val="24"/>
          <w:u w:val="single"/>
        </w:rPr>
      </w:pPr>
      <w:r w:rsidRPr="00204131">
        <w:rPr>
          <w:rFonts w:ascii="Times New Roman" w:hAnsi="Times New Roman" w:cs="Times New Roman"/>
          <w:sz w:val="24"/>
          <w:szCs w:val="24"/>
          <w:u w:val="single"/>
        </w:rPr>
        <w:t>The Covenants of Habitability</w:t>
      </w:r>
    </w:p>
    <w:p w:rsidR="00204131" w:rsidRDefault="00204131" w:rsidP="00E847DD">
      <w:pPr>
        <w:autoSpaceDE w:val="0"/>
        <w:autoSpaceDN w:val="0"/>
        <w:adjustRightInd w:val="0"/>
        <w:spacing w:after="0" w:line="240" w:lineRule="auto"/>
        <w:rPr>
          <w:rFonts w:ascii="Times New Roman" w:hAnsi="Times New Roman" w:cs="Times New Roman"/>
          <w:sz w:val="24"/>
          <w:szCs w:val="24"/>
        </w:rPr>
      </w:pPr>
    </w:p>
    <w:p w:rsidR="00E847DD" w:rsidRDefault="00E847DD" w:rsidP="00E847DD">
      <w:pPr>
        <w:autoSpaceDE w:val="0"/>
        <w:autoSpaceDN w:val="0"/>
        <w:adjustRightInd w:val="0"/>
        <w:spacing w:after="0" w:line="240" w:lineRule="auto"/>
        <w:rPr>
          <w:rFonts w:ascii="Times New Roman" w:hAnsi="Times New Roman" w:cs="Times New Roman"/>
          <w:sz w:val="24"/>
          <w:szCs w:val="24"/>
        </w:rPr>
      </w:pPr>
      <w:r w:rsidRPr="000948A1">
        <w:rPr>
          <w:rFonts w:ascii="Times New Roman" w:hAnsi="Times New Roman" w:cs="Times New Roman"/>
          <w:sz w:val="24"/>
          <w:szCs w:val="24"/>
        </w:rPr>
        <w:t xml:space="preserve">If </w:t>
      </w:r>
      <w:r w:rsidR="00091E95">
        <w:rPr>
          <w:rFonts w:ascii="Times New Roman" w:hAnsi="Times New Roman" w:cs="Times New Roman"/>
          <w:sz w:val="24"/>
          <w:szCs w:val="24"/>
        </w:rPr>
        <w:t>a</w:t>
      </w:r>
      <w:r w:rsidRPr="000948A1">
        <w:rPr>
          <w:rFonts w:ascii="Times New Roman" w:hAnsi="Times New Roman" w:cs="Times New Roman"/>
          <w:sz w:val="24"/>
          <w:szCs w:val="24"/>
        </w:rPr>
        <w:t xml:space="preserve"> building is leased for commercial use</w:t>
      </w:r>
      <w:r>
        <w:rPr>
          <w:rFonts w:ascii="Times New Roman" w:hAnsi="Times New Roman" w:cs="Times New Roman"/>
          <w:sz w:val="24"/>
          <w:szCs w:val="24"/>
        </w:rPr>
        <w:t xml:space="preserve"> the lease can require the tenant to do certain repairs or even all the repairs.</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However, since 1971 if a house or apartment</w:t>
      </w:r>
      <w:r w:rsidR="00091E95">
        <w:rPr>
          <w:rFonts w:ascii="Times New Roman" w:hAnsi="Times New Roman" w:cs="Times New Roman"/>
          <w:sz w:val="24"/>
          <w:szCs w:val="24"/>
        </w:rPr>
        <w:t xml:space="preserve"> is leased for residential use </w:t>
      </w:r>
      <w:r>
        <w:rPr>
          <w:rFonts w:ascii="Times New Roman" w:hAnsi="Times New Roman" w:cs="Times New Roman"/>
          <w:sz w:val="24"/>
          <w:szCs w:val="24"/>
        </w:rPr>
        <w:t xml:space="preserve">the landlord </w:t>
      </w:r>
      <w:r w:rsidR="00F75FB4">
        <w:rPr>
          <w:rFonts w:ascii="Times New Roman" w:hAnsi="Times New Roman" w:cs="Times New Roman"/>
          <w:sz w:val="24"/>
          <w:szCs w:val="24"/>
        </w:rPr>
        <w:t>has been</w:t>
      </w:r>
      <w:r>
        <w:rPr>
          <w:rFonts w:ascii="Times New Roman" w:hAnsi="Times New Roman" w:cs="Times New Roman"/>
          <w:sz w:val="24"/>
          <w:szCs w:val="24"/>
        </w:rPr>
        <w:t xml:space="preserve"> required to maintain the unit and cannot make the tenant waive those rights. This is so because of</w:t>
      </w:r>
      <w:r w:rsidR="00204131">
        <w:rPr>
          <w:rFonts w:ascii="Times New Roman" w:hAnsi="Times New Roman" w:cs="Times New Roman"/>
          <w:sz w:val="24"/>
          <w:szCs w:val="24"/>
        </w:rPr>
        <w:t xml:space="preserve"> a statute known as the Covenants of Habitability,</w:t>
      </w:r>
      <w:r>
        <w:rPr>
          <w:rFonts w:ascii="Times New Roman" w:hAnsi="Times New Roman" w:cs="Times New Roman"/>
          <w:sz w:val="24"/>
          <w:szCs w:val="24"/>
        </w:rPr>
        <w:t xml:space="preserve"> </w:t>
      </w:r>
      <w:hyperlink r:id="rId8" w:history="1">
        <w:r w:rsidRPr="001C5D25">
          <w:rPr>
            <w:rStyle w:val="Hyperlink"/>
            <w:rFonts w:ascii="Times New Roman" w:hAnsi="Times New Roman" w:cs="Times New Roman"/>
            <w:sz w:val="24"/>
            <w:szCs w:val="24"/>
          </w:rPr>
          <w:t>Minn. Stat. § 504B.161</w:t>
        </w:r>
      </w:hyperlink>
      <w:r w:rsidRPr="00D768B2">
        <w:rPr>
          <w:rFonts w:ascii="Times New Roman" w:hAnsi="Times New Roman" w:cs="Times New Roman"/>
          <w:sz w:val="24"/>
          <w:szCs w:val="24"/>
        </w:rPr>
        <w:t xml:space="preserve">, </w:t>
      </w:r>
      <w:r>
        <w:rPr>
          <w:rFonts w:ascii="Times New Roman" w:hAnsi="Times New Roman" w:cs="Times New Roman"/>
          <w:sz w:val="24"/>
          <w:szCs w:val="24"/>
        </w:rPr>
        <w:t>originally enacted in 1971</w:t>
      </w:r>
      <w:r>
        <w:rPr>
          <w:rStyle w:val="FootnoteReference"/>
          <w:rFonts w:ascii="Times New Roman" w:hAnsi="Times New Roman" w:cs="Times New Roman"/>
          <w:sz w:val="24"/>
          <w:szCs w:val="24"/>
        </w:rPr>
        <w:footnoteReference w:id="2"/>
      </w:r>
      <w:r w:rsidR="00091E95">
        <w:rPr>
          <w:rFonts w:ascii="Times New Roman" w:hAnsi="Times New Roman" w:cs="Times New Roman"/>
          <w:sz w:val="24"/>
          <w:szCs w:val="24"/>
        </w:rPr>
        <w:t>. Its</w:t>
      </w:r>
      <w:r w:rsidRPr="00D768B2">
        <w:rPr>
          <w:rFonts w:ascii="Times New Roman" w:hAnsi="Times New Roman" w:cs="Times New Roman"/>
          <w:sz w:val="24"/>
          <w:szCs w:val="24"/>
        </w:rPr>
        <w:t xml:space="preserve"> first two subdivisions read as follows:</w:t>
      </w:r>
    </w:p>
    <w:p w:rsidR="00E847DD" w:rsidRDefault="00E847DD" w:rsidP="00E847DD">
      <w:pPr>
        <w:autoSpaceDE w:val="0"/>
        <w:autoSpaceDN w:val="0"/>
        <w:adjustRightInd w:val="0"/>
        <w:spacing w:after="0" w:line="240" w:lineRule="auto"/>
        <w:rPr>
          <w:rFonts w:ascii="Times New Roman" w:hAnsi="Times New Roman" w:cs="Times New Roman"/>
          <w:sz w:val="24"/>
          <w:szCs w:val="24"/>
        </w:rPr>
      </w:pPr>
    </w:p>
    <w:p w:rsidR="00E847DD" w:rsidRPr="00807F93" w:rsidRDefault="00E847DD" w:rsidP="00E847DD">
      <w:pPr>
        <w:autoSpaceDE w:val="0"/>
        <w:autoSpaceDN w:val="0"/>
        <w:adjustRightInd w:val="0"/>
        <w:spacing w:after="0" w:line="240" w:lineRule="auto"/>
        <w:ind w:left="480"/>
        <w:rPr>
          <w:rFonts w:ascii="Times New Roman" w:hAnsi="Times New Roman" w:cs="Times New Roman"/>
          <w:sz w:val="24"/>
          <w:szCs w:val="24"/>
        </w:rPr>
      </w:pPr>
      <w:r w:rsidRPr="00D768B2">
        <w:rPr>
          <w:rFonts w:ascii="Times New Roman" w:eastAsia="Times New Roman" w:hAnsi="Times New Roman" w:cs="Times New Roman"/>
          <w:color w:val="000000"/>
          <w:sz w:val="24"/>
          <w:szCs w:val="24"/>
        </w:rPr>
        <w:t>Subdivision 1.</w:t>
      </w:r>
      <w:r>
        <w:rPr>
          <w:rFonts w:ascii="Times New Roman" w:eastAsia="Times New Roman" w:hAnsi="Times New Roman" w:cs="Times New Roman"/>
          <w:color w:val="000000"/>
          <w:sz w:val="24"/>
          <w:szCs w:val="24"/>
        </w:rPr>
        <w:t xml:space="preserve"> </w:t>
      </w:r>
      <w:r w:rsidRPr="00D768B2">
        <w:rPr>
          <w:rFonts w:ascii="Times New Roman" w:eastAsia="Times New Roman" w:hAnsi="Times New Roman" w:cs="Times New Roman"/>
          <w:b/>
          <w:bCs/>
          <w:color w:val="000000"/>
          <w:sz w:val="24"/>
          <w:szCs w:val="24"/>
        </w:rPr>
        <w:t xml:space="preserve">Requirements.  </w:t>
      </w:r>
      <w:r w:rsidRPr="00D768B2">
        <w:rPr>
          <w:rFonts w:ascii="Times New Roman" w:eastAsia="Times New Roman" w:hAnsi="Times New Roman" w:cs="Times New Roman"/>
          <w:color w:val="000000"/>
          <w:sz w:val="24"/>
          <w:szCs w:val="24"/>
        </w:rPr>
        <w:t>(a) In every lease or license of residential premises, the landlord or licensor covenants:</w:t>
      </w:r>
    </w:p>
    <w:p w:rsidR="00E847DD" w:rsidRPr="00D768B2" w:rsidRDefault="00E847DD" w:rsidP="00E847DD">
      <w:pPr>
        <w:shd w:val="clear" w:color="auto" w:fill="FFFFFF"/>
        <w:spacing w:before="48" w:after="120" w:line="240" w:lineRule="auto"/>
        <w:ind w:left="480" w:firstLine="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t>(1) that the premises and all common areas are fit for the use intended by the parties;</w:t>
      </w:r>
    </w:p>
    <w:p w:rsidR="00E847DD" w:rsidRPr="00D768B2" w:rsidRDefault="00E847DD" w:rsidP="00E847DD">
      <w:pPr>
        <w:shd w:val="clear" w:color="auto" w:fill="FFFFFF"/>
        <w:spacing w:before="48" w:after="120" w:line="240" w:lineRule="auto"/>
        <w:ind w:left="480" w:firstLine="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t>(2) to keep the premises in reasonable repair during the term of the lease or license, except when the disrepair has been caused by the willful, malicious, or irresponsible conduct of the tenant or licensee or a person under the direction or control of the tenant or licensee;</w:t>
      </w:r>
    </w:p>
    <w:p w:rsidR="00E847DD" w:rsidRPr="00D768B2" w:rsidRDefault="00E847DD" w:rsidP="00E847DD">
      <w:pPr>
        <w:shd w:val="clear" w:color="auto" w:fill="FFFFFF"/>
        <w:spacing w:before="48" w:after="120" w:line="240" w:lineRule="auto"/>
        <w:ind w:left="480" w:firstLine="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t>(3) to make the premises reasonably energy efficient by installing weatherstripping, caulking, storm windows, and storm doors when any such measure will result in energy procurement cost savings, based on current and projected average residential energy costs in Minnesota, that will exceed the cost of implementing that measure, including interest, amortized over the ten-year period following the incurring of the cost; and</w:t>
      </w:r>
    </w:p>
    <w:p w:rsidR="00E847DD" w:rsidRPr="00D768B2" w:rsidRDefault="00E847DD" w:rsidP="00E847DD">
      <w:pPr>
        <w:shd w:val="clear" w:color="auto" w:fill="FFFFFF"/>
        <w:spacing w:before="48" w:after="120" w:line="240" w:lineRule="auto"/>
        <w:ind w:left="480" w:firstLine="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t>(4) to maintain the premises in compliance with the applicable health and safety laws of the state, and of the local units of government where the premises are located during the term of the lease or license, except when violation of the health and safety laws has been caused by the willful, malicious, or irresponsible conduct of the tenant or licensee or a person under the direction or control of the tenant or licensee.</w:t>
      </w:r>
    </w:p>
    <w:p w:rsidR="00E847DD" w:rsidRPr="00D768B2" w:rsidRDefault="00E847DD" w:rsidP="00E847DD">
      <w:pPr>
        <w:shd w:val="clear" w:color="auto" w:fill="FFFFFF"/>
        <w:spacing w:before="48" w:after="120" w:line="240" w:lineRule="auto"/>
        <w:ind w:left="480" w:firstLine="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lastRenderedPageBreak/>
        <w:t xml:space="preserve">(b) </w:t>
      </w:r>
      <w:r w:rsidRPr="00631A72">
        <w:rPr>
          <w:rFonts w:ascii="Times New Roman" w:eastAsia="Times New Roman" w:hAnsi="Times New Roman" w:cs="Times New Roman"/>
          <w:color w:val="000000"/>
          <w:sz w:val="24"/>
          <w:szCs w:val="24"/>
          <w:u w:val="single"/>
        </w:rPr>
        <w:t>The parties to a lease or license of residential premises may not waive or modify the covenants imposed by this section</w:t>
      </w:r>
      <w:r w:rsidRPr="00D768B2">
        <w:rPr>
          <w:rFonts w:ascii="Times New Roman" w:eastAsia="Times New Roman" w:hAnsi="Times New Roman" w:cs="Times New Roman"/>
          <w:color w:val="000000"/>
          <w:sz w:val="24"/>
          <w:szCs w:val="24"/>
        </w:rPr>
        <w:t>.</w:t>
      </w:r>
    </w:p>
    <w:p w:rsidR="00E847DD" w:rsidRDefault="00E847DD" w:rsidP="00E847DD">
      <w:pPr>
        <w:shd w:val="clear" w:color="auto" w:fill="FFFFFF"/>
        <w:spacing w:after="0" w:line="240" w:lineRule="auto"/>
        <w:ind w:left="480"/>
        <w:rPr>
          <w:rFonts w:ascii="Times New Roman" w:eastAsia="Times New Roman" w:hAnsi="Times New Roman" w:cs="Times New Roman"/>
          <w:color w:val="000000"/>
          <w:sz w:val="24"/>
          <w:szCs w:val="24"/>
        </w:rPr>
      </w:pPr>
      <w:r w:rsidRPr="00D768B2">
        <w:rPr>
          <w:rFonts w:ascii="Times New Roman" w:eastAsia="Times New Roman" w:hAnsi="Times New Roman" w:cs="Times New Roman"/>
          <w:color w:val="000000"/>
          <w:sz w:val="24"/>
          <w:szCs w:val="24"/>
        </w:rPr>
        <w:t xml:space="preserve">Subd. 2. </w:t>
      </w:r>
      <w:r w:rsidRPr="00D768B2">
        <w:rPr>
          <w:rFonts w:ascii="Times New Roman" w:eastAsia="Times New Roman" w:hAnsi="Times New Roman" w:cs="Times New Roman"/>
          <w:b/>
          <w:bCs/>
          <w:color w:val="000000"/>
          <w:sz w:val="24"/>
          <w:szCs w:val="24"/>
        </w:rPr>
        <w:t xml:space="preserve">Tenant maintenance. </w:t>
      </w:r>
      <w:r w:rsidRPr="00D768B2">
        <w:rPr>
          <w:rFonts w:ascii="Times New Roman" w:eastAsia="Times New Roman" w:hAnsi="Times New Roman" w:cs="Times New Roman"/>
          <w:bCs/>
          <w:color w:val="000000"/>
          <w:sz w:val="24"/>
          <w:szCs w:val="24"/>
        </w:rPr>
        <w:t>T</w:t>
      </w:r>
      <w:r w:rsidRPr="00D768B2">
        <w:rPr>
          <w:rFonts w:ascii="Times New Roman" w:eastAsia="Times New Roman" w:hAnsi="Times New Roman" w:cs="Times New Roman"/>
          <w:color w:val="000000"/>
          <w:sz w:val="24"/>
          <w:szCs w:val="24"/>
        </w:rPr>
        <w:t xml:space="preserve">he landlord or licensor may agree with the tenant or licensee that the tenant or licensee is to perform specified repairs or maintenance, but only if the agreement is supported by adequate consideration and set forth in a conspicuous writing. </w:t>
      </w:r>
      <w:r w:rsidRPr="00631A72">
        <w:rPr>
          <w:rFonts w:ascii="Times New Roman" w:eastAsia="Times New Roman" w:hAnsi="Times New Roman" w:cs="Times New Roman"/>
          <w:color w:val="000000"/>
          <w:sz w:val="24"/>
          <w:szCs w:val="24"/>
          <w:u w:val="single"/>
        </w:rPr>
        <w:t>No such agreement, however, may waive the provisions of subdivision 1 or relieve the landlord or licensor of the duty to maintain common areas of the premises</w:t>
      </w:r>
      <w:r w:rsidRPr="00D768B2">
        <w:rPr>
          <w:rFonts w:ascii="Times New Roman" w:eastAsia="Times New Roman" w:hAnsi="Times New Roman" w:cs="Times New Roman"/>
          <w:color w:val="000000"/>
          <w:sz w:val="24"/>
          <w:szCs w:val="24"/>
        </w:rPr>
        <w:t>.</w:t>
      </w:r>
    </w:p>
    <w:p w:rsidR="00E847DD" w:rsidRDefault="00E847DD" w:rsidP="00E847DD">
      <w:pPr>
        <w:shd w:val="clear" w:color="auto" w:fill="FFFFFF"/>
        <w:spacing w:after="0" w:line="240" w:lineRule="auto"/>
        <w:ind w:left="480"/>
        <w:rPr>
          <w:rFonts w:ascii="Times New Roman" w:eastAsia="Times New Roman" w:hAnsi="Times New Roman" w:cs="Times New Roman"/>
          <w:color w:val="000000"/>
          <w:sz w:val="24"/>
          <w:szCs w:val="24"/>
        </w:rPr>
      </w:pPr>
    </w:p>
    <w:p w:rsidR="00E847DD" w:rsidRDefault="00E847DD" w:rsidP="00E847DD">
      <w:pPr>
        <w:shd w:val="clear" w:color="auto" w:fill="FFFFFF"/>
        <w:spacing w:after="0" w:line="240" w:lineRule="auto"/>
        <w:ind w:left="4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[emphasis added]</w:t>
      </w:r>
    </w:p>
    <w:p w:rsidR="00204131" w:rsidRDefault="00204131" w:rsidP="00E847DD">
      <w:pPr>
        <w:shd w:val="clear" w:color="auto" w:fill="FFFFFF"/>
        <w:spacing w:after="0" w:line="240" w:lineRule="auto"/>
        <w:ind w:left="480"/>
        <w:rPr>
          <w:rFonts w:ascii="Times New Roman" w:eastAsia="Times New Roman" w:hAnsi="Times New Roman" w:cs="Times New Roman"/>
          <w:color w:val="000000"/>
          <w:sz w:val="24"/>
          <w:szCs w:val="24"/>
        </w:rPr>
      </w:pPr>
    </w:p>
    <w:p w:rsidR="00204131" w:rsidRPr="00204131" w:rsidRDefault="00204131" w:rsidP="00204131">
      <w:pPr>
        <w:shd w:val="clear" w:color="auto" w:fill="FFFFFF"/>
        <w:spacing w:after="0" w:line="240" w:lineRule="auto"/>
        <w:rPr>
          <w:rFonts w:ascii="Times New Roman" w:eastAsia="Times New Roman" w:hAnsi="Times New Roman" w:cs="Times New Roman"/>
          <w:color w:val="000000"/>
          <w:sz w:val="24"/>
          <w:szCs w:val="24"/>
          <w:u w:val="single"/>
        </w:rPr>
      </w:pPr>
      <w:r w:rsidRPr="00204131">
        <w:rPr>
          <w:rFonts w:ascii="Times New Roman" w:eastAsia="Times New Roman" w:hAnsi="Times New Roman" w:cs="Times New Roman"/>
          <w:color w:val="000000"/>
          <w:sz w:val="24"/>
          <w:szCs w:val="24"/>
          <w:u w:val="single"/>
        </w:rPr>
        <w:t>Use of a Service-Plus clause to try to get around Minn. Stat. § 504B.161</w:t>
      </w:r>
    </w:p>
    <w:p w:rsidR="00F75FB4" w:rsidRDefault="00F75FB4" w:rsidP="00E847DD">
      <w:pPr>
        <w:shd w:val="clear" w:color="auto" w:fill="FFFFFF"/>
        <w:spacing w:after="0" w:line="240" w:lineRule="auto"/>
        <w:ind w:left="480"/>
        <w:rPr>
          <w:rFonts w:ascii="Times New Roman" w:eastAsia="Times New Roman" w:hAnsi="Times New Roman" w:cs="Times New Roman"/>
          <w:color w:val="000000"/>
          <w:sz w:val="24"/>
          <w:szCs w:val="24"/>
        </w:rPr>
      </w:pPr>
    </w:p>
    <w:p w:rsidR="00AB64C4" w:rsidRDefault="00F75FB4" w:rsidP="00F75FB4">
      <w:pPr>
        <w:shd w:val="clear" w:color="auto" w:fill="FFFFFF"/>
        <w:spacing w:after="0" w:line="240" w:lineRule="auto"/>
        <w:rPr>
          <w:rFonts w:ascii="Times New Roman" w:hAnsi="Times New Roman" w:cs="Times New Roman"/>
          <w:sz w:val="24"/>
          <w:szCs w:val="24"/>
        </w:rPr>
      </w:pPr>
      <w:r w:rsidRPr="00AB64C4">
        <w:rPr>
          <w:rFonts w:ascii="Times New Roman" w:eastAsia="Times New Roman" w:hAnsi="Times New Roman" w:cs="Times New Roman"/>
          <w:color w:val="000000"/>
          <w:sz w:val="24"/>
          <w:szCs w:val="24"/>
        </w:rPr>
        <w:t xml:space="preserve">Some residential landlords, </w:t>
      </w:r>
      <w:r w:rsidR="00CD3B5E">
        <w:rPr>
          <w:rFonts w:ascii="Times New Roman" w:eastAsia="Times New Roman" w:hAnsi="Times New Roman" w:cs="Times New Roman"/>
          <w:color w:val="000000"/>
          <w:sz w:val="24"/>
          <w:szCs w:val="24"/>
        </w:rPr>
        <w:t>usually</w:t>
      </w:r>
      <w:r w:rsidRPr="00AB64C4">
        <w:rPr>
          <w:rFonts w:ascii="Times New Roman" w:eastAsia="Times New Roman" w:hAnsi="Times New Roman" w:cs="Times New Roman"/>
          <w:color w:val="000000"/>
          <w:sz w:val="24"/>
          <w:szCs w:val="24"/>
        </w:rPr>
        <w:t xml:space="preserve"> those renting single-family houses, have tried to use subdivision 2 to shift repair of appliances and even</w:t>
      </w:r>
      <w:r w:rsidR="00B229B1">
        <w:rPr>
          <w:rFonts w:ascii="Times New Roman" w:eastAsia="Times New Roman" w:hAnsi="Times New Roman" w:cs="Times New Roman"/>
          <w:color w:val="000000"/>
          <w:sz w:val="24"/>
          <w:szCs w:val="24"/>
        </w:rPr>
        <w:t xml:space="preserve"> </w:t>
      </w:r>
      <w:r w:rsidRPr="00AB64C4">
        <w:rPr>
          <w:rFonts w:ascii="Times New Roman" w:eastAsia="Times New Roman" w:hAnsi="Times New Roman" w:cs="Times New Roman"/>
          <w:color w:val="000000"/>
          <w:sz w:val="24"/>
          <w:szCs w:val="24"/>
        </w:rPr>
        <w:t xml:space="preserve">sewer lines to the tenant. One of the main examples is Steven Meldahl, a </w:t>
      </w:r>
      <w:r w:rsidR="00B32D8A">
        <w:rPr>
          <w:rFonts w:ascii="Times New Roman" w:eastAsia="Times New Roman" w:hAnsi="Times New Roman" w:cs="Times New Roman"/>
          <w:color w:val="000000"/>
          <w:sz w:val="24"/>
          <w:szCs w:val="24"/>
        </w:rPr>
        <w:t xml:space="preserve">major </w:t>
      </w:r>
      <w:r w:rsidRPr="00AB64C4">
        <w:rPr>
          <w:rFonts w:ascii="Times New Roman" w:eastAsia="Times New Roman" w:hAnsi="Times New Roman" w:cs="Times New Roman"/>
          <w:color w:val="000000"/>
          <w:sz w:val="24"/>
          <w:szCs w:val="24"/>
        </w:rPr>
        <w:t xml:space="preserve">landlord in north Minneapolis. Meldahl is currently the </w:t>
      </w:r>
      <w:r w:rsidR="00DF66BE">
        <w:rPr>
          <w:rFonts w:ascii="Times New Roman" w:eastAsia="Times New Roman" w:hAnsi="Times New Roman" w:cs="Times New Roman"/>
          <w:color w:val="000000"/>
          <w:sz w:val="24"/>
          <w:szCs w:val="24"/>
        </w:rPr>
        <w:t>defendant in</w:t>
      </w:r>
      <w:r w:rsidRPr="00AB64C4">
        <w:rPr>
          <w:rFonts w:ascii="Times New Roman" w:eastAsia="Times New Roman" w:hAnsi="Times New Roman" w:cs="Times New Roman"/>
          <w:color w:val="000000"/>
          <w:sz w:val="24"/>
          <w:szCs w:val="24"/>
        </w:rPr>
        <w:t xml:space="preserve"> a lawsuit filed</w:t>
      </w:r>
      <w:r w:rsidR="00B229B1">
        <w:rPr>
          <w:rFonts w:ascii="Times New Roman" w:eastAsia="Times New Roman" w:hAnsi="Times New Roman" w:cs="Times New Roman"/>
          <w:color w:val="000000"/>
          <w:sz w:val="24"/>
          <w:szCs w:val="24"/>
        </w:rPr>
        <w:t xml:space="preserve"> by</w:t>
      </w:r>
      <w:r w:rsidRPr="00AB64C4">
        <w:rPr>
          <w:rFonts w:ascii="Times New Roman" w:eastAsia="Times New Roman" w:hAnsi="Times New Roman" w:cs="Times New Roman"/>
          <w:color w:val="000000"/>
          <w:sz w:val="24"/>
          <w:szCs w:val="24"/>
        </w:rPr>
        <w:t xml:space="preserve"> the Minnesota Attorney General. The </w:t>
      </w:r>
      <w:r w:rsidR="00BF7176" w:rsidRPr="00AB64C4">
        <w:rPr>
          <w:rFonts w:ascii="Times New Roman" w:eastAsia="Times New Roman" w:hAnsi="Times New Roman" w:cs="Times New Roman"/>
          <w:color w:val="000000"/>
          <w:sz w:val="24"/>
          <w:szCs w:val="24"/>
        </w:rPr>
        <w:t>lawsuit alleges</w:t>
      </w:r>
      <w:r w:rsidR="00B229B1">
        <w:rPr>
          <w:rFonts w:ascii="Times New Roman" w:eastAsia="Times New Roman" w:hAnsi="Times New Roman" w:cs="Times New Roman"/>
          <w:color w:val="000000"/>
          <w:sz w:val="24"/>
          <w:szCs w:val="24"/>
        </w:rPr>
        <w:t xml:space="preserve"> that</w:t>
      </w:r>
      <w:r w:rsidR="00BF7176" w:rsidRPr="00AB64C4">
        <w:rPr>
          <w:rFonts w:ascii="Times New Roman" w:eastAsia="Times New Roman" w:hAnsi="Times New Roman" w:cs="Times New Roman"/>
          <w:color w:val="000000"/>
          <w:sz w:val="24"/>
          <w:szCs w:val="24"/>
        </w:rPr>
        <w:t xml:space="preserve"> a variety of maneuvers by Meldahl are designed to evade his repair duties and other duties</w:t>
      </w:r>
      <w:r w:rsidR="00B229B1">
        <w:rPr>
          <w:rFonts w:ascii="Times New Roman" w:eastAsia="Times New Roman" w:hAnsi="Times New Roman" w:cs="Times New Roman"/>
          <w:color w:val="000000"/>
          <w:sz w:val="24"/>
          <w:szCs w:val="24"/>
        </w:rPr>
        <w:t>,</w:t>
      </w:r>
      <w:r w:rsidR="00BF7176" w:rsidRPr="00AB64C4">
        <w:rPr>
          <w:rFonts w:ascii="Times New Roman" w:eastAsia="Times New Roman" w:hAnsi="Times New Roman" w:cs="Times New Roman"/>
          <w:color w:val="000000"/>
          <w:sz w:val="24"/>
          <w:szCs w:val="24"/>
        </w:rPr>
        <w:t xml:space="preserve"> and are violations of the </w:t>
      </w:r>
      <w:r w:rsidR="00CE5BC6" w:rsidRPr="00AB64C4">
        <w:rPr>
          <w:rFonts w:ascii="Times New Roman" w:hAnsi="Times New Roman" w:cs="Times New Roman"/>
          <w:sz w:val="24"/>
          <w:szCs w:val="24"/>
        </w:rPr>
        <w:t xml:space="preserve">Minnesota's Prevention of Consumer Fraud Act and other laws. </w:t>
      </w:r>
      <w:r w:rsidR="00AB64C4">
        <w:rPr>
          <w:rFonts w:ascii="Times New Roman" w:hAnsi="Times New Roman" w:cs="Times New Roman"/>
          <w:sz w:val="24"/>
          <w:szCs w:val="24"/>
        </w:rPr>
        <w:t xml:space="preserve">The matter </w:t>
      </w:r>
      <w:r w:rsidR="005B474F">
        <w:rPr>
          <w:rFonts w:ascii="Times New Roman" w:hAnsi="Times New Roman" w:cs="Times New Roman"/>
          <w:sz w:val="24"/>
          <w:szCs w:val="24"/>
        </w:rPr>
        <w:t>went to</w:t>
      </w:r>
      <w:r w:rsidR="00AB64C4">
        <w:rPr>
          <w:rFonts w:ascii="Times New Roman" w:hAnsi="Times New Roman" w:cs="Times New Roman"/>
          <w:sz w:val="24"/>
          <w:szCs w:val="24"/>
        </w:rPr>
        <w:t xml:space="preserve"> trial starting May 17, 2021.</w:t>
      </w:r>
      <w:r w:rsidR="00841AE0">
        <w:rPr>
          <w:rStyle w:val="FootnoteReference"/>
          <w:rFonts w:ascii="Times New Roman" w:hAnsi="Times New Roman" w:cs="Times New Roman"/>
          <w:sz w:val="24"/>
          <w:szCs w:val="24"/>
        </w:rPr>
        <w:footnoteReference w:id="3"/>
      </w:r>
    </w:p>
    <w:p w:rsidR="00AB64C4" w:rsidRDefault="00AB64C4" w:rsidP="00F75FB4">
      <w:pPr>
        <w:shd w:val="clear" w:color="auto" w:fill="FFFFFF"/>
        <w:spacing w:after="0" w:line="240" w:lineRule="auto"/>
        <w:rPr>
          <w:rFonts w:ascii="Times New Roman" w:hAnsi="Times New Roman" w:cs="Times New Roman"/>
          <w:sz w:val="24"/>
          <w:szCs w:val="24"/>
        </w:rPr>
      </w:pPr>
    </w:p>
    <w:p w:rsidR="00F75FB4" w:rsidRPr="00AB64C4" w:rsidRDefault="00F2359E" w:rsidP="00F75FB4">
      <w:pPr>
        <w:shd w:val="clear" w:color="auto" w:fill="FFFFFF"/>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P</w:t>
      </w:r>
      <w:r w:rsidR="00CE5BC6" w:rsidRPr="00AB64C4">
        <w:rPr>
          <w:rFonts w:ascii="Times New Roman" w:hAnsi="Times New Roman" w:cs="Times New Roman"/>
          <w:sz w:val="24"/>
          <w:szCs w:val="24"/>
        </w:rPr>
        <w:t>art of the lawsuit involves this clause</w:t>
      </w:r>
      <w:r w:rsidR="008D69B3">
        <w:rPr>
          <w:rFonts w:ascii="Times New Roman" w:hAnsi="Times New Roman" w:cs="Times New Roman"/>
          <w:sz w:val="24"/>
          <w:szCs w:val="24"/>
        </w:rPr>
        <w:t>,</w:t>
      </w:r>
      <w:r w:rsidR="007F2638">
        <w:rPr>
          <w:rFonts w:ascii="Times New Roman" w:hAnsi="Times New Roman" w:cs="Times New Roman"/>
          <w:sz w:val="24"/>
          <w:szCs w:val="24"/>
        </w:rPr>
        <w:t xml:space="preserve"> which is in al</w:t>
      </w:r>
      <w:r w:rsidR="00BC62AB">
        <w:rPr>
          <w:rFonts w:ascii="Times New Roman" w:hAnsi="Times New Roman" w:cs="Times New Roman"/>
          <w:sz w:val="24"/>
          <w:szCs w:val="24"/>
        </w:rPr>
        <w:t xml:space="preserve">l of </w:t>
      </w:r>
      <w:r w:rsidR="007F2638">
        <w:rPr>
          <w:rFonts w:ascii="Times New Roman" w:hAnsi="Times New Roman" w:cs="Times New Roman"/>
          <w:sz w:val="24"/>
          <w:szCs w:val="24"/>
        </w:rPr>
        <w:t>Meldahl’</w:t>
      </w:r>
      <w:r w:rsidR="00CE5BC6" w:rsidRPr="00AB64C4">
        <w:rPr>
          <w:rFonts w:ascii="Times New Roman" w:hAnsi="Times New Roman" w:cs="Times New Roman"/>
          <w:sz w:val="24"/>
          <w:szCs w:val="24"/>
        </w:rPr>
        <w:t>s leases:</w:t>
      </w:r>
    </w:p>
    <w:p w:rsidR="00E847DD" w:rsidRPr="000948A1" w:rsidRDefault="00E847DD" w:rsidP="00E847DD">
      <w:pPr>
        <w:autoSpaceDE w:val="0"/>
        <w:autoSpaceDN w:val="0"/>
        <w:adjustRightInd w:val="0"/>
        <w:spacing w:after="0" w:line="240" w:lineRule="auto"/>
        <w:rPr>
          <w:rFonts w:ascii="Times New Roman" w:hAnsi="Times New Roman" w:cs="Times New Roman"/>
          <w:sz w:val="24"/>
          <w:szCs w:val="24"/>
        </w:rPr>
      </w:pPr>
    </w:p>
    <w:p w:rsidR="009E6B6F" w:rsidRDefault="009E6B6F" w:rsidP="00873A32">
      <w:pPr>
        <w:autoSpaceDE w:val="0"/>
        <w:autoSpaceDN w:val="0"/>
        <w:adjustRightInd w:val="0"/>
        <w:spacing w:after="0" w:line="240" w:lineRule="auto"/>
        <w:ind w:left="720"/>
        <w:rPr>
          <w:rFonts w:ascii="Times New Roman" w:hAnsi="Times New Roman" w:cs="Times New Roman"/>
          <w:sz w:val="24"/>
          <w:szCs w:val="24"/>
        </w:rPr>
      </w:pPr>
      <w:r w:rsidRPr="00777FC7">
        <w:rPr>
          <w:rFonts w:ascii="Times New Roman" w:hAnsi="Times New Roman" w:cs="Times New Roman"/>
          <w:sz w:val="24"/>
          <w:szCs w:val="24"/>
        </w:rPr>
        <w:t>¶2</w:t>
      </w:r>
      <w:r w:rsidR="00443D41">
        <w:rPr>
          <w:rFonts w:ascii="Times New Roman" w:hAnsi="Times New Roman" w:cs="Times New Roman"/>
          <w:sz w:val="24"/>
          <w:szCs w:val="24"/>
        </w:rPr>
        <w:t>6</w:t>
      </w:r>
      <w:r w:rsidRPr="00777FC7">
        <w:rPr>
          <w:rFonts w:ascii="Times New Roman" w:hAnsi="Times New Roman" w:cs="Times New Roman"/>
          <w:sz w:val="24"/>
          <w:szCs w:val="24"/>
        </w:rPr>
        <w:t xml:space="preserve"> </w:t>
      </w:r>
      <w:r w:rsidRPr="00777FC7">
        <w:rPr>
          <w:rFonts w:ascii="Times New Roman" w:hAnsi="Times New Roman" w:cs="Times New Roman"/>
          <w:sz w:val="24"/>
          <w:szCs w:val="24"/>
          <w:lang w:val="en-CA"/>
        </w:rPr>
        <w:fldChar w:fldCharType="begin"/>
      </w:r>
      <w:r w:rsidRPr="00777FC7">
        <w:rPr>
          <w:rFonts w:ascii="Times New Roman" w:hAnsi="Times New Roman" w:cs="Times New Roman"/>
          <w:sz w:val="24"/>
          <w:szCs w:val="24"/>
          <w:lang w:val="en-CA"/>
        </w:rPr>
        <w:instrText xml:space="preserve"> SEQ CHAPTER \h \r 1</w:instrText>
      </w:r>
      <w:r w:rsidRPr="00777FC7">
        <w:rPr>
          <w:rFonts w:ascii="Times New Roman" w:hAnsi="Times New Roman" w:cs="Times New Roman"/>
          <w:sz w:val="24"/>
          <w:szCs w:val="24"/>
          <w:lang w:val="en-CA"/>
        </w:rPr>
        <w:fldChar w:fldCharType="end"/>
      </w:r>
      <w:r w:rsidRPr="00777FC7">
        <w:rPr>
          <w:rFonts w:ascii="Times New Roman" w:hAnsi="Times New Roman" w:cs="Times New Roman"/>
          <w:sz w:val="24"/>
          <w:szCs w:val="24"/>
        </w:rPr>
        <w:t xml:space="preserve">Tenant must carry the basic plan of Service Plus with </w:t>
      </w:r>
      <w:r w:rsidR="0066496E">
        <w:rPr>
          <w:rFonts w:ascii="Times New Roman" w:hAnsi="Times New Roman" w:cs="Times New Roman"/>
          <w:sz w:val="24"/>
          <w:szCs w:val="24"/>
        </w:rPr>
        <w:t>CenterPoint</w:t>
      </w:r>
      <w:r w:rsidRPr="00777FC7">
        <w:rPr>
          <w:rFonts w:ascii="Times New Roman" w:hAnsi="Times New Roman" w:cs="Times New Roman"/>
          <w:sz w:val="24"/>
          <w:szCs w:val="24"/>
        </w:rPr>
        <w:t xml:space="preserve"> Energy or a comparable policy with an appliance service company to cover the main sewer line and all appliances for the full term of the lease and the rental rate has been adjusted to compensate t</w:t>
      </w:r>
      <w:r w:rsidR="00AB64C4" w:rsidRPr="00777FC7">
        <w:rPr>
          <w:rFonts w:ascii="Times New Roman" w:hAnsi="Times New Roman" w:cs="Times New Roman"/>
          <w:sz w:val="24"/>
          <w:szCs w:val="24"/>
        </w:rPr>
        <w:t>he tenant for this requirement.</w:t>
      </w:r>
      <w:r w:rsidR="00F92862">
        <w:rPr>
          <w:rStyle w:val="FootnoteReference"/>
          <w:rFonts w:ascii="Times New Roman" w:hAnsi="Times New Roman" w:cs="Times New Roman"/>
          <w:sz w:val="24"/>
          <w:szCs w:val="24"/>
        </w:rPr>
        <w:footnoteReference w:id="4"/>
      </w:r>
    </w:p>
    <w:p w:rsidR="00F92862" w:rsidRDefault="00F92862" w:rsidP="00873A32">
      <w:pPr>
        <w:autoSpaceDE w:val="0"/>
        <w:autoSpaceDN w:val="0"/>
        <w:adjustRightInd w:val="0"/>
        <w:spacing w:after="0" w:line="240" w:lineRule="auto"/>
        <w:ind w:left="720"/>
        <w:rPr>
          <w:rFonts w:ascii="Times New Roman" w:hAnsi="Times New Roman" w:cs="Times New Roman"/>
          <w:sz w:val="24"/>
          <w:szCs w:val="24"/>
        </w:rPr>
      </w:pPr>
    </w:p>
    <w:p w:rsidR="00A1175E" w:rsidRDefault="00F92862" w:rsidP="00A1175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One such lease</w:t>
      </w:r>
      <w:r w:rsidR="00A4794E">
        <w:rPr>
          <w:rFonts w:ascii="Times New Roman" w:hAnsi="Times New Roman" w:cs="Times New Roman"/>
          <w:sz w:val="24"/>
          <w:szCs w:val="24"/>
        </w:rPr>
        <w:t>, the Meldahl-Martin lease,</w:t>
      </w:r>
      <w:r>
        <w:rPr>
          <w:rFonts w:ascii="Times New Roman" w:hAnsi="Times New Roman" w:cs="Times New Roman"/>
          <w:sz w:val="24"/>
          <w:szCs w:val="24"/>
        </w:rPr>
        <w:t xml:space="preserve"> is </w:t>
      </w:r>
      <w:r w:rsidR="00DA30F1">
        <w:rPr>
          <w:rFonts w:ascii="Times New Roman" w:hAnsi="Times New Roman" w:cs="Times New Roman"/>
          <w:sz w:val="24"/>
          <w:szCs w:val="24"/>
        </w:rPr>
        <w:t>displayed</w:t>
      </w:r>
      <w:r>
        <w:rPr>
          <w:rFonts w:ascii="Times New Roman" w:hAnsi="Times New Roman" w:cs="Times New Roman"/>
          <w:sz w:val="24"/>
          <w:szCs w:val="24"/>
        </w:rPr>
        <w:t xml:space="preserve"> </w:t>
      </w:r>
      <w:r w:rsidR="00DF66BE" w:rsidRPr="001719AE">
        <w:rPr>
          <w:rFonts w:ascii="Times New Roman" w:hAnsi="Times New Roman" w:cs="Times New Roman"/>
          <w:sz w:val="24"/>
          <w:szCs w:val="24"/>
        </w:rPr>
        <w:t xml:space="preserve">in </w:t>
      </w:r>
      <w:hyperlink r:id="rId9" w:history="1">
        <w:r w:rsidR="00DF66BE" w:rsidRPr="001719AE">
          <w:rPr>
            <w:rStyle w:val="Hyperlink"/>
            <w:rFonts w:ascii="Times New Roman" w:hAnsi="Times New Roman" w:cs="Times New Roman"/>
            <w:sz w:val="24"/>
            <w:szCs w:val="24"/>
          </w:rPr>
          <w:t>Appendix 1</w:t>
        </w:r>
      </w:hyperlink>
      <w:r w:rsidRPr="001719AE">
        <w:rPr>
          <w:rFonts w:ascii="Times New Roman" w:hAnsi="Times New Roman" w:cs="Times New Roman"/>
          <w:sz w:val="24"/>
          <w:szCs w:val="24"/>
        </w:rPr>
        <w:t>.</w:t>
      </w:r>
      <w:r w:rsidRPr="001719AE">
        <w:rPr>
          <w:rStyle w:val="FootnoteReference"/>
          <w:rFonts w:ascii="Times New Roman" w:hAnsi="Times New Roman" w:cs="Times New Roman"/>
          <w:sz w:val="24"/>
          <w:szCs w:val="24"/>
        </w:rPr>
        <w:footnoteReference w:id="5"/>
      </w:r>
      <w:r w:rsidR="00A1175E">
        <w:rPr>
          <w:rFonts w:ascii="Times New Roman" w:hAnsi="Times New Roman" w:cs="Times New Roman"/>
          <w:sz w:val="24"/>
          <w:szCs w:val="24"/>
        </w:rPr>
        <w:t xml:space="preserve"> </w:t>
      </w:r>
      <w:r w:rsidR="00A1175E" w:rsidRPr="00631A72">
        <w:rPr>
          <w:rFonts w:ascii="Times New Roman" w:hAnsi="Times New Roman" w:cs="Times New Roman"/>
          <w:sz w:val="24"/>
          <w:szCs w:val="24"/>
        </w:rPr>
        <w:t>Although i</w:t>
      </w:r>
      <w:r w:rsidR="00A1175E">
        <w:rPr>
          <w:rFonts w:ascii="Times New Roman" w:hAnsi="Times New Roman" w:cs="Times New Roman"/>
          <w:sz w:val="24"/>
          <w:szCs w:val="24"/>
        </w:rPr>
        <w:t>t doesn’t say so explicitly, ¶26</w:t>
      </w:r>
      <w:r w:rsidR="00A1175E" w:rsidRPr="00631A72">
        <w:rPr>
          <w:rFonts w:ascii="Times New Roman" w:hAnsi="Times New Roman" w:cs="Times New Roman"/>
          <w:sz w:val="24"/>
          <w:szCs w:val="24"/>
        </w:rPr>
        <w:t xml:space="preserve"> indicates that the tenant is required not just to buy Service Plus or a similar policy but to use it to fix the appliances and sewer line (hereafter, just “appliances”) if they b</w:t>
      </w:r>
      <w:r w:rsidR="00A1175E">
        <w:rPr>
          <w:rFonts w:ascii="Times New Roman" w:hAnsi="Times New Roman" w:cs="Times New Roman"/>
          <w:sz w:val="24"/>
          <w:szCs w:val="24"/>
        </w:rPr>
        <w:t>reak down</w:t>
      </w:r>
      <w:r w:rsidR="00A1175E" w:rsidRPr="00631A72">
        <w:rPr>
          <w:rFonts w:ascii="Times New Roman" w:hAnsi="Times New Roman" w:cs="Times New Roman"/>
          <w:sz w:val="24"/>
          <w:szCs w:val="24"/>
        </w:rPr>
        <w:t>.</w:t>
      </w:r>
      <w:r w:rsidR="00A1175E" w:rsidRPr="00631A72">
        <w:rPr>
          <w:rStyle w:val="FootnoteReference"/>
          <w:rFonts w:ascii="Times New Roman" w:hAnsi="Times New Roman" w:cs="Times New Roman"/>
          <w:sz w:val="24"/>
          <w:szCs w:val="24"/>
        </w:rPr>
        <w:footnoteReference w:id="6"/>
      </w:r>
    </w:p>
    <w:p w:rsidR="00777FC7" w:rsidRDefault="00777FC7" w:rsidP="00873A32">
      <w:pPr>
        <w:autoSpaceDE w:val="0"/>
        <w:autoSpaceDN w:val="0"/>
        <w:adjustRightInd w:val="0"/>
        <w:spacing w:after="0" w:line="240" w:lineRule="auto"/>
        <w:ind w:left="720"/>
        <w:rPr>
          <w:rFonts w:ascii="Georgia" w:hAnsi="Georgia" w:cs="Times New Roman"/>
        </w:rPr>
      </w:pPr>
    </w:p>
    <w:p w:rsidR="00777FC7" w:rsidRPr="00777FC7" w:rsidRDefault="00777FC7" w:rsidP="00777FC7">
      <w:pPr>
        <w:autoSpaceDE w:val="0"/>
        <w:autoSpaceDN w:val="0"/>
        <w:adjustRightInd w:val="0"/>
        <w:spacing w:after="0" w:line="240" w:lineRule="auto"/>
        <w:rPr>
          <w:rFonts w:ascii="Times New Roman" w:hAnsi="Times New Roman" w:cs="Times New Roman"/>
          <w:sz w:val="24"/>
          <w:szCs w:val="24"/>
        </w:rPr>
      </w:pPr>
      <w:r w:rsidRPr="00777FC7">
        <w:rPr>
          <w:rFonts w:ascii="Times New Roman" w:hAnsi="Times New Roman" w:cs="Times New Roman"/>
          <w:sz w:val="24"/>
          <w:szCs w:val="24"/>
        </w:rPr>
        <w:t>The trial court entered partial summary judgment that the mere inclusion of this clause in the lease did not violate Minn. Stat. § 504B.161 but left for trial whether the clause is enforceable and whether it thereby represents part of Meldahl’s violation of the Consumer Fraud Act.</w:t>
      </w:r>
      <w:r w:rsidR="00A1175E" w:rsidRPr="00A1175E">
        <w:rPr>
          <w:rStyle w:val="FootnoteReference"/>
          <w:rFonts w:ascii="Times New Roman" w:hAnsi="Times New Roman" w:cs="Times New Roman"/>
          <w:sz w:val="24"/>
          <w:szCs w:val="24"/>
        </w:rPr>
        <w:t xml:space="preserve"> </w:t>
      </w:r>
      <w:r w:rsidR="00A1175E">
        <w:rPr>
          <w:rStyle w:val="FootnoteReference"/>
          <w:rFonts w:ascii="Times New Roman" w:hAnsi="Times New Roman" w:cs="Times New Roman"/>
          <w:sz w:val="24"/>
          <w:szCs w:val="24"/>
        </w:rPr>
        <w:footnoteReference w:id="7"/>
      </w:r>
    </w:p>
    <w:p w:rsidR="00873A32" w:rsidRPr="00873A32" w:rsidRDefault="00873A32" w:rsidP="00873A32">
      <w:pPr>
        <w:autoSpaceDE w:val="0"/>
        <w:autoSpaceDN w:val="0"/>
        <w:adjustRightInd w:val="0"/>
        <w:spacing w:after="0" w:line="240" w:lineRule="auto"/>
        <w:ind w:left="720"/>
        <w:rPr>
          <w:rFonts w:ascii="Georgia" w:hAnsi="Georgia" w:cs="Times New Roman"/>
        </w:rPr>
      </w:pPr>
    </w:p>
    <w:p w:rsidR="00204131" w:rsidRDefault="00204131" w:rsidP="009E6B6F">
      <w:pPr>
        <w:autoSpaceDE w:val="0"/>
        <w:autoSpaceDN w:val="0"/>
        <w:adjustRightInd w:val="0"/>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Some Service-Plus clauses can be enforceable but not </w:t>
      </w:r>
      <w:r w:rsidRPr="00204131">
        <w:rPr>
          <w:rFonts w:ascii="Georgia" w:hAnsi="Georgia" w:cs="Times New Roman"/>
          <w:u w:val="single"/>
        </w:rPr>
        <w:t xml:space="preserve">¶26 </w:t>
      </w:r>
      <w:r w:rsidR="00E25BD4" w:rsidRPr="00204131">
        <w:rPr>
          <w:rFonts w:ascii="Times New Roman" w:hAnsi="Times New Roman" w:cs="Times New Roman"/>
          <w:sz w:val="24"/>
          <w:szCs w:val="24"/>
          <w:u w:val="single"/>
        </w:rPr>
        <w:t xml:space="preserve"> </w:t>
      </w:r>
    </w:p>
    <w:p w:rsidR="00204131" w:rsidRDefault="00204131" w:rsidP="009E6B6F">
      <w:pPr>
        <w:autoSpaceDE w:val="0"/>
        <w:autoSpaceDN w:val="0"/>
        <w:adjustRightInd w:val="0"/>
        <w:spacing w:after="0" w:line="240" w:lineRule="auto"/>
        <w:rPr>
          <w:rFonts w:ascii="Times New Roman" w:hAnsi="Times New Roman" w:cs="Times New Roman"/>
          <w:sz w:val="24"/>
          <w:szCs w:val="24"/>
          <w:u w:val="single"/>
        </w:rPr>
      </w:pPr>
    </w:p>
    <w:p w:rsidR="005A6D28" w:rsidRPr="005A6D28" w:rsidRDefault="005A6D28" w:rsidP="00AF4827">
      <w:pPr>
        <w:shd w:val="clear" w:color="auto" w:fill="FFFFFF"/>
        <w:spacing w:after="0" w:line="240" w:lineRule="auto"/>
        <w:rPr>
          <w:rFonts w:ascii="Times New Roman" w:hAnsi="Times New Roman" w:cs="Times New Roman"/>
          <w:sz w:val="24"/>
          <w:szCs w:val="24"/>
          <w:u w:val="single"/>
        </w:rPr>
      </w:pPr>
      <w:r>
        <w:rPr>
          <w:rFonts w:ascii="Times New Roman" w:eastAsia="Times New Roman" w:hAnsi="Times New Roman" w:cs="Times New Roman"/>
          <w:color w:val="000000"/>
          <w:sz w:val="24"/>
          <w:szCs w:val="24"/>
        </w:rPr>
        <w:tab/>
      </w:r>
      <w:r w:rsidRPr="005A6D28">
        <w:rPr>
          <w:rFonts w:ascii="Times New Roman" w:eastAsia="Times New Roman" w:hAnsi="Times New Roman" w:cs="Times New Roman"/>
          <w:color w:val="000000"/>
          <w:sz w:val="24"/>
          <w:szCs w:val="24"/>
          <w:u w:val="single"/>
        </w:rPr>
        <w:t xml:space="preserve">The two prongs in </w:t>
      </w:r>
      <w:r w:rsidRPr="005A6D28">
        <w:rPr>
          <w:rFonts w:ascii="Times New Roman" w:hAnsi="Times New Roman" w:cs="Times New Roman"/>
          <w:sz w:val="24"/>
          <w:szCs w:val="24"/>
          <w:u w:val="single"/>
        </w:rPr>
        <w:t xml:space="preserve">Minn. Stat. § 504B.161, subd. 2 and </w:t>
      </w:r>
      <w:r w:rsidR="00C81BD4">
        <w:rPr>
          <w:rFonts w:ascii="Times New Roman" w:hAnsi="Times New Roman" w:cs="Times New Roman"/>
          <w:sz w:val="24"/>
          <w:szCs w:val="24"/>
          <w:u w:val="single"/>
        </w:rPr>
        <w:t>its</w:t>
      </w:r>
      <w:r w:rsidRPr="005A6D28">
        <w:rPr>
          <w:rFonts w:ascii="Times New Roman" w:hAnsi="Times New Roman" w:cs="Times New Roman"/>
          <w:sz w:val="24"/>
          <w:szCs w:val="24"/>
          <w:u w:val="single"/>
        </w:rPr>
        <w:t xml:space="preserve"> three technical phrases</w:t>
      </w:r>
    </w:p>
    <w:p w:rsidR="005A6D28" w:rsidRDefault="005A6D28" w:rsidP="00AF4827">
      <w:pPr>
        <w:shd w:val="clear" w:color="auto" w:fill="FFFFFF"/>
        <w:spacing w:after="0" w:line="240" w:lineRule="auto"/>
        <w:rPr>
          <w:rFonts w:ascii="Times New Roman" w:eastAsia="Times New Roman" w:hAnsi="Times New Roman" w:cs="Times New Roman"/>
          <w:color w:val="000000"/>
          <w:sz w:val="24"/>
          <w:szCs w:val="24"/>
        </w:rPr>
      </w:pPr>
    </w:p>
    <w:p w:rsidR="00D768B2" w:rsidRDefault="00631A72" w:rsidP="00AF4827">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Per the sentences </w:t>
      </w:r>
      <w:r w:rsidR="00446C43">
        <w:rPr>
          <w:rFonts w:ascii="Times New Roman" w:eastAsia="Times New Roman" w:hAnsi="Times New Roman" w:cs="Times New Roman"/>
          <w:color w:val="000000"/>
          <w:sz w:val="24"/>
          <w:szCs w:val="24"/>
        </w:rPr>
        <w:t xml:space="preserve">in </w:t>
      </w:r>
      <w:r w:rsidR="00446C43" w:rsidRPr="00777FC7">
        <w:rPr>
          <w:rFonts w:ascii="Times New Roman" w:hAnsi="Times New Roman" w:cs="Times New Roman"/>
          <w:sz w:val="24"/>
          <w:szCs w:val="24"/>
        </w:rPr>
        <w:t xml:space="preserve">Minn. Stat. § 504B.161 </w:t>
      </w:r>
      <w:r w:rsidR="005A6D28">
        <w:rPr>
          <w:rFonts w:ascii="Times New Roman" w:hAnsi="Times New Roman" w:cs="Times New Roman"/>
          <w:sz w:val="24"/>
          <w:szCs w:val="24"/>
        </w:rPr>
        <w:t xml:space="preserve">which are </w:t>
      </w:r>
      <w:r w:rsidR="00446C43">
        <w:rPr>
          <w:rFonts w:ascii="Times New Roman" w:eastAsia="Times New Roman" w:hAnsi="Times New Roman" w:cs="Times New Roman"/>
          <w:color w:val="000000"/>
          <w:sz w:val="24"/>
          <w:szCs w:val="24"/>
        </w:rPr>
        <w:t xml:space="preserve">underlined </w:t>
      </w:r>
      <w:r>
        <w:rPr>
          <w:rFonts w:ascii="Times New Roman" w:eastAsia="Times New Roman" w:hAnsi="Times New Roman" w:cs="Times New Roman"/>
          <w:color w:val="000000"/>
          <w:sz w:val="24"/>
          <w:szCs w:val="24"/>
        </w:rPr>
        <w:t>above</w:t>
      </w:r>
      <w:r w:rsidR="00AF4827" w:rsidRPr="00D768B2">
        <w:rPr>
          <w:rFonts w:ascii="Times New Roman" w:eastAsia="Times New Roman" w:hAnsi="Times New Roman" w:cs="Times New Roman"/>
          <w:color w:val="000000"/>
          <w:sz w:val="24"/>
          <w:szCs w:val="24"/>
        </w:rPr>
        <w:t xml:space="preserve">, the residential landlord is ultimately responsible to maintain the appliances even if the tenant under </w:t>
      </w:r>
      <w:r w:rsidR="00446C43">
        <w:rPr>
          <w:rFonts w:ascii="Times New Roman" w:hAnsi="Times New Roman" w:cs="Times New Roman"/>
          <w:sz w:val="24"/>
          <w:szCs w:val="24"/>
        </w:rPr>
        <w:t>¶26</w:t>
      </w:r>
      <w:r w:rsidR="00AF4827" w:rsidRPr="00D768B2">
        <w:rPr>
          <w:rFonts w:ascii="Times New Roman" w:hAnsi="Times New Roman" w:cs="Times New Roman"/>
          <w:sz w:val="24"/>
          <w:szCs w:val="24"/>
        </w:rPr>
        <w:t xml:space="preserve"> also </w:t>
      </w:r>
      <w:r w:rsidR="00D768B2">
        <w:rPr>
          <w:rFonts w:ascii="Times New Roman" w:hAnsi="Times New Roman" w:cs="Times New Roman"/>
          <w:sz w:val="24"/>
          <w:szCs w:val="24"/>
        </w:rPr>
        <w:t>were</w:t>
      </w:r>
      <w:r w:rsidR="00AF4827" w:rsidRPr="00D768B2">
        <w:rPr>
          <w:rFonts w:ascii="Times New Roman" w:hAnsi="Times New Roman" w:cs="Times New Roman"/>
          <w:sz w:val="24"/>
          <w:szCs w:val="24"/>
        </w:rPr>
        <w:t xml:space="preserve"> responsible for their repair.</w:t>
      </w:r>
      <w:r>
        <w:rPr>
          <w:rFonts w:ascii="Times New Roman" w:hAnsi="Times New Roman" w:cs="Times New Roman"/>
          <w:sz w:val="24"/>
          <w:szCs w:val="24"/>
        </w:rPr>
        <w:t xml:space="preserve"> However, does </w:t>
      </w:r>
      <w:r w:rsidR="00446C43">
        <w:rPr>
          <w:rFonts w:ascii="Times New Roman" w:hAnsi="Times New Roman" w:cs="Times New Roman"/>
          <w:sz w:val="24"/>
          <w:szCs w:val="24"/>
        </w:rPr>
        <w:t>¶26</w:t>
      </w:r>
      <w:r>
        <w:rPr>
          <w:rFonts w:ascii="Times New Roman" w:hAnsi="Times New Roman" w:cs="Times New Roman"/>
          <w:sz w:val="24"/>
          <w:szCs w:val="24"/>
        </w:rPr>
        <w:t xml:space="preserve"> successfully require tenant maintenance of the appliances?</w:t>
      </w:r>
    </w:p>
    <w:p w:rsidR="00631A72" w:rsidRDefault="00631A72" w:rsidP="00AF4827">
      <w:pPr>
        <w:shd w:val="clear" w:color="auto" w:fill="FFFFFF"/>
        <w:spacing w:after="0" w:line="240" w:lineRule="auto"/>
        <w:rPr>
          <w:rFonts w:ascii="Times New Roman" w:hAnsi="Times New Roman" w:cs="Times New Roman"/>
          <w:sz w:val="24"/>
          <w:szCs w:val="24"/>
        </w:rPr>
      </w:pPr>
    </w:p>
    <w:p w:rsidR="00631A72" w:rsidRDefault="005A6D28" w:rsidP="00AF4827">
      <w:pPr>
        <w:shd w:val="clear" w:color="auto" w:fill="FFFFFF"/>
        <w:spacing w:after="0" w:line="240" w:lineRule="auto"/>
        <w:rPr>
          <w:rFonts w:ascii="Times New Roman" w:hAnsi="Times New Roman" w:cs="Times New Roman"/>
          <w:sz w:val="24"/>
          <w:szCs w:val="24"/>
        </w:rPr>
      </w:pPr>
      <w:r w:rsidRPr="00777FC7">
        <w:rPr>
          <w:rFonts w:ascii="Times New Roman" w:hAnsi="Times New Roman" w:cs="Times New Roman"/>
          <w:sz w:val="24"/>
          <w:szCs w:val="24"/>
        </w:rPr>
        <w:t>Minn. Stat. § 504B.1</w:t>
      </w:r>
      <w:r>
        <w:rPr>
          <w:rFonts w:ascii="Times New Roman" w:hAnsi="Times New Roman" w:cs="Times New Roman"/>
          <w:sz w:val="24"/>
          <w:szCs w:val="24"/>
        </w:rPr>
        <w:t xml:space="preserve">61, </w:t>
      </w:r>
      <w:r w:rsidR="00631A72">
        <w:rPr>
          <w:rFonts w:ascii="Times New Roman" w:hAnsi="Times New Roman" w:cs="Times New Roman"/>
          <w:sz w:val="24"/>
          <w:szCs w:val="24"/>
        </w:rPr>
        <w:t>subd</w:t>
      </w:r>
      <w:r>
        <w:rPr>
          <w:rFonts w:ascii="Times New Roman" w:hAnsi="Times New Roman" w:cs="Times New Roman"/>
          <w:sz w:val="24"/>
          <w:szCs w:val="24"/>
        </w:rPr>
        <w:t xml:space="preserve">. </w:t>
      </w:r>
      <w:r w:rsidR="00631A72">
        <w:rPr>
          <w:rFonts w:ascii="Times New Roman" w:hAnsi="Times New Roman" w:cs="Times New Roman"/>
          <w:sz w:val="24"/>
          <w:szCs w:val="24"/>
        </w:rPr>
        <w:t xml:space="preserve">2, </w:t>
      </w:r>
      <w:r>
        <w:rPr>
          <w:rFonts w:ascii="Times New Roman" w:hAnsi="Times New Roman" w:cs="Times New Roman"/>
          <w:sz w:val="24"/>
          <w:szCs w:val="24"/>
        </w:rPr>
        <w:t xml:space="preserve">has </w:t>
      </w:r>
      <w:r w:rsidR="00631A72">
        <w:rPr>
          <w:rFonts w:ascii="Times New Roman" w:hAnsi="Times New Roman" w:cs="Times New Roman"/>
          <w:sz w:val="24"/>
          <w:szCs w:val="24"/>
        </w:rPr>
        <w:t xml:space="preserve">two prongs: [i] The “agreement” in </w:t>
      </w:r>
      <w:r>
        <w:rPr>
          <w:rFonts w:ascii="Times New Roman" w:hAnsi="Times New Roman" w:cs="Times New Roman"/>
          <w:sz w:val="24"/>
          <w:szCs w:val="24"/>
        </w:rPr>
        <w:t>¶26</w:t>
      </w:r>
      <w:r w:rsidR="00631A72">
        <w:rPr>
          <w:rFonts w:ascii="Times New Roman" w:hAnsi="Times New Roman" w:cs="Times New Roman"/>
          <w:sz w:val="24"/>
          <w:szCs w:val="24"/>
        </w:rPr>
        <w:t xml:space="preserve"> must be set forth in a </w:t>
      </w:r>
      <w:r w:rsidR="001C5D25">
        <w:rPr>
          <w:rFonts w:ascii="Times New Roman" w:hAnsi="Times New Roman" w:cs="Times New Roman"/>
          <w:sz w:val="24"/>
          <w:szCs w:val="24"/>
        </w:rPr>
        <w:t>“</w:t>
      </w:r>
      <w:r w:rsidR="00631A72">
        <w:rPr>
          <w:rFonts w:ascii="Times New Roman" w:hAnsi="Times New Roman" w:cs="Times New Roman"/>
          <w:sz w:val="24"/>
          <w:szCs w:val="24"/>
        </w:rPr>
        <w:t>conspicuous writing</w:t>
      </w:r>
      <w:r w:rsidR="001C5D25">
        <w:rPr>
          <w:rFonts w:ascii="Times New Roman" w:hAnsi="Times New Roman" w:cs="Times New Roman"/>
          <w:sz w:val="24"/>
          <w:szCs w:val="24"/>
        </w:rPr>
        <w:t>”</w:t>
      </w:r>
      <w:r w:rsidR="00954CAE">
        <w:rPr>
          <w:rFonts w:ascii="Times New Roman" w:hAnsi="Times New Roman" w:cs="Times New Roman"/>
          <w:sz w:val="24"/>
          <w:szCs w:val="24"/>
        </w:rPr>
        <w:t>; and [ii] t</w:t>
      </w:r>
      <w:r w:rsidR="00631A72">
        <w:rPr>
          <w:rFonts w:ascii="Times New Roman" w:hAnsi="Times New Roman" w:cs="Times New Roman"/>
          <w:sz w:val="24"/>
          <w:szCs w:val="24"/>
        </w:rPr>
        <w:t xml:space="preserve">he “agreement” must be supported by </w:t>
      </w:r>
      <w:r w:rsidR="001C5D25">
        <w:rPr>
          <w:rFonts w:ascii="Times New Roman" w:hAnsi="Times New Roman" w:cs="Times New Roman"/>
          <w:sz w:val="24"/>
          <w:szCs w:val="24"/>
        </w:rPr>
        <w:t>“</w:t>
      </w:r>
      <w:r w:rsidR="00631A72">
        <w:rPr>
          <w:rFonts w:ascii="Times New Roman" w:hAnsi="Times New Roman" w:cs="Times New Roman"/>
          <w:sz w:val="24"/>
          <w:szCs w:val="24"/>
        </w:rPr>
        <w:t>adequate consideration</w:t>
      </w:r>
      <w:r w:rsidR="001C5D25">
        <w:rPr>
          <w:rFonts w:ascii="Times New Roman" w:hAnsi="Times New Roman" w:cs="Times New Roman"/>
          <w:sz w:val="24"/>
          <w:szCs w:val="24"/>
        </w:rPr>
        <w:t>”</w:t>
      </w:r>
      <w:r w:rsidR="00631A72">
        <w:rPr>
          <w:rFonts w:ascii="Times New Roman" w:hAnsi="Times New Roman" w:cs="Times New Roman"/>
          <w:sz w:val="24"/>
          <w:szCs w:val="24"/>
        </w:rPr>
        <w:t>.</w:t>
      </w:r>
    </w:p>
    <w:p w:rsidR="00820583" w:rsidRDefault="00820583" w:rsidP="00AF4827">
      <w:pPr>
        <w:shd w:val="clear" w:color="auto" w:fill="FFFFFF"/>
        <w:spacing w:after="0" w:line="240" w:lineRule="auto"/>
        <w:rPr>
          <w:rFonts w:ascii="Times New Roman" w:hAnsi="Times New Roman" w:cs="Times New Roman"/>
          <w:sz w:val="24"/>
          <w:szCs w:val="24"/>
        </w:rPr>
      </w:pPr>
    </w:p>
    <w:p w:rsidR="00B64CEF" w:rsidRDefault="00B64CEF" w:rsidP="00AF4827">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None of the</w:t>
      </w:r>
      <w:r w:rsidR="00954CAE">
        <w:rPr>
          <w:rFonts w:ascii="Times New Roman" w:hAnsi="Times New Roman" w:cs="Times New Roman"/>
          <w:sz w:val="24"/>
          <w:szCs w:val="24"/>
        </w:rPr>
        <w:t>se</w:t>
      </w:r>
      <w:r>
        <w:rPr>
          <w:rFonts w:ascii="Times New Roman" w:hAnsi="Times New Roman" w:cs="Times New Roman"/>
          <w:sz w:val="24"/>
          <w:szCs w:val="24"/>
        </w:rPr>
        <w:t xml:space="preserve"> three quoted phrases </w:t>
      </w:r>
      <w:r w:rsidR="00BD408A">
        <w:rPr>
          <w:rFonts w:ascii="Times New Roman" w:hAnsi="Times New Roman" w:cs="Times New Roman"/>
          <w:sz w:val="24"/>
          <w:szCs w:val="24"/>
        </w:rPr>
        <w:t>– “conspicuous writing”, “adequate consideration”</w:t>
      </w:r>
      <w:r w:rsidR="000E6370">
        <w:rPr>
          <w:rFonts w:ascii="Times New Roman" w:hAnsi="Times New Roman" w:cs="Times New Roman"/>
          <w:sz w:val="24"/>
          <w:szCs w:val="24"/>
        </w:rPr>
        <w:t xml:space="preserve"> and “agreement” </w:t>
      </w:r>
      <w:r w:rsidR="00BD408A">
        <w:rPr>
          <w:rFonts w:ascii="Times New Roman" w:hAnsi="Times New Roman" w:cs="Times New Roman"/>
          <w:sz w:val="24"/>
          <w:szCs w:val="24"/>
        </w:rPr>
        <w:t xml:space="preserve">-- </w:t>
      </w:r>
      <w:r>
        <w:rPr>
          <w:rFonts w:ascii="Times New Roman" w:hAnsi="Times New Roman" w:cs="Times New Roman"/>
          <w:sz w:val="24"/>
          <w:szCs w:val="24"/>
        </w:rPr>
        <w:t xml:space="preserve">are defined in either </w:t>
      </w:r>
      <w:hyperlink r:id="rId10" w:history="1">
        <w:r w:rsidRPr="00B64CEF">
          <w:rPr>
            <w:rStyle w:val="Hyperlink"/>
            <w:rFonts w:ascii="Times New Roman" w:hAnsi="Times New Roman" w:cs="Times New Roman"/>
            <w:sz w:val="24"/>
            <w:szCs w:val="24"/>
          </w:rPr>
          <w:t>Minn. Stat. Chap. 504B</w:t>
        </w:r>
      </w:hyperlink>
      <w:r>
        <w:rPr>
          <w:rFonts w:ascii="Times New Roman" w:hAnsi="Times New Roman" w:cs="Times New Roman"/>
          <w:sz w:val="24"/>
          <w:szCs w:val="24"/>
        </w:rPr>
        <w:t xml:space="preserve"> or </w:t>
      </w:r>
      <w:hyperlink r:id="rId11" w:history="1">
        <w:r w:rsidRPr="00B64CEF">
          <w:rPr>
            <w:rStyle w:val="Hyperlink"/>
            <w:rFonts w:ascii="Times New Roman" w:hAnsi="Times New Roman" w:cs="Times New Roman"/>
            <w:sz w:val="24"/>
            <w:szCs w:val="24"/>
          </w:rPr>
          <w:t>Minn. Stat. Chap. 645</w:t>
        </w:r>
      </w:hyperlink>
      <w:r>
        <w:rPr>
          <w:rFonts w:ascii="Times New Roman" w:hAnsi="Times New Roman" w:cs="Times New Roman"/>
          <w:sz w:val="24"/>
          <w:szCs w:val="24"/>
        </w:rPr>
        <w:t xml:space="preserve"> (the chapter on construction of Minnesota statutes).</w:t>
      </w:r>
      <w:r w:rsidR="00532164">
        <w:rPr>
          <w:rFonts w:ascii="Times New Roman" w:hAnsi="Times New Roman" w:cs="Times New Roman"/>
          <w:sz w:val="24"/>
          <w:szCs w:val="24"/>
        </w:rPr>
        <w:t xml:space="preserve"> The</w:t>
      </w:r>
      <w:r w:rsidR="00820583">
        <w:rPr>
          <w:rFonts w:ascii="Times New Roman" w:hAnsi="Times New Roman" w:cs="Times New Roman"/>
          <w:sz w:val="24"/>
          <w:szCs w:val="24"/>
        </w:rPr>
        <w:t xml:space="preserve"> phrases</w:t>
      </w:r>
      <w:r w:rsidR="00532164">
        <w:rPr>
          <w:rFonts w:ascii="Times New Roman" w:hAnsi="Times New Roman" w:cs="Times New Roman"/>
          <w:sz w:val="24"/>
          <w:szCs w:val="24"/>
        </w:rPr>
        <w:t xml:space="preserve"> </w:t>
      </w:r>
      <w:r w:rsidR="00820583">
        <w:rPr>
          <w:rFonts w:ascii="Times New Roman" w:hAnsi="Times New Roman" w:cs="Times New Roman"/>
          <w:sz w:val="24"/>
          <w:szCs w:val="24"/>
        </w:rPr>
        <w:t xml:space="preserve">clearly </w:t>
      </w:r>
      <w:r w:rsidR="00532164">
        <w:rPr>
          <w:rFonts w:ascii="Times New Roman" w:hAnsi="Times New Roman" w:cs="Times New Roman"/>
          <w:sz w:val="24"/>
          <w:szCs w:val="24"/>
        </w:rPr>
        <w:t xml:space="preserve">are technical terms and should be construed as such by </w:t>
      </w:r>
      <w:r w:rsidR="00BD408A">
        <w:rPr>
          <w:rFonts w:ascii="Times New Roman" w:hAnsi="Times New Roman" w:cs="Times New Roman"/>
          <w:sz w:val="24"/>
          <w:szCs w:val="24"/>
        </w:rPr>
        <w:t>using</w:t>
      </w:r>
      <w:r w:rsidR="00532164">
        <w:rPr>
          <w:rFonts w:ascii="Times New Roman" w:hAnsi="Times New Roman" w:cs="Times New Roman"/>
          <w:sz w:val="24"/>
          <w:szCs w:val="24"/>
        </w:rPr>
        <w:t xml:space="preserve"> case law and legal dictionaries. </w:t>
      </w:r>
      <w:hyperlink r:id="rId12" w:history="1">
        <w:r w:rsidR="00A10491" w:rsidRPr="00B079AB">
          <w:rPr>
            <w:rStyle w:val="Hyperlink"/>
            <w:rFonts w:ascii="Times New Roman" w:hAnsi="Times New Roman" w:cs="Times New Roman"/>
            <w:i/>
            <w:sz w:val="24"/>
            <w:szCs w:val="24"/>
          </w:rPr>
          <w:t>State v. Friese</w:t>
        </w:r>
        <w:r w:rsidR="00A10491" w:rsidRPr="00B079AB">
          <w:rPr>
            <w:rStyle w:val="Hyperlink"/>
            <w:rFonts w:ascii="Times New Roman" w:hAnsi="Times New Roman" w:cs="Times New Roman"/>
            <w:sz w:val="24"/>
            <w:szCs w:val="24"/>
          </w:rPr>
          <w:t>, -- N.W.2d – (Minn. May 5, 2021), fn. 2</w:t>
        </w:r>
      </w:hyperlink>
      <w:r w:rsidR="00A10491">
        <w:rPr>
          <w:rFonts w:ascii="Times New Roman" w:hAnsi="Times New Roman" w:cs="Times New Roman"/>
          <w:sz w:val="24"/>
          <w:szCs w:val="24"/>
        </w:rPr>
        <w:t>.</w:t>
      </w:r>
    </w:p>
    <w:p w:rsidR="005A6D28" w:rsidRDefault="005A6D28" w:rsidP="00AF4827">
      <w:pPr>
        <w:shd w:val="clear" w:color="auto" w:fill="FFFFFF"/>
        <w:spacing w:after="0" w:line="240" w:lineRule="auto"/>
        <w:rPr>
          <w:rFonts w:ascii="Times New Roman" w:hAnsi="Times New Roman" w:cs="Times New Roman"/>
          <w:sz w:val="24"/>
          <w:szCs w:val="24"/>
        </w:rPr>
      </w:pPr>
    </w:p>
    <w:p w:rsidR="00C55821" w:rsidRPr="00C1249F" w:rsidRDefault="00C55821" w:rsidP="003E7D7A">
      <w:pPr>
        <w:shd w:val="clear" w:color="auto" w:fill="FFFFFF"/>
        <w:spacing w:after="0" w:line="240" w:lineRule="auto"/>
        <w:ind w:left="720"/>
        <w:rPr>
          <w:rFonts w:ascii="Times New Roman" w:hAnsi="Times New Roman" w:cs="Times New Roman"/>
          <w:sz w:val="24"/>
          <w:szCs w:val="24"/>
          <w:u w:val="single"/>
        </w:rPr>
      </w:pPr>
      <w:r w:rsidRPr="00C1249F">
        <w:rPr>
          <w:rFonts w:ascii="Times New Roman" w:hAnsi="Times New Roman" w:cs="Times New Roman"/>
          <w:sz w:val="24"/>
          <w:szCs w:val="24"/>
          <w:u w:val="single"/>
        </w:rPr>
        <w:t xml:space="preserve">Is </w:t>
      </w:r>
      <w:r w:rsidR="003E7D7A" w:rsidRPr="00C1249F">
        <w:rPr>
          <w:rFonts w:ascii="Georgia" w:hAnsi="Georgia" w:cs="Times New Roman"/>
          <w:u w:val="single"/>
        </w:rPr>
        <w:t>¶26</w:t>
      </w:r>
      <w:r w:rsidRPr="00C1249F">
        <w:rPr>
          <w:rFonts w:ascii="Georgia" w:hAnsi="Georgia" w:cs="Times New Roman"/>
          <w:u w:val="single"/>
        </w:rPr>
        <w:t xml:space="preserve"> </w:t>
      </w:r>
      <w:r w:rsidRPr="00C1249F">
        <w:rPr>
          <w:rFonts w:ascii="Times New Roman" w:hAnsi="Times New Roman" w:cs="Times New Roman"/>
          <w:sz w:val="24"/>
          <w:szCs w:val="24"/>
          <w:u w:val="single"/>
        </w:rPr>
        <w:t>a “conspicuous writing”?</w:t>
      </w:r>
    </w:p>
    <w:p w:rsidR="005749B4" w:rsidRPr="00C1249F" w:rsidRDefault="005749B4" w:rsidP="00AF4827">
      <w:pPr>
        <w:shd w:val="clear" w:color="auto" w:fill="FFFFFF"/>
        <w:spacing w:after="0" w:line="240" w:lineRule="auto"/>
        <w:rPr>
          <w:rFonts w:ascii="Times New Roman" w:hAnsi="Times New Roman" w:cs="Times New Roman"/>
          <w:sz w:val="24"/>
          <w:szCs w:val="24"/>
          <w:u w:val="single"/>
        </w:rPr>
      </w:pPr>
    </w:p>
    <w:p w:rsidR="005749B4" w:rsidRPr="00C1249F" w:rsidRDefault="005749B4" w:rsidP="003E7D7A">
      <w:pPr>
        <w:shd w:val="clear" w:color="auto" w:fill="FFFFFF"/>
        <w:spacing w:after="0" w:line="240" w:lineRule="auto"/>
        <w:ind w:left="1440"/>
        <w:rPr>
          <w:rFonts w:ascii="Times New Roman" w:hAnsi="Times New Roman" w:cs="Times New Roman"/>
          <w:sz w:val="24"/>
          <w:szCs w:val="24"/>
          <w:u w:val="single"/>
        </w:rPr>
      </w:pPr>
      <w:bookmarkStart w:id="0" w:name="_GoBack"/>
      <w:bookmarkEnd w:id="0"/>
      <w:r w:rsidRPr="00C1249F">
        <w:rPr>
          <w:rFonts w:ascii="Times New Roman" w:hAnsi="Times New Roman" w:cs="Times New Roman"/>
          <w:sz w:val="24"/>
          <w:szCs w:val="24"/>
          <w:u w:val="single"/>
        </w:rPr>
        <w:t>Pre-1971 law</w:t>
      </w:r>
    </w:p>
    <w:p w:rsidR="003E7D7A" w:rsidRDefault="003E7D7A" w:rsidP="003E7D7A">
      <w:pPr>
        <w:shd w:val="clear" w:color="auto" w:fill="FFFFFF"/>
        <w:spacing w:after="0" w:line="240" w:lineRule="auto"/>
        <w:ind w:left="1440"/>
        <w:rPr>
          <w:rFonts w:ascii="Times New Roman" w:hAnsi="Times New Roman" w:cs="Times New Roman"/>
          <w:sz w:val="24"/>
          <w:szCs w:val="24"/>
          <w:u w:val="single"/>
        </w:rPr>
      </w:pPr>
    </w:p>
    <w:p w:rsidR="003E7D7A" w:rsidRDefault="003E7D7A" w:rsidP="003E7D7A">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 discussed above, the relevant language in </w:t>
      </w:r>
      <w:r w:rsidRPr="00777FC7">
        <w:rPr>
          <w:rFonts w:ascii="Times New Roman" w:hAnsi="Times New Roman" w:cs="Times New Roman"/>
          <w:sz w:val="24"/>
          <w:szCs w:val="24"/>
        </w:rPr>
        <w:t>Minn. Stat. § 504B.1</w:t>
      </w:r>
      <w:r>
        <w:rPr>
          <w:rFonts w:ascii="Times New Roman" w:hAnsi="Times New Roman" w:cs="Times New Roman"/>
          <w:sz w:val="24"/>
          <w:szCs w:val="24"/>
        </w:rPr>
        <w:t xml:space="preserve">61, subd. 1-2 remains unchanged from the original language in </w:t>
      </w:r>
      <w:r w:rsidRPr="00402614">
        <w:rPr>
          <w:rFonts w:ascii="Times New Roman" w:hAnsi="Times New Roman" w:cs="Times New Roman"/>
          <w:sz w:val="24"/>
          <w:szCs w:val="24"/>
        </w:rPr>
        <w:t xml:space="preserve">1971 Minn. Laws ch. 219. </w:t>
      </w:r>
      <w:r>
        <w:rPr>
          <w:rFonts w:ascii="Times New Roman" w:hAnsi="Times New Roman" w:cs="Times New Roman"/>
          <w:sz w:val="24"/>
          <w:szCs w:val="24"/>
        </w:rPr>
        <w:t>Therefore, the first place to turn is pre-1971 case law and pre-1971 law dictionaries.</w:t>
      </w:r>
    </w:p>
    <w:p w:rsidR="00F22A29" w:rsidRPr="00EB0664" w:rsidRDefault="00677752" w:rsidP="00F22A29">
      <w:pPr>
        <w:autoSpaceDE w:val="0"/>
        <w:autoSpaceDN w:val="0"/>
        <w:spacing w:before="100" w:beforeAutospacing="1" w:after="100" w:afterAutospacing="1" w:line="240" w:lineRule="auto"/>
        <w:rPr>
          <w:rFonts w:ascii="Times New Roman" w:eastAsia="Times New Roman" w:hAnsi="Times New Roman" w:cs="Times New Roman"/>
          <w:sz w:val="24"/>
          <w:szCs w:val="24"/>
        </w:rPr>
      </w:pPr>
      <w:hyperlink r:id="rId13" w:history="1">
        <w:r w:rsidR="00C55821" w:rsidRPr="00EB0664">
          <w:rPr>
            <w:rStyle w:val="Hyperlink"/>
            <w:rFonts w:ascii="Times New Roman" w:hAnsi="Times New Roman" w:cs="Times New Roman"/>
            <w:i/>
            <w:sz w:val="24"/>
            <w:szCs w:val="24"/>
          </w:rPr>
          <w:t>Black</w:t>
        </w:r>
        <w:r w:rsidR="009A15E6" w:rsidRPr="00EB0664">
          <w:rPr>
            <w:rStyle w:val="Hyperlink"/>
            <w:rFonts w:ascii="Times New Roman" w:hAnsi="Times New Roman" w:cs="Times New Roman"/>
            <w:i/>
            <w:sz w:val="24"/>
            <w:szCs w:val="24"/>
          </w:rPr>
          <w:t>’s Law Dictionary</w:t>
        </w:r>
        <w:r w:rsidR="009A15E6" w:rsidRPr="00DF66BE">
          <w:rPr>
            <w:rStyle w:val="Hyperlink"/>
            <w:rFonts w:ascii="Times New Roman" w:hAnsi="Times New Roman" w:cs="Times New Roman"/>
            <w:sz w:val="24"/>
            <w:szCs w:val="24"/>
          </w:rPr>
          <w:t xml:space="preserve"> (2nd Ed. 1910</w:t>
        </w:r>
        <w:r w:rsidR="0057445F" w:rsidRPr="00DF66BE">
          <w:rPr>
            <w:rStyle w:val="Hyperlink"/>
            <w:rFonts w:ascii="Times New Roman" w:eastAsia="Times New Roman" w:hAnsi="Times New Roman" w:cs="Times New Roman"/>
            <w:sz w:val="24"/>
            <w:szCs w:val="24"/>
          </w:rPr>
          <w:t>)</w:t>
        </w:r>
      </w:hyperlink>
      <w:r w:rsidR="0057445F" w:rsidRPr="00DF66BE">
        <w:rPr>
          <w:rFonts w:ascii="Times New Roman" w:eastAsia="Times New Roman" w:hAnsi="Times New Roman" w:cs="Times New Roman"/>
          <w:sz w:val="24"/>
          <w:szCs w:val="24"/>
        </w:rPr>
        <w:t xml:space="preserve"> </w:t>
      </w:r>
      <w:r w:rsidR="009A15E6">
        <w:rPr>
          <w:rFonts w:ascii="Times New Roman" w:eastAsia="Times New Roman" w:hAnsi="Times New Roman" w:cs="Times New Roman"/>
          <w:sz w:val="24"/>
          <w:szCs w:val="24"/>
        </w:rPr>
        <w:t>d</w:t>
      </w:r>
      <w:r w:rsidR="00C55821" w:rsidRPr="00CD3FAC">
        <w:rPr>
          <w:rFonts w:ascii="Times New Roman" w:eastAsia="Times New Roman" w:hAnsi="Times New Roman" w:cs="Times New Roman"/>
          <w:sz w:val="24"/>
          <w:szCs w:val="24"/>
        </w:rPr>
        <w:t xml:space="preserve">efined “conspicuous” as “Clearly noticeable, obvious.” For some reason, the next couple of editions had no definition of “conspicuous”. </w:t>
      </w:r>
      <w:r w:rsidR="00C55821" w:rsidRPr="00DF66BE">
        <w:rPr>
          <w:rFonts w:ascii="Times New Roman" w:eastAsia="Times New Roman" w:hAnsi="Times New Roman" w:cs="Times New Roman"/>
          <w:sz w:val="24"/>
          <w:szCs w:val="24"/>
        </w:rPr>
        <w:t xml:space="preserve">Then </w:t>
      </w:r>
      <w:r w:rsidR="00F22A29" w:rsidRPr="00EB0664">
        <w:rPr>
          <w:rFonts w:ascii="Times New Roman" w:eastAsia="Times New Roman" w:hAnsi="Times New Roman" w:cs="Times New Roman"/>
          <w:i/>
          <w:sz w:val="24"/>
          <w:szCs w:val="24"/>
        </w:rPr>
        <w:t>Black’s Law Dictionary</w:t>
      </w:r>
      <w:r w:rsidR="00F22A29" w:rsidRPr="00EB0664">
        <w:rPr>
          <w:rFonts w:ascii="Times New Roman" w:eastAsia="Times New Roman" w:hAnsi="Times New Roman" w:cs="Times New Roman"/>
          <w:sz w:val="24"/>
          <w:szCs w:val="24"/>
        </w:rPr>
        <w:t xml:space="preserve"> (5th Ed. 1983) and subsequent editions have this definition:</w:t>
      </w:r>
    </w:p>
    <w:p w:rsidR="00F22A29" w:rsidRPr="00CD3FAC" w:rsidRDefault="00F22A29" w:rsidP="00F22A29">
      <w:pPr>
        <w:spacing w:before="100" w:beforeAutospacing="1" w:after="100" w:afterAutospacing="1" w:line="240" w:lineRule="auto"/>
        <w:ind w:left="720"/>
        <w:rPr>
          <w:rFonts w:ascii="Times New Roman" w:eastAsia="Times New Roman" w:hAnsi="Times New Roman" w:cs="Times New Roman"/>
          <w:sz w:val="24"/>
          <w:szCs w:val="24"/>
        </w:rPr>
      </w:pPr>
      <w:r w:rsidRPr="00CD3FAC">
        <w:rPr>
          <w:rFonts w:ascii="Times New Roman" w:eastAsia="Times New Roman" w:hAnsi="Times New Roman" w:cs="Times New Roman"/>
          <w:i/>
          <w:iCs/>
          <w:sz w:val="24"/>
          <w:szCs w:val="24"/>
          <w:u w:val="single"/>
        </w:rPr>
        <w:t>Conspicuous term or clause.</w:t>
      </w:r>
      <w:r w:rsidRPr="00CD3FAC">
        <w:rPr>
          <w:rFonts w:ascii="Times New Roman" w:eastAsia="Times New Roman" w:hAnsi="Times New Roman" w:cs="Times New Roman"/>
          <w:sz w:val="24"/>
          <w:szCs w:val="24"/>
        </w:rPr>
        <w:t xml:space="preserve"> A term or clause is conspicuous when it is so written that a reasonable person against whom it is to operate ought to have noticed it. A printed heading in capitals (as: NON-NEGOTIABLE BILL OF LADING) is conspicuous. Language in the body of a form is "conspicuous" if it is in larger or other contrasting type </w:t>
      </w:r>
      <w:r w:rsidRPr="00CD3FAC">
        <w:rPr>
          <w:rFonts w:ascii="Times New Roman" w:eastAsia="Times New Roman" w:hAnsi="Times New Roman" w:cs="Times New Roman"/>
          <w:sz w:val="24"/>
          <w:szCs w:val="24"/>
        </w:rPr>
        <w:lastRenderedPageBreak/>
        <w:t>or color. But in a telegram any stated term is "conspicuous." A term or clause is conspicuous when it is written that a reasonable person against whom it is to operate ought to have noticed it. Whether a term or clause is "conspicuous" or not is for decision by the court. Uniform Credit Code, § 1.301(6); U.C.C. § 1-201(10).</w:t>
      </w:r>
    </w:p>
    <w:p w:rsidR="00D5695F" w:rsidRPr="00CD3FAC" w:rsidRDefault="00677752" w:rsidP="00D5695F">
      <w:pPr>
        <w:autoSpaceDE w:val="0"/>
        <w:autoSpaceDN w:val="0"/>
        <w:spacing w:before="100" w:beforeAutospacing="1" w:after="100" w:afterAutospacing="1" w:line="240" w:lineRule="auto"/>
        <w:rPr>
          <w:rFonts w:ascii="Times New Roman" w:eastAsia="Times New Roman" w:hAnsi="Times New Roman" w:cs="Times New Roman"/>
          <w:sz w:val="24"/>
          <w:szCs w:val="24"/>
        </w:rPr>
      </w:pPr>
      <w:hyperlink r:id="rId14" w:history="1">
        <w:r w:rsidR="00D5695F" w:rsidRPr="00734258">
          <w:rPr>
            <w:rStyle w:val="Hyperlink"/>
            <w:rFonts w:ascii="Times New Roman" w:eastAsia="Times New Roman" w:hAnsi="Times New Roman" w:cs="Times New Roman"/>
            <w:i/>
            <w:sz w:val="24"/>
            <w:szCs w:val="24"/>
          </w:rPr>
          <w:t>Boeing Airplane Company v. O'Malley</w:t>
        </w:r>
        <w:r w:rsidR="00D5695F" w:rsidRPr="00734258">
          <w:rPr>
            <w:rStyle w:val="Hyperlink"/>
            <w:rFonts w:ascii="Times New Roman" w:eastAsia="Times New Roman" w:hAnsi="Times New Roman" w:cs="Times New Roman"/>
            <w:sz w:val="24"/>
            <w:szCs w:val="24"/>
          </w:rPr>
          <w:t xml:space="preserve">, 329 F.2d 585,593 (8th Cir. 1964) </w:t>
        </w:r>
        <w:r w:rsidR="009A15E6" w:rsidRPr="00734258">
          <w:rPr>
            <w:rStyle w:val="Hyperlink"/>
            <w:rFonts w:ascii="Times New Roman" w:eastAsia="Times New Roman" w:hAnsi="Times New Roman" w:cs="Times New Roman"/>
            <w:sz w:val="24"/>
            <w:szCs w:val="24"/>
          </w:rPr>
          <w:t>(appeal from Minnesota district court)</w:t>
        </w:r>
      </w:hyperlink>
      <w:r w:rsidR="009A15E6">
        <w:rPr>
          <w:rFonts w:ascii="Times New Roman" w:eastAsia="Times New Roman" w:hAnsi="Times New Roman" w:cs="Times New Roman"/>
          <w:sz w:val="24"/>
          <w:szCs w:val="24"/>
        </w:rPr>
        <w:t xml:space="preserve"> </w:t>
      </w:r>
      <w:r w:rsidR="00D5695F" w:rsidRPr="00CD3FAC">
        <w:rPr>
          <w:rFonts w:ascii="Times New Roman" w:eastAsia="Times New Roman" w:hAnsi="Times New Roman" w:cs="Times New Roman"/>
          <w:sz w:val="24"/>
          <w:szCs w:val="24"/>
        </w:rPr>
        <w:t>interpreted a Penns</w:t>
      </w:r>
      <w:r w:rsidR="006C0B7F">
        <w:rPr>
          <w:rFonts w:ascii="Times New Roman" w:eastAsia="Times New Roman" w:hAnsi="Times New Roman" w:cs="Times New Roman"/>
          <w:sz w:val="24"/>
          <w:szCs w:val="24"/>
        </w:rPr>
        <w:t>y</w:t>
      </w:r>
      <w:r w:rsidR="00D5695F" w:rsidRPr="00CD3FAC">
        <w:rPr>
          <w:rFonts w:ascii="Times New Roman" w:eastAsia="Times New Roman" w:hAnsi="Times New Roman" w:cs="Times New Roman"/>
          <w:sz w:val="24"/>
          <w:szCs w:val="24"/>
        </w:rPr>
        <w:t>lvania statute, stating:</w:t>
      </w:r>
    </w:p>
    <w:p w:rsidR="00D5695F" w:rsidRPr="00CD3FAC" w:rsidRDefault="00D5695F" w:rsidP="00D5695F">
      <w:pPr>
        <w:spacing w:before="100" w:beforeAutospacing="1" w:after="100" w:afterAutospacing="1" w:line="240" w:lineRule="auto"/>
        <w:ind w:left="720"/>
        <w:rPr>
          <w:rFonts w:ascii="Times New Roman" w:eastAsia="Times New Roman" w:hAnsi="Times New Roman" w:cs="Times New Roman"/>
          <w:sz w:val="24"/>
          <w:szCs w:val="24"/>
        </w:rPr>
      </w:pPr>
      <w:r w:rsidRPr="00CD3FAC">
        <w:rPr>
          <w:rFonts w:ascii="Times New Roman" w:eastAsia="Times New Roman" w:hAnsi="Times New Roman" w:cs="Times New Roman"/>
          <w:sz w:val="24"/>
          <w:szCs w:val="24"/>
        </w:rPr>
        <w:t>the "writing must be conspicuous". Here it is not so. It is merely in the same color and size of other type used for the other provisions and under the statutory definition of "conspicuous" [in the Pennsylvania UCC] fails of its purpose.</w:t>
      </w:r>
    </w:p>
    <w:p w:rsidR="00D5695F" w:rsidRPr="00CD3FAC" w:rsidRDefault="00D5695F" w:rsidP="00D5695F">
      <w:pPr>
        <w:spacing w:before="100" w:beforeAutospacing="1" w:after="100" w:afterAutospacing="1" w:line="240" w:lineRule="auto"/>
        <w:rPr>
          <w:rFonts w:ascii="Times New Roman" w:eastAsia="Times New Roman" w:hAnsi="Times New Roman" w:cs="Times New Roman"/>
          <w:sz w:val="24"/>
          <w:szCs w:val="24"/>
        </w:rPr>
      </w:pPr>
      <w:r w:rsidRPr="00CD3FAC">
        <w:rPr>
          <w:rFonts w:ascii="Times New Roman" w:eastAsia="Times New Roman" w:hAnsi="Times New Roman" w:cs="Times New Roman"/>
          <w:sz w:val="24"/>
          <w:szCs w:val="24"/>
        </w:rPr>
        <w:t xml:space="preserve">I’m unaware of any other pre-1971 </w:t>
      </w:r>
      <w:r w:rsidR="00954CAE">
        <w:rPr>
          <w:rFonts w:ascii="Times New Roman" w:eastAsia="Times New Roman" w:hAnsi="Times New Roman" w:cs="Times New Roman"/>
          <w:sz w:val="24"/>
          <w:szCs w:val="24"/>
        </w:rPr>
        <w:t xml:space="preserve">Minnesota </w:t>
      </w:r>
      <w:r w:rsidRPr="00CD3FAC">
        <w:rPr>
          <w:rFonts w:ascii="Times New Roman" w:eastAsia="Times New Roman" w:hAnsi="Times New Roman" w:cs="Times New Roman"/>
          <w:sz w:val="24"/>
          <w:szCs w:val="24"/>
        </w:rPr>
        <w:t>cases even partly on point.</w:t>
      </w:r>
    </w:p>
    <w:p w:rsidR="007D66AB" w:rsidRDefault="007D66AB" w:rsidP="00D5695F">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¶26</w:t>
      </w:r>
      <w:r w:rsidR="00D5695F" w:rsidRPr="00DA3D97">
        <w:rPr>
          <w:rFonts w:ascii="Times New Roman" w:hAnsi="Times New Roman" w:cs="Times New Roman"/>
          <w:sz w:val="24"/>
          <w:szCs w:val="24"/>
        </w:rPr>
        <w:t xml:space="preserve"> is not open and obvious. </w:t>
      </w:r>
      <w:r>
        <w:rPr>
          <w:rFonts w:ascii="Times New Roman" w:hAnsi="Times New Roman" w:cs="Times New Roman"/>
          <w:sz w:val="24"/>
          <w:szCs w:val="24"/>
        </w:rPr>
        <w:t xml:space="preserve">Thus it is not “conspicuous” under </w:t>
      </w:r>
      <w:r w:rsidR="005749B4" w:rsidRPr="00DA3D97">
        <w:rPr>
          <w:rFonts w:ascii="Times New Roman" w:hAnsi="Times New Roman" w:cs="Times New Roman"/>
          <w:sz w:val="24"/>
          <w:szCs w:val="24"/>
        </w:rPr>
        <w:t>the definition</w:t>
      </w:r>
      <w:r>
        <w:rPr>
          <w:rFonts w:ascii="Times New Roman" w:hAnsi="Times New Roman" w:cs="Times New Roman"/>
          <w:sz w:val="24"/>
          <w:szCs w:val="24"/>
        </w:rPr>
        <w:t xml:space="preserve"> in the</w:t>
      </w:r>
      <w:r w:rsidR="005749B4" w:rsidRPr="00DA3D97">
        <w:rPr>
          <w:rFonts w:ascii="Times New Roman" w:hAnsi="Times New Roman" w:cs="Times New Roman"/>
          <w:sz w:val="24"/>
          <w:szCs w:val="24"/>
        </w:rPr>
        <w:t xml:space="preserve"> 1910 </w:t>
      </w:r>
      <w:r>
        <w:rPr>
          <w:rFonts w:ascii="Times New Roman" w:hAnsi="Times New Roman" w:cs="Times New Roman"/>
          <w:sz w:val="24"/>
          <w:szCs w:val="24"/>
        </w:rPr>
        <w:t xml:space="preserve">edition of </w:t>
      </w:r>
      <w:r w:rsidR="005749B4" w:rsidRPr="00DA3D97">
        <w:rPr>
          <w:rFonts w:ascii="Times New Roman" w:hAnsi="Times New Roman" w:cs="Times New Roman"/>
          <w:sz w:val="24"/>
          <w:szCs w:val="24"/>
        </w:rPr>
        <w:t>Black’s</w:t>
      </w:r>
      <w:r>
        <w:rPr>
          <w:rFonts w:ascii="Times New Roman" w:hAnsi="Times New Roman" w:cs="Times New Roman"/>
          <w:sz w:val="24"/>
          <w:szCs w:val="24"/>
        </w:rPr>
        <w:t xml:space="preserve"> Law Dictionary.</w:t>
      </w:r>
    </w:p>
    <w:p w:rsidR="00D5695F" w:rsidRPr="00DA3D97" w:rsidRDefault="007D66AB" w:rsidP="00D5695F">
      <w:pPr>
        <w:spacing w:before="100" w:beforeAutospacing="1" w:after="100" w:afterAutospacing="1" w:line="240" w:lineRule="auto"/>
        <w:rPr>
          <w:rFonts w:ascii="Times New Roman" w:eastAsia="Times New Roman" w:hAnsi="Times New Roman" w:cs="Times New Roman"/>
          <w:sz w:val="24"/>
          <w:szCs w:val="24"/>
        </w:rPr>
      </w:pPr>
      <w:r>
        <w:rPr>
          <w:rFonts w:ascii="Times New Roman" w:hAnsi="Times New Roman" w:cs="Times New Roman"/>
          <w:sz w:val="24"/>
          <w:szCs w:val="24"/>
        </w:rPr>
        <w:t xml:space="preserve">Similarly, under the definitions in the later editions of </w:t>
      </w:r>
      <w:r w:rsidRPr="00DA3D97">
        <w:rPr>
          <w:rFonts w:ascii="Times New Roman" w:hAnsi="Times New Roman" w:cs="Times New Roman"/>
          <w:sz w:val="24"/>
          <w:szCs w:val="24"/>
        </w:rPr>
        <w:t>Black’s</w:t>
      </w:r>
      <w:r>
        <w:rPr>
          <w:rFonts w:ascii="Times New Roman" w:hAnsi="Times New Roman" w:cs="Times New Roman"/>
          <w:sz w:val="24"/>
          <w:szCs w:val="24"/>
        </w:rPr>
        <w:t xml:space="preserve"> Law Dictionary and </w:t>
      </w:r>
      <w:r w:rsidRPr="007D66AB">
        <w:rPr>
          <w:rFonts w:ascii="Times New Roman" w:hAnsi="Times New Roman" w:cs="Times New Roman"/>
          <w:i/>
          <w:sz w:val="24"/>
          <w:szCs w:val="24"/>
        </w:rPr>
        <w:t>Boeing</w:t>
      </w:r>
      <w:r>
        <w:rPr>
          <w:rFonts w:ascii="Times New Roman" w:hAnsi="Times New Roman" w:cs="Times New Roman"/>
          <w:sz w:val="24"/>
          <w:szCs w:val="24"/>
        </w:rPr>
        <w:t xml:space="preserve"> </w:t>
      </w:r>
      <w:r w:rsidRPr="007D66AB">
        <w:rPr>
          <w:rFonts w:ascii="Times New Roman" w:hAnsi="Times New Roman" w:cs="Times New Roman"/>
          <w:i/>
          <w:sz w:val="24"/>
          <w:szCs w:val="24"/>
        </w:rPr>
        <w:t>Airplane</w:t>
      </w:r>
      <w:r>
        <w:rPr>
          <w:rFonts w:ascii="Times New Roman" w:hAnsi="Times New Roman" w:cs="Times New Roman"/>
          <w:sz w:val="24"/>
          <w:szCs w:val="24"/>
        </w:rPr>
        <w:t xml:space="preserve"> it is not “conspicuous”. ¶26</w:t>
      </w:r>
      <w:r w:rsidRPr="00DA3D97">
        <w:rPr>
          <w:rFonts w:ascii="Times New Roman" w:hAnsi="Times New Roman" w:cs="Times New Roman"/>
          <w:sz w:val="24"/>
          <w:szCs w:val="24"/>
        </w:rPr>
        <w:t xml:space="preserve"> </w:t>
      </w:r>
      <w:r w:rsidR="00D5695F" w:rsidRPr="00DA3D97">
        <w:rPr>
          <w:rFonts w:ascii="Times New Roman" w:hAnsi="Times New Roman" w:cs="Times New Roman"/>
          <w:sz w:val="24"/>
          <w:szCs w:val="24"/>
        </w:rPr>
        <w:t>is just one paragraph among many in the same color and typeface. Even though it is right above the signature block nothing calls</w:t>
      </w:r>
      <w:r>
        <w:rPr>
          <w:rFonts w:ascii="Times New Roman" w:hAnsi="Times New Roman" w:cs="Times New Roman"/>
          <w:sz w:val="24"/>
          <w:szCs w:val="24"/>
        </w:rPr>
        <w:t xml:space="preserve"> it to the reader’s </w:t>
      </w:r>
      <w:r w:rsidR="00D5695F" w:rsidRPr="00DA3D97">
        <w:rPr>
          <w:rFonts w:ascii="Times New Roman" w:hAnsi="Times New Roman" w:cs="Times New Roman"/>
          <w:sz w:val="24"/>
          <w:szCs w:val="24"/>
        </w:rPr>
        <w:t xml:space="preserve">attention, </w:t>
      </w:r>
      <w:r w:rsidR="00461FCC">
        <w:rPr>
          <w:rFonts w:ascii="Times New Roman" w:hAnsi="Times New Roman" w:cs="Times New Roman"/>
          <w:sz w:val="24"/>
          <w:szCs w:val="24"/>
        </w:rPr>
        <w:t xml:space="preserve">especially after she has </w:t>
      </w:r>
      <w:r w:rsidR="00D5695F" w:rsidRPr="00DA3D97">
        <w:rPr>
          <w:rFonts w:ascii="Times New Roman" w:hAnsi="Times New Roman" w:cs="Times New Roman"/>
          <w:sz w:val="24"/>
          <w:szCs w:val="24"/>
        </w:rPr>
        <w:t>read through twenty-</w:t>
      </w:r>
      <w:r>
        <w:rPr>
          <w:rFonts w:ascii="Times New Roman" w:hAnsi="Times New Roman" w:cs="Times New Roman"/>
          <w:sz w:val="24"/>
          <w:szCs w:val="24"/>
        </w:rPr>
        <w:t>five</w:t>
      </w:r>
      <w:r w:rsidR="00D5695F" w:rsidRPr="00DA3D97">
        <w:rPr>
          <w:rFonts w:ascii="Times New Roman" w:hAnsi="Times New Roman" w:cs="Times New Roman"/>
          <w:sz w:val="24"/>
          <w:szCs w:val="24"/>
        </w:rPr>
        <w:t xml:space="preserve"> other paragraphs</w:t>
      </w:r>
      <w:r w:rsidR="001D3FC3">
        <w:rPr>
          <w:rFonts w:ascii="Times New Roman" w:hAnsi="Times New Roman" w:cs="Times New Roman"/>
          <w:sz w:val="24"/>
          <w:szCs w:val="24"/>
        </w:rPr>
        <w:t>.</w:t>
      </w:r>
    </w:p>
    <w:p w:rsidR="005749B4" w:rsidRDefault="005749B4" w:rsidP="007366E8">
      <w:pPr>
        <w:shd w:val="clear" w:color="auto" w:fill="FFFFFF"/>
        <w:spacing w:after="0" w:line="240" w:lineRule="auto"/>
        <w:ind w:left="1440"/>
        <w:rPr>
          <w:rFonts w:ascii="Times New Roman" w:hAnsi="Times New Roman" w:cs="Times New Roman"/>
          <w:sz w:val="24"/>
          <w:szCs w:val="24"/>
          <w:u w:val="single"/>
        </w:rPr>
      </w:pPr>
      <w:r>
        <w:rPr>
          <w:rFonts w:ascii="Times New Roman" w:hAnsi="Times New Roman" w:cs="Times New Roman"/>
          <w:sz w:val="24"/>
          <w:szCs w:val="24"/>
          <w:u w:val="single"/>
        </w:rPr>
        <w:t>Post-1971 law</w:t>
      </w:r>
    </w:p>
    <w:p w:rsidR="00D94007" w:rsidRPr="00831CAA" w:rsidRDefault="005749B4" w:rsidP="00D94007">
      <w:pPr>
        <w:spacing w:before="100" w:beforeAutospacing="1" w:after="100" w:afterAutospacing="1" w:line="240" w:lineRule="auto"/>
        <w:ind w:right="-360"/>
        <w:rPr>
          <w:rFonts w:ascii="Times New Roman" w:eastAsia="Times New Roman" w:hAnsi="Times New Roman" w:cs="Times New Roman"/>
          <w:color w:val="000000"/>
          <w:sz w:val="24"/>
          <w:szCs w:val="24"/>
        </w:rPr>
      </w:pPr>
      <w:r w:rsidRPr="00831CAA">
        <w:rPr>
          <w:rFonts w:ascii="Times New Roman" w:hAnsi="Times New Roman" w:cs="Times New Roman"/>
          <w:sz w:val="24"/>
          <w:szCs w:val="24"/>
        </w:rPr>
        <w:t>There is one post-1971 case construing “conspicuous” in section 504B.161 (then codified at Minn. Stat. § 504.18</w:t>
      </w:r>
      <w:r w:rsidR="00D94007" w:rsidRPr="00831CAA">
        <w:rPr>
          <w:rFonts w:ascii="Times New Roman" w:hAnsi="Times New Roman" w:cs="Times New Roman"/>
          <w:sz w:val="24"/>
          <w:szCs w:val="24"/>
        </w:rPr>
        <w:t>),</w:t>
      </w:r>
      <w:r w:rsidR="001D1A39">
        <w:rPr>
          <w:rFonts w:ascii="Times New Roman" w:hAnsi="Times New Roman" w:cs="Times New Roman"/>
          <w:sz w:val="24"/>
          <w:szCs w:val="24"/>
        </w:rPr>
        <w:t xml:space="preserve"> </w:t>
      </w:r>
      <w:hyperlink r:id="rId15" w:history="1">
        <w:r w:rsidR="00D94007" w:rsidRPr="00831CAA">
          <w:rPr>
            <w:rStyle w:val="Hyperlink"/>
            <w:rFonts w:ascii="Times New Roman" w:hAnsi="Times New Roman" w:cs="Times New Roman"/>
            <w:i/>
            <w:iCs/>
            <w:sz w:val="24"/>
            <w:szCs w:val="24"/>
          </w:rPr>
          <w:t>Wardin v. Maski</w:t>
        </w:r>
        <w:r w:rsidR="00D94007" w:rsidRPr="00831CAA">
          <w:rPr>
            <w:rStyle w:val="Hyperlink"/>
            <w:rFonts w:ascii="Times New Roman" w:hAnsi="Times New Roman" w:cs="Times New Roman"/>
            <w:sz w:val="24"/>
            <w:szCs w:val="24"/>
          </w:rPr>
          <w:t>, No. C4-97-2245, (Minn. Ct. App. Aug. 18, 1998) (nonprecedential)</w:t>
        </w:r>
      </w:hyperlink>
      <w:r w:rsidR="009F1AC1">
        <w:rPr>
          <w:rStyle w:val="Hyperlink"/>
          <w:rFonts w:ascii="Times New Roman" w:eastAsia="Times New Roman" w:hAnsi="Times New Roman" w:cs="Times New Roman"/>
          <w:sz w:val="24"/>
          <w:szCs w:val="24"/>
        </w:rPr>
        <w:t>.</w:t>
      </w:r>
      <w:r w:rsidR="009F1AC1">
        <w:rPr>
          <w:rFonts w:ascii="Times New Roman" w:eastAsia="Times New Roman" w:hAnsi="Times New Roman" w:cs="Times New Roman"/>
          <w:color w:val="000000"/>
          <w:sz w:val="24"/>
          <w:szCs w:val="24"/>
        </w:rPr>
        <w:t xml:space="preserve"> The </w:t>
      </w:r>
      <w:r w:rsidR="009F1AC1" w:rsidRPr="00003596">
        <w:rPr>
          <w:rFonts w:ascii="Times New Roman" w:eastAsia="Times New Roman" w:hAnsi="Times New Roman" w:cs="Times New Roman"/>
          <w:i/>
          <w:color w:val="000000"/>
          <w:sz w:val="24"/>
          <w:szCs w:val="24"/>
        </w:rPr>
        <w:t>Wardin</w:t>
      </w:r>
      <w:r w:rsidR="009F1AC1">
        <w:rPr>
          <w:rFonts w:ascii="Times New Roman" w:eastAsia="Times New Roman" w:hAnsi="Times New Roman" w:cs="Times New Roman"/>
          <w:color w:val="000000"/>
          <w:sz w:val="24"/>
          <w:szCs w:val="24"/>
        </w:rPr>
        <w:t xml:space="preserve"> court</w:t>
      </w:r>
      <w:r w:rsidR="00003596">
        <w:rPr>
          <w:rFonts w:ascii="Times New Roman" w:eastAsia="Times New Roman" w:hAnsi="Times New Roman" w:cs="Times New Roman"/>
          <w:color w:val="000000"/>
          <w:sz w:val="24"/>
          <w:szCs w:val="24"/>
        </w:rPr>
        <w:t xml:space="preserve"> held</w:t>
      </w:r>
      <w:r w:rsidR="00D94007" w:rsidRPr="00831CAA">
        <w:rPr>
          <w:rFonts w:ascii="Times New Roman" w:eastAsia="Times New Roman" w:hAnsi="Times New Roman" w:cs="Times New Roman"/>
          <w:color w:val="000000"/>
          <w:sz w:val="24"/>
          <w:szCs w:val="24"/>
        </w:rPr>
        <w:t>:</w:t>
      </w:r>
    </w:p>
    <w:p w:rsidR="00003596" w:rsidRDefault="00D94007" w:rsidP="00003596">
      <w:pPr>
        <w:spacing w:before="100" w:beforeAutospacing="1" w:after="100" w:afterAutospacing="1" w:line="240" w:lineRule="auto"/>
        <w:ind w:left="360" w:right="-360"/>
        <w:rPr>
          <w:rFonts w:ascii="Times New Roman" w:eastAsia="Times New Roman" w:hAnsi="Times New Roman" w:cs="Times New Roman"/>
          <w:color w:val="000000"/>
          <w:sz w:val="24"/>
          <w:szCs w:val="24"/>
        </w:rPr>
      </w:pPr>
      <w:r w:rsidRPr="002F1F69">
        <w:rPr>
          <w:rFonts w:ascii="Times New Roman" w:eastAsia="Times New Roman" w:hAnsi="Times New Roman" w:cs="Times New Roman"/>
          <w:color w:val="000000"/>
          <w:sz w:val="24"/>
          <w:szCs w:val="24"/>
        </w:rPr>
        <w:t xml:space="preserve">The lease provided that the respondents would maintain mechanical systems, but the district court found that </w:t>
      </w:r>
      <w:r w:rsidRPr="00D94007">
        <w:rPr>
          <w:rFonts w:ascii="Times New Roman" w:eastAsia="Times New Roman" w:hAnsi="Times New Roman" w:cs="Times New Roman"/>
          <w:color w:val="000000"/>
          <w:sz w:val="24"/>
          <w:szCs w:val="24"/>
          <w:u w:val="single"/>
        </w:rPr>
        <w:t>the lease did not contain a "conspicuous indication</w:t>
      </w:r>
      <w:r w:rsidRPr="002F1F69">
        <w:rPr>
          <w:rFonts w:ascii="Times New Roman" w:eastAsia="Times New Roman" w:hAnsi="Times New Roman" w:cs="Times New Roman"/>
          <w:color w:val="000000"/>
          <w:sz w:val="24"/>
          <w:szCs w:val="24"/>
        </w:rPr>
        <w:t xml:space="preserve"> * * * to support [Wardin's] contention that [respondents] were obligated to perform specific repairs or maintenance." We agree that the maintenance provision was not specific and was not set forth in a conspicuous writing. </w:t>
      </w:r>
      <w:r w:rsidRPr="00D94007">
        <w:rPr>
          <w:rFonts w:ascii="Times New Roman" w:eastAsia="Times New Roman" w:hAnsi="Times New Roman" w:cs="Times New Roman"/>
          <w:color w:val="000000"/>
          <w:sz w:val="24"/>
          <w:szCs w:val="24"/>
          <w:u w:val="single"/>
        </w:rPr>
        <w:t>The maintenance provision appears on page three of a six-page form lease and is written in the same typeface as the rest of the lease</w:t>
      </w:r>
      <w:r>
        <w:rPr>
          <w:rFonts w:ascii="Times New Roman" w:eastAsia="Times New Roman" w:hAnsi="Times New Roman" w:cs="Times New Roman"/>
          <w:color w:val="000000"/>
          <w:sz w:val="24"/>
          <w:szCs w:val="24"/>
        </w:rPr>
        <w:t>.</w:t>
      </w:r>
      <w:r w:rsidR="0000359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[emphasis added]. </w:t>
      </w:r>
    </w:p>
    <w:p w:rsidR="00D94007" w:rsidRDefault="00003596" w:rsidP="00003596">
      <w:pPr>
        <w:spacing w:before="100" w:beforeAutospacing="1" w:after="100" w:afterAutospacing="1" w:line="240" w:lineRule="auto"/>
        <w:ind w:right="-360"/>
        <w:rPr>
          <w:rFonts w:ascii="Georgia" w:hAnsi="Georgia" w:cs="Times New Roman"/>
        </w:rPr>
      </w:pPr>
      <w:r w:rsidRPr="00003596">
        <w:rPr>
          <w:rFonts w:ascii="Times New Roman" w:eastAsia="Times New Roman" w:hAnsi="Times New Roman" w:cs="Times New Roman"/>
          <w:i/>
          <w:color w:val="000000"/>
          <w:sz w:val="24"/>
          <w:szCs w:val="24"/>
        </w:rPr>
        <w:t>Id</w:t>
      </w:r>
      <w:r>
        <w:rPr>
          <w:rFonts w:ascii="Times New Roman" w:eastAsia="Times New Roman" w:hAnsi="Times New Roman" w:cs="Times New Roman"/>
          <w:color w:val="000000"/>
          <w:sz w:val="24"/>
          <w:szCs w:val="24"/>
        </w:rPr>
        <w:t xml:space="preserve">., </w:t>
      </w:r>
      <w:r w:rsidRPr="009F1AC1">
        <w:rPr>
          <w:rFonts w:ascii="Times New Roman" w:eastAsia="Times New Roman" w:hAnsi="Times New Roman" w:cs="Times New Roman"/>
          <w:color w:val="000000"/>
          <w:sz w:val="24"/>
          <w:szCs w:val="24"/>
        </w:rPr>
        <w:t>last paragraph of part II</w:t>
      </w:r>
      <w:r>
        <w:rPr>
          <w:rFonts w:ascii="Times New Roman" w:eastAsia="Times New Roman" w:hAnsi="Times New Roman" w:cs="Times New Roman"/>
          <w:color w:val="000000"/>
          <w:sz w:val="24"/>
          <w:szCs w:val="24"/>
        </w:rPr>
        <w:t xml:space="preserve">. </w:t>
      </w:r>
      <w:r w:rsidR="00D94007">
        <w:rPr>
          <w:rFonts w:ascii="Times New Roman" w:eastAsia="Times New Roman" w:hAnsi="Times New Roman" w:cs="Times New Roman"/>
          <w:color w:val="000000"/>
          <w:sz w:val="24"/>
          <w:szCs w:val="24"/>
        </w:rPr>
        <w:t xml:space="preserve">Following </w:t>
      </w:r>
      <w:r w:rsidR="00D94007" w:rsidRPr="00D94007">
        <w:rPr>
          <w:rFonts w:ascii="Times New Roman" w:eastAsia="Times New Roman" w:hAnsi="Times New Roman" w:cs="Times New Roman"/>
          <w:i/>
          <w:color w:val="000000"/>
          <w:sz w:val="24"/>
          <w:szCs w:val="24"/>
        </w:rPr>
        <w:t>Wardin</w:t>
      </w:r>
      <w:r w:rsidR="00D94007">
        <w:rPr>
          <w:rFonts w:ascii="Times New Roman" w:eastAsia="Times New Roman" w:hAnsi="Times New Roman" w:cs="Times New Roman"/>
          <w:color w:val="000000"/>
          <w:sz w:val="24"/>
          <w:szCs w:val="24"/>
        </w:rPr>
        <w:t xml:space="preserve">, </w:t>
      </w:r>
      <w:r w:rsidR="009F1AC1">
        <w:rPr>
          <w:rFonts w:ascii="Georgia" w:hAnsi="Georgia" w:cs="Times New Roman"/>
        </w:rPr>
        <w:t>¶26</w:t>
      </w:r>
      <w:r w:rsidR="00D94007" w:rsidRPr="00D5695F">
        <w:rPr>
          <w:rFonts w:ascii="Georgia" w:hAnsi="Georgia" w:cs="Times New Roman"/>
        </w:rPr>
        <w:t xml:space="preserve"> is not </w:t>
      </w:r>
      <w:r w:rsidR="00D94007">
        <w:rPr>
          <w:rFonts w:ascii="Georgia" w:hAnsi="Georgia" w:cs="Times New Roman"/>
        </w:rPr>
        <w:t>conspicuous.</w:t>
      </w:r>
    </w:p>
    <w:p w:rsidR="008F03CD" w:rsidRDefault="00D94007" w:rsidP="008F03CD">
      <w:pPr>
        <w:autoSpaceDE w:val="0"/>
        <w:autoSpaceDN w:val="0"/>
        <w:spacing w:before="100" w:beforeAutospacing="1" w:after="100" w:afterAutospacing="1" w:line="240" w:lineRule="auto"/>
        <w:rPr>
          <w:rFonts w:ascii="Times New Roman" w:hAnsi="Times New Roman" w:cs="Times New Roman"/>
          <w:sz w:val="24"/>
          <w:szCs w:val="24"/>
        </w:rPr>
      </w:pPr>
      <w:r w:rsidRPr="00B377E4">
        <w:rPr>
          <w:rFonts w:ascii="Times New Roman" w:hAnsi="Times New Roman" w:cs="Times New Roman"/>
          <w:sz w:val="24"/>
          <w:szCs w:val="24"/>
        </w:rPr>
        <w:t xml:space="preserve">There are </w:t>
      </w:r>
      <w:r w:rsidR="009F1AC1">
        <w:rPr>
          <w:rFonts w:ascii="Times New Roman" w:hAnsi="Times New Roman" w:cs="Times New Roman"/>
          <w:sz w:val="24"/>
          <w:szCs w:val="24"/>
        </w:rPr>
        <w:t>three</w:t>
      </w:r>
      <w:r w:rsidR="00C653A2">
        <w:rPr>
          <w:rFonts w:ascii="Times New Roman" w:hAnsi="Times New Roman" w:cs="Times New Roman"/>
          <w:sz w:val="24"/>
          <w:szCs w:val="24"/>
        </w:rPr>
        <w:t xml:space="preserve"> Minnesota</w:t>
      </w:r>
      <w:r w:rsidRPr="00B377E4">
        <w:rPr>
          <w:rFonts w:ascii="Times New Roman" w:hAnsi="Times New Roman" w:cs="Times New Roman"/>
          <w:sz w:val="24"/>
          <w:szCs w:val="24"/>
        </w:rPr>
        <w:t xml:space="preserve"> </w:t>
      </w:r>
      <w:r w:rsidR="00BB6D70">
        <w:rPr>
          <w:rFonts w:ascii="Times New Roman" w:hAnsi="Times New Roman" w:cs="Times New Roman"/>
          <w:sz w:val="24"/>
          <w:szCs w:val="24"/>
        </w:rPr>
        <w:t>non-landlord-tenant,</w:t>
      </w:r>
      <w:r w:rsidRPr="00B377E4">
        <w:rPr>
          <w:rFonts w:ascii="Times New Roman" w:hAnsi="Times New Roman" w:cs="Times New Roman"/>
          <w:sz w:val="24"/>
          <w:szCs w:val="24"/>
        </w:rPr>
        <w:t xml:space="preserve"> post-1971 cases </w:t>
      </w:r>
      <w:r w:rsidR="00BB6D70">
        <w:rPr>
          <w:rFonts w:ascii="Times New Roman" w:hAnsi="Times New Roman" w:cs="Times New Roman"/>
          <w:sz w:val="24"/>
          <w:szCs w:val="24"/>
        </w:rPr>
        <w:t>t</w:t>
      </w:r>
      <w:r w:rsidRPr="00B377E4">
        <w:rPr>
          <w:rFonts w:ascii="Times New Roman" w:hAnsi="Times New Roman" w:cs="Times New Roman"/>
          <w:sz w:val="24"/>
          <w:szCs w:val="24"/>
        </w:rPr>
        <w:t xml:space="preserve">hat apply the same logic as </w:t>
      </w:r>
      <w:r w:rsidRPr="00734258">
        <w:rPr>
          <w:rFonts w:ascii="Times New Roman" w:hAnsi="Times New Roman" w:cs="Times New Roman"/>
          <w:i/>
          <w:sz w:val="24"/>
          <w:szCs w:val="24"/>
        </w:rPr>
        <w:t>Wardin</w:t>
      </w:r>
      <w:r w:rsidRPr="00B377E4">
        <w:rPr>
          <w:rFonts w:ascii="Times New Roman" w:hAnsi="Times New Roman" w:cs="Times New Roman"/>
          <w:sz w:val="24"/>
          <w:szCs w:val="24"/>
        </w:rPr>
        <w:t xml:space="preserve"> in deciding whether language in a contract was conspicuous. </w:t>
      </w:r>
      <w:hyperlink r:id="rId16" w:history="1">
        <w:r w:rsidRPr="00734258">
          <w:rPr>
            <w:rStyle w:val="Hyperlink"/>
            <w:rFonts w:ascii="Times New Roman" w:eastAsia="Times New Roman" w:hAnsi="Times New Roman" w:cs="Times New Roman"/>
            <w:i/>
            <w:sz w:val="24"/>
            <w:szCs w:val="24"/>
          </w:rPr>
          <w:t>Wong v. Interspace-West, Inc</w:t>
        </w:r>
        <w:r w:rsidRPr="00734258">
          <w:rPr>
            <w:rStyle w:val="Hyperlink"/>
            <w:rFonts w:ascii="Times New Roman" w:eastAsia="Times New Roman" w:hAnsi="Times New Roman" w:cs="Times New Roman"/>
            <w:sz w:val="24"/>
            <w:szCs w:val="24"/>
          </w:rPr>
          <w:t>., 701 NW 2d 301,304 (Minn. Ct. App. 2005)</w:t>
        </w:r>
      </w:hyperlink>
      <w:r w:rsidRPr="00B377E4">
        <w:rPr>
          <w:rFonts w:ascii="Times New Roman" w:eastAsia="Times New Roman" w:hAnsi="Times New Roman" w:cs="Times New Roman"/>
          <w:color w:val="FF0000"/>
          <w:sz w:val="24"/>
          <w:szCs w:val="24"/>
        </w:rPr>
        <w:t xml:space="preserve">; </w:t>
      </w:r>
      <w:hyperlink r:id="rId17" w:history="1">
        <w:r w:rsidRPr="00734258">
          <w:rPr>
            <w:rStyle w:val="Hyperlink"/>
            <w:rFonts w:ascii="Times New Roman" w:eastAsia="Times New Roman" w:hAnsi="Times New Roman" w:cs="Times New Roman"/>
            <w:i/>
            <w:sz w:val="24"/>
            <w:szCs w:val="24"/>
          </w:rPr>
          <w:t>Agristor Leasing v. Guggisberg</w:t>
        </w:r>
        <w:r w:rsidRPr="00734258">
          <w:rPr>
            <w:rStyle w:val="Hyperlink"/>
            <w:rFonts w:ascii="Times New Roman" w:eastAsia="Times New Roman" w:hAnsi="Times New Roman" w:cs="Times New Roman"/>
            <w:sz w:val="24"/>
            <w:szCs w:val="24"/>
          </w:rPr>
          <w:t>, 617 F. Supp. 902,909 (D. Minn. 1985</w:t>
        </w:r>
        <w:r w:rsidR="008F03CD" w:rsidRPr="00734258">
          <w:rPr>
            <w:rStyle w:val="Hyperlink"/>
            <w:rFonts w:ascii="Times New Roman" w:eastAsia="Times New Roman" w:hAnsi="Times New Roman" w:cs="Times New Roman"/>
            <w:sz w:val="24"/>
            <w:szCs w:val="24"/>
          </w:rPr>
          <w:t>)</w:t>
        </w:r>
      </w:hyperlink>
      <w:r w:rsidR="008F03CD">
        <w:rPr>
          <w:rFonts w:ascii="Times New Roman" w:eastAsia="Times New Roman" w:hAnsi="Times New Roman" w:cs="Times New Roman"/>
          <w:color w:val="FF0000"/>
          <w:sz w:val="24"/>
          <w:szCs w:val="24"/>
        </w:rPr>
        <w:t xml:space="preserve">; </w:t>
      </w:r>
      <w:r w:rsidR="008F03CD" w:rsidRPr="00734258">
        <w:rPr>
          <w:rStyle w:val="Hyperlink"/>
          <w:rFonts w:ascii="Times New Roman" w:hAnsi="Times New Roman" w:cs="Times New Roman"/>
          <w:i/>
          <w:iCs/>
          <w:sz w:val="24"/>
          <w:szCs w:val="24"/>
        </w:rPr>
        <w:t>American Computer v. Jack Farrell Implement,</w:t>
      </w:r>
      <w:r w:rsidR="008F03CD" w:rsidRPr="00734258">
        <w:rPr>
          <w:rStyle w:val="Hyperlink"/>
          <w:rFonts w:ascii="Times New Roman" w:hAnsi="Times New Roman" w:cs="Times New Roman"/>
          <w:sz w:val="24"/>
          <w:szCs w:val="24"/>
        </w:rPr>
        <w:t xml:space="preserve"> 763 F.Supp. 1473, 1488 (D.Minn.1991)</w:t>
      </w:r>
      <w:r w:rsidR="008F03CD" w:rsidRPr="00734258">
        <w:rPr>
          <w:rFonts w:ascii="Times New Roman" w:hAnsi="Times New Roman" w:cs="Times New Roman"/>
          <w:sz w:val="24"/>
          <w:szCs w:val="24"/>
        </w:rPr>
        <w:t>.</w:t>
      </w:r>
    </w:p>
    <w:p w:rsidR="00BB6D70" w:rsidRDefault="00BB6D70" w:rsidP="008F03CD">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Thus, ¶26 in the Meldahl-Martin lease is not conspicuous.</w:t>
      </w:r>
    </w:p>
    <w:p w:rsidR="00C653A2" w:rsidRDefault="00C653A2" w:rsidP="008F03CD">
      <w:pPr>
        <w:autoSpaceDE w:val="0"/>
        <w:autoSpaceDN w:val="0"/>
        <w:spacing w:before="100" w:beforeAutospacing="1" w:after="100" w:afterAutospacing="1" w:line="240" w:lineRule="auto"/>
        <w:rPr>
          <w:rFonts w:ascii="Times New Roman" w:hAnsi="Times New Roman" w:cs="Times New Roman"/>
          <w:sz w:val="24"/>
          <w:szCs w:val="24"/>
        </w:rPr>
      </w:pPr>
    </w:p>
    <w:p w:rsidR="002E115B" w:rsidRPr="00B377E4" w:rsidRDefault="002E115B" w:rsidP="007366E8">
      <w:pPr>
        <w:autoSpaceDE w:val="0"/>
        <w:autoSpaceDN w:val="0"/>
        <w:spacing w:before="100" w:beforeAutospacing="1" w:after="100" w:afterAutospacing="1" w:line="240" w:lineRule="auto"/>
        <w:ind w:left="720"/>
        <w:rPr>
          <w:rFonts w:ascii="Times New Roman" w:eastAsia="Times New Roman" w:hAnsi="Times New Roman" w:cs="Times New Roman"/>
          <w:sz w:val="24"/>
          <w:szCs w:val="24"/>
          <w:u w:val="single"/>
        </w:rPr>
      </w:pPr>
      <w:r>
        <w:rPr>
          <w:rFonts w:ascii="Times New Roman" w:eastAsia="Times New Roman" w:hAnsi="Times New Roman" w:cs="Times New Roman"/>
          <w:color w:val="FF0000"/>
          <w:sz w:val="28"/>
          <w:szCs w:val="28"/>
        </w:rPr>
        <w:lastRenderedPageBreak/>
        <w:tab/>
      </w:r>
      <w:r w:rsidRPr="00B377E4">
        <w:rPr>
          <w:rFonts w:ascii="Times New Roman" w:eastAsia="Times New Roman" w:hAnsi="Times New Roman" w:cs="Times New Roman"/>
          <w:sz w:val="24"/>
          <w:szCs w:val="24"/>
          <w:u w:val="single"/>
        </w:rPr>
        <w:t>Alternative factual situations</w:t>
      </w:r>
    </w:p>
    <w:p w:rsidR="006A4FCB" w:rsidRDefault="002E115B" w:rsidP="00D94007">
      <w:pPr>
        <w:autoSpaceDE w:val="0"/>
        <w:autoSpaceDN w:val="0"/>
        <w:spacing w:before="100" w:beforeAutospacing="1" w:after="100" w:afterAutospacing="1" w:line="240" w:lineRule="auto"/>
        <w:rPr>
          <w:rFonts w:ascii="Times New Roman" w:hAnsi="Times New Roman" w:cs="Times New Roman"/>
          <w:sz w:val="24"/>
          <w:szCs w:val="24"/>
        </w:rPr>
      </w:pPr>
      <w:r w:rsidRPr="00E26C56">
        <w:rPr>
          <w:rFonts w:ascii="Times New Roman" w:eastAsia="Times New Roman" w:hAnsi="Times New Roman" w:cs="Times New Roman"/>
          <w:sz w:val="24"/>
          <w:szCs w:val="24"/>
        </w:rPr>
        <w:t xml:space="preserve">Certainly a landlord could include </w:t>
      </w:r>
      <w:r w:rsidR="00BB6D70">
        <w:rPr>
          <w:rFonts w:ascii="Times New Roman" w:hAnsi="Times New Roman" w:cs="Times New Roman"/>
          <w:sz w:val="24"/>
          <w:szCs w:val="24"/>
        </w:rPr>
        <w:t>¶26</w:t>
      </w:r>
      <w:r w:rsidRPr="00E26C56">
        <w:rPr>
          <w:rFonts w:ascii="Times New Roman" w:hAnsi="Times New Roman" w:cs="Times New Roman"/>
          <w:sz w:val="24"/>
          <w:szCs w:val="24"/>
        </w:rPr>
        <w:t xml:space="preserve"> in a lease but make it conspicuous by using</w:t>
      </w:r>
      <w:r w:rsidR="009768ED">
        <w:rPr>
          <w:rFonts w:ascii="Times New Roman" w:hAnsi="Times New Roman" w:cs="Times New Roman"/>
          <w:sz w:val="24"/>
          <w:szCs w:val="24"/>
        </w:rPr>
        <w:t xml:space="preserve"> </w:t>
      </w:r>
      <w:r w:rsidRPr="00E26C56">
        <w:rPr>
          <w:rFonts w:ascii="Times New Roman" w:hAnsi="Times New Roman" w:cs="Times New Roman"/>
          <w:sz w:val="24"/>
          <w:szCs w:val="24"/>
        </w:rPr>
        <w:t xml:space="preserve">bold lettering, capitalized lettering, or </w:t>
      </w:r>
      <w:r w:rsidR="0066496E">
        <w:rPr>
          <w:rFonts w:ascii="Times New Roman" w:hAnsi="Times New Roman" w:cs="Times New Roman"/>
          <w:sz w:val="24"/>
          <w:szCs w:val="24"/>
        </w:rPr>
        <w:t>colored printing. Sh</w:t>
      </w:r>
      <w:r w:rsidRPr="00E26C56">
        <w:rPr>
          <w:rFonts w:ascii="Times New Roman" w:hAnsi="Times New Roman" w:cs="Times New Roman"/>
          <w:sz w:val="24"/>
          <w:szCs w:val="24"/>
        </w:rPr>
        <w:t>e could have the tenant initial the paragraph as one of only a few initialed paragraphs</w:t>
      </w:r>
      <w:r w:rsidR="00BB6D70">
        <w:rPr>
          <w:rFonts w:ascii="Times New Roman" w:hAnsi="Times New Roman" w:cs="Times New Roman"/>
          <w:sz w:val="24"/>
          <w:szCs w:val="24"/>
        </w:rPr>
        <w:t>, making it conspicuous</w:t>
      </w:r>
      <w:r w:rsidRPr="00E26C56">
        <w:rPr>
          <w:rFonts w:ascii="Times New Roman" w:hAnsi="Times New Roman" w:cs="Times New Roman"/>
          <w:sz w:val="24"/>
          <w:szCs w:val="24"/>
        </w:rPr>
        <w:t xml:space="preserve">. </w:t>
      </w:r>
    </w:p>
    <w:p w:rsidR="002E115B" w:rsidRDefault="006A4FCB" w:rsidP="00D94007">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In </w:t>
      </w:r>
      <w:r w:rsidR="00BB6D70">
        <w:rPr>
          <w:rFonts w:ascii="Times New Roman" w:hAnsi="Times New Roman" w:cs="Times New Roman"/>
          <w:sz w:val="24"/>
          <w:szCs w:val="24"/>
        </w:rPr>
        <w:t xml:space="preserve">some of his leases, Meldahl </w:t>
      </w:r>
      <w:r w:rsidR="0066496E">
        <w:rPr>
          <w:rFonts w:ascii="Times New Roman" w:hAnsi="Times New Roman" w:cs="Times New Roman"/>
          <w:sz w:val="24"/>
          <w:szCs w:val="24"/>
        </w:rPr>
        <w:t xml:space="preserve">himself </w:t>
      </w:r>
      <w:r w:rsidR="00BB6D70">
        <w:rPr>
          <w:rFonts w:ascii="Times New Roman" w:hAnsi="Times New Roman" w:cs="Times New Roman"/>
          <w:sz w:val="24"/>
          <w:szCs w:val="24"/>
        </w:rPr>
        <w:t>made ¶26 conspicuous because he handwrote</w:t>
      </w:r>
      <w:r w:rsidR="002E115B" w:rsidRPr="00E26C56">
        <w:rPr>
          <w:rFonts w:ascii="Times New Roman" w:hAnsi="Times New Roman" w:cs="Times New Roman"/>
          <w:sz w:val="24"/>
          <w:szCs w:val="24"/>
        </w:rPr>
        <w:t xml:space="preserve"> </w:t>
      </w:r>
      <w:r w:rsidR="00E26C56">
        <w:rPr>
          <w:rFonts w:ascii="Times New Roman" w:hAnsi="Times New Roman" w:cs="Times New Roman"/>
          <w:sz w:val="24"/>
          <w:szCs w:val="24"/>
        </w:rPr>
        <w:t>“</w:t>
      </w:r>
      <w:r w:rsidR="00E26C56" w:rsidRPr="00E26C56">
        <w:rPr>
          <w:rFonts w:ascii="Times New Roman" w:hAnsi="Times New Roman" w:cs="Times New Roman"/>
          <w:sz w:val="24"/>
          <w:szCs w:val="24"/>
        </w:rPr>
        <w:t>612-333-6466</w:t>
      </w:r>
      <w:r w:rsidR="00E26C56">
        <w:rPr>
          <w:rFonts w:ascii="Times New Roman" w:hAnsi="Times New Roman" w:cs="Times New Roman"/>
          <w:sz w:val="24"/>
          <w:szCs w:val="24"/>
        </w:rPr>
        <w:t>”</w:t>
      </w:r>
      <w:r w:rsidR="00E26C56" w:rsidRPr="00E26C56">
        <w:rPr>
          <w:rFonts w:ascii="Times New Roman" w:hAnsi="Times New Roman" w:cs="Times New Roman"/>
          <w:sz w:val="24"/>
          <w:szCs w:val="24"/>
        </w:rPr>
        <w:t xml:space="preserve"> or </w:t>
      </w:r>
      <w:r w:rsidR="00E26C56">
        <w:rPr>
          <w:rFonts w:ascii="Times New Roman" w:hAnsi="Times New Roman" w:cs="Times New Roman"/>
          <w:sz w:val="24"/>
          <w:szCs w:val="24"/>
        </w:rPr>
        <w:t>“</w:t>
      </w:r>
      <w:r w:rsidR="00E26C56" w:rsidRPr="00E26C56">
        <w:rPr>
          <w:rFonts w:ascii="Times New Roman" w:hAnsi="Times New Roman" w:cs="Times New Roman"/>
          <w:sz w:val="24"/>
          <w:szCs w:val="24"/>
        </w:rPr>
        <w:t>333-6466</w:t>
      </w:r>
      <w:r w:rsidR="00E26C56">
        <w:rPr>
          <w:rFonts w:ascii="Times New Roman" w:hAnsi="Times New Roman" w:cs="Times New Roman"/>
          <w:sz w:val="24"/>
          <w:szCs w:val="24"/>
        </w:rPr>
        <w:t>”</w:t>
      </w:r>
      <w:r w:rsidR="00E26C56" w:rsidRPr="00E26C56">
        <w:rPr>
          <w:rFonts w:ascii="Times New Roman" w:hAnsi="Times New Roman" w:cs="Times New Roman"/>
          <w:sz w:val="24"/>
          <w:szCs w:val="24"/>
        </w:rPr>
        <w:t xml:space="preserve"> </w:t>
      </w:r>
      <w:r w:rsidR="00BB6D70">
        <w:rPr>
          <w:rFonts w:ascii="Times New Roman" w:hAnsi="Times New Roman" w:cs="Times New Roman"/>
          <w:sz w:val="24"/>
          <w:szCs w:val="24"/>
        </w:rPr>
        <w:t xml:space="preserve">to the left of </w:t>
      </w:r>
      <w:r w:rsidR="00BE1261">
        <w:rPr>
          <w:rFonts w:ascii="Times New Roman" w:hAnsi="Times New Roman" w:cs="Times New Roman"/>
          <w:sz w:val="24"/>
          <w:szCs w:val="24"/>
        </w:rPr>
        <w:t>the paragraph</w:t>
      </w:r>
      <w:r w:rsidR="009768ED">
        <w:rPr>
          <w:rStyle w:val="FootnoteReference"/>
          <w:rFonts w:ascii="Times New Roman" w:hAnsi="Times New Roman" w:cs="Times New Roman"/>
          <w:sz w:val="24"/>
          <w:szCs w:val="24"/>
        </w:rPr>
        <w:footnoteReference w:id="8"/>
      </w:r>
      <w:r w:rsidR="00E26C56" w:rsidRPr="00E26C56">
        <w:rPr>
          <w:rFonts w:ascii="Times New Roman" w:hAnsi="Times New Roman" w:cs="Times New Roman"/>
          <w:sz w:val="24"/>
          <w:szCs w:val="24"/>
        </w:rPr>
        <w:t xml:space="preserve">; this is the phone number for the Service-Plus department of </w:t>
      </w:r>
      <w:r w:rsidR="0066496E">
        <w:rPr>
          <w:rFonts w:ascii="Times New Roman" w:hAnsi="Times New Roman" w:cs="Times New Roman"/>
          <w:sz w:val="24"/>
          <w:szCs w:val="24"/>
        </w:rPr>
        <w:t>CenterPoint</w:t>
      </w:r>
      <w:r w:rsidR="00E26C56" w:rsidRPr="00E26C56">
        <w:rPr>
          <w:rFonts w:ascii="Times New Roman" w:hAnsi="Times New Roman" w:cs="Times New Roman"/>
          <w:sz w:val="24"/>
          <w:szCs w:val="24"/>
        </w:rPr>
        <w:t xml:space="preserve"> Energy.</w:t>
      </w:r>
      <w:r w:rsidR="00E26C56">
        <w:rPr>
          <w:rFonts w:ascii="Times New Roman" w:hAnsi="Times New Roman" w:cs="Times New Roman"/>
          <w:sz w:val="24"/>
          <w:szCs w:val="24"/>
        </w:rPr>
        <w:t xml:space="preserve"> Since f</w:t>
      </w:r>
      <w:r w:rsidR="00E26C56" w:rsidRPr="00E26C56">
        <w:rPr>
          <w:rFonts w:ascii="Times New Roman" w:hAnsi="Times New Roman" w:cs="Times New Roman"/>
          <w:sz w:val="24"/>
          <w:szCs w:val="24"/>
        </w:rPr>
        <w:t>e</w:t>
      </w:r>
      <w:r w:rsidR="00E26C56">
        <w:rPr>
          <w:rFonts w:ascii="Times New Roman" w:hAnsi="Times New Roman" w:cs="Times New Roman"/>
          <w:sz w:val="24"/>
          <w:szCs w:val="24"/>
        </w:rPr>
        <w:t>w other</w:t>
      </w:r>
      <w:r w:rsidR="00E26C56" w:rsidRPr="00E26C56">
        <w:rPr>
          <w:rFonts w:ascii="Times New Roman" w:hAnsi="Times New Roman" w:cs="Times New Roman"/>
          <w:sz w:val="24"/>
          <w:szCs w:val="24"/>
        </w:rPr>
        <w:t xml:space="preserve"> paragraphs have adjacent </w:t>
      </w:r>
      <w:r w:rsidR="00BB6D70">
        <w:rPr>
          <w:rFonts w:ascii="Times New Roman" w:hAnsi="Times New Roman" w:cs="Times New Roman"/>
          <w:sz w:val="24"/>
          <w:szCs w:val="24"/>
        </w:rPr>
        <w:t>ha</w:t>
      </w:r>
      <w:r w:rsidR="00BE1261">
        <w:rPr>
          <w:rFonts w:ascii="Times New Roman" w:hAnsi="Times New Roman" w:cs="Times New Roman"/>
          <w:sz w:val="24"/>
          <w:szCs w:val="24"/>
        </w:rPr>
        <w:t>ndwriting, in these leases the Service-Plus paragraph</w:t>
      </w:r>
      <w:r w:rsidR="00BB6D70">
        <w:rPr>
          <w:rStyle w:val="FootnoteReference"/>
          <w:rFonts w:ascii="Times New Roman" w:hAnsi="Times New Roman" w:cs="Times New Roman"/>
          <w:sz w:val="24"/>
          <w:szCs w:val="24"/>
        </w:rPr>
        <w:footnoteReference w:id="9"/>
      </w:r>
      <w:r w:rsidR="00E26C56" w:rsidRPr="00E26C56">
        <w:rPr>
          <w:rFonts w:ascii="Times New Roman" w:hAnsi="Times New Roman" w:cs="Times New Roman"/>
          <w:sz w:val="24"/>
          <w:szCs w:val="24"/>
        </w:rPr>
        <w:t xml:space="preserve"> probably is “conspicuous”.</w:t>
      </w:r>
    </w:p>
    <w:p w:rsidR="00B377E4" w:rsidRDefault="00B377E4" w:rsidP="00D94007">
      <w:pPr>
        <w:autoSpaceDE w:val="0"/>
        <w:autoSpaceDN w:val="0"/>
        <w:spacing w:before="100" w:beforeAutospacing="1" w:after="100" w:afterAutospacing="1" w:line="240" w:lineRule="auto"/>
        <w:rPr>
          <w:rFonts w:ascii="Times New Roman" w:hAnsi="Times New Roman" w:cs="Times New Roman"/>
          <w:sz w:val="24"/>
          <w:szCs w:val="24"/>
        </w:rPr>
      </w:pPr>
      <w:r w:rsidRPr="00881172">
        <w:rPr>
          <w:rFonts w:ascii="Times New Roman" w:hAnsi="Times New Roman" w:cs="Times New Roman"/>
          <w:sz w:val="24"/>
          <w:szCs w:val="24"/>
        </w:rPr>
        <w:t xml:space="preserve">Thus </w:t>
      </w:r>
      <w:r w:rsidR="00C246D1">
        <w:rPr>
          <w:rFonts w:ascii="Times New Roman" w:hAnsi="Times New Roman" w:cs="Times New Roman"/>
          <w:sz w:val="24"/>
          <w:szCs w:val="24"/>
        </w:rPr>
        <w:t>some landlord</w:t>
      </w:r>
      <w:r w:rsidR="006A4FCB">
        <w:rPr>
          <w:rFonts w:ascii="Times New Roman" w:hAnsi="Times New Roman" w:cs="Times New Roman"/>
          <w:sz w:val="24"/>
          <w:szCs w:val="24"/>
        </w:rPr>
        <w:t>s</w:t>
      </w:r>
      <w:r w:rsidR="00C246D1">
        <w:rPr>
          <w:rFonts w:ascii="Times New Roman" w:hAnsi="Times New Roman" w:cs="Times New Roman"/>
          <w:sz w:val="24"/>
          <w:szCs w:val="24"/>
        </w:rPr>
        <w:t xml:space="preserve"> use</w:t>
      </w:r>
      <w:r w:rsidR="00BB6D70">
        <w:rPr>
          <w:rFonts w:ascii="Times New Roman" w:hAnsi="Times New Roman" w:cs="Times New Roman"/>
          <w:sz w:val="24"/>
          <w:szCs w:val="24"/>
        </w:rPr>
        <w:t xml:space="preserve"> leases with language like ¶26 </w:t>
      </w:r>
      <w:r w:rsidRPr="00881172">
        <w:rPr>
          <w:rFonts w:ascii="Times New Roman" w:hAnsi="Times New Roman" w:cs="Times New Roman"/>
          <w:sz w:val="24"/>
          <w:szCs w:val="24"/>
        </w:rPr>
        <w:t xml:space="preserve">but </w:t>
      </w:r>
      <w:r w:rsidR="00C246D1">
        <w:rPr>
          <w:rFonts w:ascii="Times New Roman" w:hAnsi="Times New Roman" w:cs="Times New Roman"/>
          <w:sz w:val="24"/>
          <w:szCs w:val="24"/>
        </w:rPr>
        <w:t>make</w:t>
      </w:r>
      <w:r w:rsidRPr="00881172">
        <w:rPr>
          <w:rFonts w:ascii="Times New Roman" w:hAnsi="Times New Roman" w:cs="Times New Roman"/>
          <w:sz w:val="24"/>
          <w:szCs w:val="24"/>
        </w:rPr>
        <w:t xml:space="preserve"> </w:t>
      </w:r>
      <w:r w:rsidR="00CD3FAC">
        <w:rPr>
          <w:rFonts w:ascii="Times New Roman" w:hAnsi="Times New Roman" w:cs="Times New Roman"/>
          <w:sz w:val="24"/>
          <w:szCs w:val="24"/>
        </w:rPr>
        <w:t>the</w:t>
      </w:r>
      <w:r w:rsidRPr="00881172">
        <w:rPr>
          <w:rFonts w:ascii="Times New Roman" w:hAnsi="Times New Roman" w:cs="Times New Roman"/>
          <w:sz w:val="24"/>
          <w:szCs w:val="24"/>
        </w:rPr>
        <w:t xml:space="preserve"> language</w:t>
      </w:r>
      <w:r w:rsidR="00CD3FAC">
        <w:rPr>
          <w:rFonts w:ascii="Times New Roman" w:hAnsi="Times New Roman" w:cs="Times New Roman"/>
          <w:sz w:val="24"/>
          <w:szCs w:val="24"/>
        </w:rPr>
        <w:t xml:space="preserve"> </w:t>
      </w:r>
      <w:r w:rsidRPr="00881172">
        <w:rPr>
          <w:rFonts w:ascii="Times New Roman" w:hAnsi="Times New Roman" w:cs="Times New Roman"/>
          <w:sz w:val="24"/>
          <w:szCs w:val="24"/>
        </w:rPr>
        <w:t>“conspicuous”</w:t>
      </w:r>
      <w:r w:rsidR="00C246D1">
        <w:rPr>
          <w:rFonts w:ascii="Times New Roman" w:hAnsi="Times New Roman" w:cs="Times New Roman"/>
          <w:sz w:val="24"/>
          <w:szCs w:val="24"/>
        </w:rPr>
        <w:t xml:space="preserve"> and</w:t>
      </w:r>
      <w:r w:rsidR="009768ED">
        <w:rPr>
          <w:rFonts w:ascii="Times New Roman" w:hAnsi="Times New Roman" w:cs="Times New Roman"/>
          <w:sz w:val="24"/>
          <w:szCs w:val="24"/>
        </w:rPr>
        <w:t xml:space="preserve"> even some of Meldahl’s leases </w:t>
      </w:r>
      <w:r w:rsidR="00C246D1">
        <w:rPr>
          <w:rFonts w:ascii="Times New Roman" w:hAnsi="Times New Roman" w:cs="Times New Roman"/>
          <w:sz w:val="24"/>
          <w:szCs w:val="24"/>
        </w:rPr>
        <w:t xml:space="preserve">make ¶26 </w:t>
      </w:r>
      <w:r w:rsidR="00C246D1" w:rsidRPr="00881172">
        <w:rPr>
          <w:rFonts w:ascii="Times New Roman" w:hAnsi="Times New Roman" w:cs="Times New Roman"/>
          <w:sz w:val="24"/>
          <w:szCs w:val="24"/>
        </w:rPr>
        <w:t>“conspicuous”</w:t>
      </w:r>
      <w:r w:rsidRPr="00881172">
        <w:rPr>
          <w:rFonts w:ascii="Times New Roman" w:hAnsi="Times New Roman" w:cs="Times New Roman"/>
          <w:sz w:val="24"/>
          <w:szCs w:val="24"/>
        </w:rPr>
        <w:t xml:space="preserve">. </w:t>
      </w:r>
      <w:r w:rsidR="00BB6D70">
        <w:rPr>
          <w:rFonts w:ascii="Times New Roman" w:hAnsi="Times New Roman" w:cs="Times New Roman"/>
          <w:sz w:val="24"/>
          <w:szCs w:val="24"/>
        </w:rPr>
        <w:t>Whether</w:t>
      </w:r>
      <w:r w:rsidR="00C043BC" w:rsidRPr="00881172">
        <w:rPr>
          <w:rFonts w:ascii="Times New Roman" w:hAnsi="Times New Roman" w:cs="Times New Roman"/>
          <w:sz w:val="24"/>
          <w:szCs w:val="24"/>
        </w:rPr>
        <w:t xml:space="preserve"> this mean</w:t>
      </w:r>
      <w:r w:rsidR="00C246D1">
        <w:rPr>
          <w:rFonts w:ascii="Times New Roman" w:hAnsi="Times New Roman" w:cs="Times New Roman"/>
          <w:sz w:val="24"/>
          <w:szCs w:val="24"/>
        </w:rPr>
        <w:t>s in those cases</w:t>
      </w:r>
      <w:r w:rsidR="00C043BC" w:rsidRPr="00881172">
        <w:rPr>
          <w:rFonts w:ascii="Times New Roman" w:hAnsi="Times New Roman" w:cs="Times New Roman"/>
          <w:sz w:val="24"/>
          <w:szCs w:val="24"/>
        </w:rPr>
        <w:t xml:space="preserve"> that the “agreement” is supported by “adequate consideration” or </w:t>
      </w:r>
      <w:r w:rsidR="00CD3FAC">
        <w:rPr>
          <w:rFonts w:ascii="Times New Roman" w:hAnsi="Times New Roman" w:cs="Times New Roman"/>
          <w:sz w:val="24"/>
          <w:szCs w:val="24"/>
        </w:rPr>
        <w:t xml:space="preserve">that </w:t>
      </w:r>
      <w:r w:rsidR="00C043BC" w:rsidRPr="00881172">
        <w:rPr>
          <w:rFonts w:ascii="Times New Roman" w:hAnsi="Times New Roman" w:cs="Times New Roman"/>
          <w:sz w:val="24"/>
          <w:szCs w:val="24"/>
        </w:rPr>
        <w:t>the “agreement” (as opposed to simply ¶2</w:t>
      </w:r>
      <w:r w:rsidR="00CB47C5">
        <w:rPr>
          <w:rFonts w:ascii="Times New Roman" w:hAnsi="Times New Roman" w:cs="Times New Roman"/>
          <w:sz w:val="24"/>
          <w:szCs w:val="24"/>
        </w:rPr>
        <w:t>6</w:t>
      </w:r>
      <w:r w:rsidR="00C043BC" w:rsidRPr="00881172">
        <w:rPr>
          <w:rFonts w:ascii="Times New Roman" w:hAnsi="Times New Roman" w:cs="Times New Roman"/>
          <w:sz w:val="24"/>
          <w:szCs w:val="24"/>
        </w:rPr>
        <w:t xml:space="preserve">) </w:t>
      </w:r>
      <w:r w:rsidR="00CD3FAC">
        <w:rPr>
          <w:rFonts w:ascii="Times New Roman" w:hAnsi="Times New Roman" w:cs="Times New Roman"/>
          <w:sz w:val="24"/>
          <w:szCs w:val="24"/>
        </w:rPr>
        <w:t xml:space="preserve">is </w:t>
      </w:r>
      <w:r w:rsidR="00C043BC" w:rsidRPr="00881172">
        <w:rPr>
          <w:rFonts w:ascii="Times New Roman" w:hAnsi="Times New Roman" w:cs="Times New Roman"/>
          <w:sz w:val="24"/>
          <w:szCs w:val="24"/>
        </w:rPr>
        <w:t>“set forth in a conspicuous writing”</w:t>
      </w:r>
      <w:r w:rsidR="00BB6D70">
        <w:rPr>
          <w:rFonts w:ascii="Times New Roman" w:hAnsi="Times New Roman" w:cs="Times New Roman"/>
          <w:sz w:val="24"/>
          <w:szCs w:val="24"/>
        </w:rPr>
        <w:t xml:space="preserve"> is </w:t>
      </w:r>
      <w:r w:rsidR="00C043BC" w:rsidRPr="00881172">
        <w:rPr>
          <w:rFonts w:ascii="Times New Roman" w:hAnsi="Times New Roman" w:cs="Times New Roman"/>
          <w:sz w:val="24"/>
          <w:szCs w:val="24"/>
        </w:rPr>
        <w:t>discuss</w:t>
      </w:r>
      <w:r w:rsidR="00BB6D70">
        <w:rPr>
          <w:rFonts w:ascii="Times New Roman" w:hAnsi="Times New Roman" w:cs="Times New Roman"/>
          <w:sz w:val="24"/>
          <w:szCs w:val="24"/>
        </w:rPr>
        <w:t>ed below</w:t>
      </w:r>
      <w:r w:rsidR="00C043BC" w:rsidRPr="00881172">
        <w:rPr>
          <w:rFonts w:ascii="Times New Roman" w:hAnsi="Times New Roman" w:cs="Times New Roman"/>
          <w:sz w:val="24"/>
          <w:szCs w:val="24"/>
        </w:rPr>
        <w:t>.</w:t>
      </w:r>
    </w:p>
    <w:p w:rsidR="000B18B0" w:rsidRPr="00426BE5" w:rsidRDefault="007366E8" w:rsidP="007366E8">
      <w:pPr>
        <w:pStyle w:val="NormalWeb"/>
        <w:ind w:left="720"/>
        <w:rPr>
          <w:u w:val="single"/>
        </w:rPr>
      </w:pPr>
      <w:r>
        <w:rPr>
          <w:u w:val="single"/>
        </w:rPr>
        <w:t xml:space="preserve">Did Meldahl’s tenant receive </w:t>
      </w:r>
      <w:r w:rsidR="006A4FCB">
        <w:rPr>
          <w:u w:val="single"/>
        </w:rPr>
        <w:t>a</w:t>
      </w:r>
      <w:r w:rsidR="000B18B0" w:rsidRPr="00426BE5">
        <w:rPr>
          <w:u w:val="single"/>
        </w:rPr>
        <w:t>dequate</w:t>
      </w:r>
      <w:r w:rsidR="006A4FCB">
        <w:rPr>
          <w:u w:val="single"/>
        </w:rPr>
        <w:t xml:space="preserve"> c</w:t>
      </w:r>
      <w:r w:rsidR="000B18B0" w:rsidRPr="00426BE5">
        <w:rPr>
          <w:u w:val="single"/>
        </w:rPr>
        <w:t>onsideration</w:t>
      </w:r>
      <w:r>
        <w:rPr>
          <w:u w:val="single"/>
        </w:rPr>
        <w:t xml:space="preserve"> in return for the Service-Plus requirement?</w:t>
      </w:r>
    </w:p>
    <w:p w:rsidR="00CD3FAC" w:rsidRDefault="00677752" w:rsidP="00CD3FAC">
      <w:pPr>
        <w:pStyle w:val="NormalWeb"/>
      </w:pPr>
      <w:hyperlink r:id="rId18" w:history="1">
        <w:r w:rsidR="00CD3FAC" w:rsidRPr="0029675D">
          <w:rPr>
            <w:rStyle w:val="Hyperlink"/>
          </w:rPr>
          <w:t>Black’s Law Dictionary (Rev. 4</w:t>
        </w:r>
        <w:r w:rsidR="00CD3FAC" w:rsidRPr="0029675D">
          <w:rPr>
            <w:rStyle w:val="Hyperlink"/>
            <w:vertAlign w:val="superscript"/>
          </w:rPr>
          <w:t>th</w:t>
        </w:r>
        <w:r w:rsidR="0029675D" w:rsidRPr="0029675D">
          <w:rPr>
            <w:rStyle w:val="Hyperlink"/>
          </w:rPr>
          <w:t xml:space="preserve"> ed. 1968)</w:t>
        </w:r>
      </w:hyperlink>
      <w:r w:rsidR="008974C6">
        <w:rPr>
          <w:rStyle w:val="Hyperlink"/>
          <w:color w:val="FF0000"/>
          <w:u w:val="none"/>
        </w:rPr>
        <w:t xml:space="preserve"> </w:t>
      </w:r>
      <w:r w:rsidR="006A4FCB">
        <w:t>de</w:t>
      </w:r>
      <w:r w:rsidR="000B18B0" w:rsidRPr="00426BE5">
        <w:t>fined “</w:t>
      </w:r>
      <w:r w:rsidR="00426BE5" w:rsidRPr="00426BE5">
        <w:t>Adequate Consideration</w:t>
      </w:r>
      <w:r w:rsidR="00426BE5">
        <w:t xml:space="preserve">” </w:t>
      </w:r>
      <w:r w:rsidR="0029675D">
        <w:t>as</w:t>
      </w:r>
      <w:r w:rsidR="00426BE5">
        <w:t xml:space="preserve"> “</w:t>
      </w:r>
      <w:r w:rsidR="00CD3FAC" w:rsidRPr="00426BE5">
        <w:t>One which is equal, or reasonably proportioned, to the value of that for which it is given.</w:t>
      </w:r>
      <w:r w:rsidR="00426BE5">
        <w:t>” S</w:t>
      </w:r>
      <w:r w:rsidR="00426BE5" w:rsidRPr="00CD3FAC">
        <w:t>ubsequent editions</w:t>
      </w:r>
      <w:r w:rsidR="007366E8">
        <w:t xml:space="preserve"> also</w:t>
      </w:r>
      <w:r w:rsidR="00426BE5" w:rsidRPr="00CD3FAC">
        <w:t xml:space="preserve"> have this definition</w:t>
      </w:r>
      <w:r w:rsidR="009768ED">
        <w:t>.</w:t>
      </w:r>
      <w:r w:rsidR="00426BE5">
        <w:t xml:space="preserve"> There is one pre-1971 Minnesota appellate case </w:t>
      </w:r>
      <w:r w:rsidR="007F1B8F">
        <w:t>applying this principle</w:t>
      </w:r>
      <w:r w:rsidR="00426BE5">
        <w:t xml:space="preserve">, </w:t>
      </w:r>
      <w:hyperlink r:id="rId19" w:history="1">
        <w:r w:rsidR="00CD3FAC" w:rsidRPr="00990BD2">
          <w:rPr>
            <w:rStyle w:val="Hyperlink"/>
            <w:i/>
            <w:iCs/>
          </w:rPr>
          <w:t>Husbyn v. Lunde,</w:t>
        </w:r>
        <w:r w:rsidR="00CD3FAC" w:rsidRPr="00990BD2">
          <w:rPr>
            <w:rStyle w:val="Hyperlink"/>
          </w:rPr>
          <w:t xml:space="preserve"> 283 Minn. 74,</w:t>
        </w:r>
        <w:r w:rsidR="007F1B8F">
          <w:rPr>
            <w:rStyle w:val="Hyperlink"/>
          </w:rPr>
          <w:t>---,</w:t>
        </w:r>
        <w:r w:rsidR="00CD3FAC" w:rsidRPr="00990BD2">
          <w:rPr>
            <w:rStyle w:val="Hyperlink"/>
          </w:rPr>
          <w:t xml:space="preserve"> 166 N.W.2d 333,335 (1969)</w:t>
        </w:r>
      </w:hyperlink>
      <w:r w:rsidR="00CD3FAC" w:rsidRPr="00990BD2">
        <w:t xml:space="preserve"> </w:t>
      </w:r>
      <w:r w:rsidR="00426BE5">
        <w:t>(</w:t>
      </w:r>
      <w:r w:rsidR="00CD3FAC" w:rsidRPr="00990BD2">
        <w:t>"To warrant specific performance of an oral contract to give real property by will, the contract … it must have been made for an adequate consideration and upon terms which are otherwise fair and reasonable;”</w:t>
      </w:r>
      <w:r w:rsidR="00426BE5">
        <w:t>)</w:t>
      </w:r>
    </w:p>
    <w:p w:rsidR="000222C2" w:rsidRDefault="000222C2" w:rsidP="00CD3FAC">
      <w:pPr>
        <w:pStyle w:val="NormalWeb"/>
      </w:pPr>
      <w:r>
        <w:t xml:space="preserve">The </w:t>
      </w:r>
      <w:r w:rsidRPr="008C0071">
        <w:t>legislative history of 1971 Minn. Laws ch. 219</w:t>
      </w:r>
      <w:r w:rsidR="008C0071" w:rsidRPr="008C0071">
        <w:rPr>
          <w:rStyle w:val="FootnoteReference"/>
        </w:rPr>
        <w:footnoteReference w:id="10"/>
      </w:r>
      <w:r w:rsidRPr="000222C2">
        <w:rPr>
          <w:color w:val="FF0000"/>
        </w:rPr>
        <w:t xml:space="preserve"> </w:t>
      </w:r>
      <w:r>
        <w:t>makes clear that the legislature intended to require more than just some consideration from the landlord. The original bill required only “valid consideration”</w:t>
      </w:r>
      <w:r w:rsidR="009D2343">
        <w:t xml:space="preserve"> – something of value but not necessarily of equal value</w:t>
      </w:r>
      <w:r>
        <w:t>.</w:t>
      </w:r>
      <w:r w:rsidR="009D2343">
        <w:rPr>
          <w:rStyle w:val="FootnoteReference"/>
        </w:rPr>
        <w:footnoteReference w:id="11"/>
      </w:r>
      <w:r>
        <w:t xml:space="preserve"> In committee, </w:t>
      </w:r>
      <w:r>
        <w:lastRenderedPageBreak/>
        <w:t xml:space="preserve">the bill was amended to </w:t>
      </w:r>
      <w:r w:rsidR="001064AB">
        <w:t>substitute</w:t>
      </w:r>
      <w:r>
        <w:t xml:space="preserve"> “adequate consideration”</w:t>
      </w:r>
      <w:r w:rsidR="001064AB">
        <w:t xml:space="preserve"> for “valid consideration”. T</w:t>
      </w:r>
      <w:r w:rsidR="009D2343">
        <w:t>he amended bill was passed into law.</w:t>
      </w:r>
    </w:p>
    <w:p w:rsidR="009D2040" w:rsidRDefault="00F306D6" w:rsidP="00CD3FAC">
      <w:pPr>
        <w:pStyle w:val="NormalWeb"/>
      </w:pPr>
      <w:r>
        <w:t xml:space="preserve">Has </w:t>
      </w:r>
      <w:r w:rsidR="00F94F0A">
        <w:t>a</w:t>
      </w:r>
      <w:r>
        <w:t xml:space="preserve"> tenant with the </w:t>
      </w:r>
      <w:r w:rsidR="007366E8">
        <w:t>¶26</w:t>
      </w:r>
      <w:r>
        <w:t xml:space="preserve"> lease received adequate consideration for having to purchase the Service Plus</w:t>
      </w:r>
      <w:r w:rsidR="0024510A">
        <w:t xml:space="preserve"> contract?</w:t>
      </w:r>
      <w:r w:rsidR="007366E8">
        <w:t xml:space="preserve"> T</w:t>
      </w:r>
      <w:r>
        <w:t>he Minnesota Attorney General determined the monthly price for the</w:t>
      </w:r>
      <w:r w:rsidR="00292C63">
        <w:t xml:space="preserve"> Service Plus</w:t>
      </w:r>
      <w:r>
        <w:t xml:space="preserve"> contract to be $53.</w:t>
      </w:r>
      <w:r w:rsidR="005E263B">
        <w:t>90</w:t>
      </w:r>
      <w:r>
        <w:t>.</w:t>
      </w:r>
      <w:r>
        <w:rPr>
          <w:rStyle w:val="FootnoteReference"/>
        </w:rPr>
        <w:footnoteReference w:id="12"/>
      </w:r>
      <w:r w:rsidR="00A4794E">
        <w:t xml:space="preserve"> The tenant also has to be home when </w:t>
      </w:r>
      <w:r w:rsidR="0066496E">
        <w:t>CenterPoint</w:t>
      </w:r>
      <w:r w:rsidR="00A4794E">
        <w:t>’s repairwomen come</w:t>
      </w:r>
      <w:r w:rsidR="000222C2">
        <w:t>s</w:t>
      </w:r>
      <w:r w:rsidR="00A4794E">
        <w:t xml:space="preserve">, typically meaning a half-day of work lost; if the landlord did the repairs that time would not be lost. There are likely some lost benefits from the </w:t>
      </w:r>
      <w:hyperlink r:id="rId20" w:history="1">
        <w:r w:rsidR="00A4794E" w:rsidRPr="001064AB">
          <w:rPr>
            <w:rStyle w:val="Hyperlink"/>
          </w:rPr>
          <w:t>renter’s rebate</w:t>
        </w:r>
      </w:hyperlink>
      <w:r w:rsidR="00A4794E">
        <w:t xml:space="preserve"> as well. Altogether, the tenant is likely out $55-60 per month or </w:t>
      </w:r>
      <w:r w:rsidR="009D2040">
        <w:t>$660-$720 for a one-year lease.</w:t>
      </w:r>
    </w:p>
    <w:p w:rsidR="00F306D6" w:rsidRDefault="00A4794E" w:rsidP="00CD3FAC">
      <w:pPr>
        <w:pStyle w:val="NormalWeb"/>
      </w:pPr>
      <w:r>
        <w:t xml:space="preserve">Conceivably </w:t>
      </w:r>
      <w:r w:rsidR="009D2040">
        <w:t>Meldahl paid Martin or other tenants this amount or provided extra amenities worth about $55 a month or otherwise compensated them similarly. There is nothing in the</w:t>
      </w:r>
      <w:r w:rsidR="00311248">
        <w:t xml:space="preserve"> current record </w:t>
      </w:r>
      <w:r w:rsidR="009D2040">
        <w:t>indicating this to be true but it could be true.</w:t>
      </w:r>
    </w:p>
    <w:p w:rsidR="00311248" w:rsidRDefault="009D2040" w:rsidP="00F94F0A">
      <w:pPr>
        <w:pStyle w:val="NormalWeb"/>
      </w:pPr>
      <w:r>
        <w:t>What is clear is that</w:t>
      </w:r>
      <w:r w:rsidR="006A1543">
        <w:t xml:space="preserve"> the final clause in ¶26, “</w:t>
      </w:r>
      <w:r w:rsidR="006A1543" w:rsidRPr="00777FC7">
        <w:t>the rental rate has been adjusted to compensate t</w:t>
      </w:r>
      <w:r w:rsidR="006A1543">
        <w:t>he t</w:t>
      </w:r>
      <w:r w:rsidR="000B2B21">
        <w:t xml:space="preserve">enant for this requirement”, by itself is </w:t>
      </w:r>
      <w:r w:rsidR="006A1543">
        <w:t>legally irrelevant.</w:t>
      </w:r>
      <w:r>
        <w:t xml:space="preserve"> </w:t>
      </w:r>
      <w:r w:rsidR="00F94F0A">
        <w:t xml:space="preserve">Certainly if </w:t>
      </w:r>
      <w:r w:rsidR="006A1543">
        <w:t xml:space="preserve">Meldahl </w:t>
      </w:r>
      <w:r w:rsidR="00F94F0A">
        <w:t xml:space="preserve">had </w:t>
      </w:r>
      <w:r w:rsidR="006A1543">
        <w:t>met with Martin and told her, “either you can rent this house for $11</w:t>
      </w:r>
      <w:r w:rsidR="00311248">
        <w:t>60</w:t>
      </w:r>
      <w:r w:rsidR="006A1543">
        <w:t xml:space="preserve"> per month and I’ll deal with appliance repair or you can rent this house for $1100 per month and ¶26 will be in the lease and you must obey it” and then Martin chose $1100 with ¶26 in the lease, that would have met the adequate-consideration requirement. </w:t>
      </w:r>
      <w:r w:rsidR="00F94F0A">
        <w:t>However, t</w:t>
      </w:r>
      <w:r w:rsidR="006A1543" w:rsidRPr="00A31D0E">
        <w:t xml:space="preserve">hat hypothetical negotiation seems unlikely. </w:t>
      </w:r>
    </w:p>
    <w:p w:rsidR="00500D9A" w:rsidRPr="00A31D0E" w:rsidRDefault="006A1543" w:rsidP="00F94F0A">
      <w:pPr>
        <w:pStyle w:val="NormalWeb"/>
      </w:pPr>
      <w:r w:rsidRPr="00A31D0E">
        <w:t>If Meldahl</w:t>
      </w:r>
      <w:r w:rsidR="00F94F0A">
        <w:t xml:space="preserve"> just</w:t>
      </w:r>
      <w:r w:rsidRPr="00A31D0E">
        <w:t xml:space="preserve"> unilaterally decided to charge Martin $1100 per month and include ¶26 in the lease, then there was no adequate consideration because there was no consideration.</w:t>
      </w:r>
      <w:r w:rsidR="0029101B" w:rsidRPr="00A31D0E">
        <w:t xml:space="preserve"> </w:t>
      </w:r>
      <w:r w:rsidR="00500D9A" w:rsidRPr="00A31D0E">
        <w:t xml:space="preserve">In a leading case, </w:t>
      </w:r>
      <w:hyperlink r:id="rId21" w:history="1">
        <w:r w:rsidR="00500D9A" w:rsidRPr="00A31D0E">
          <w:rPr>
            <w:rStyle w:val="Hyperlink"/>
            <w:i/>
            <w:iCs/>
          </w:rPr>
          <w:t>Baehr v. Penn-O-Tex Oil Corp.,</w:t>
        </w:r>
        <w:r w:rsidR="00500D9A" w:rsidRPr="00A31D0E">
          <w:rPr>
            <w:rStyle w:val="Hyperlink"/>
          </w:rPr>
          <w:t xml:space="preserve"> 258 Min</w:t>
        </w:r>
        <w:r w:rsidR="00FB626B">
          <w:rPr>
            <w:rStyle w:val="Hyperlink"/>
          </w:rPr>
          <w:t>n. 533,538-39, 104 N.W.2d 661,</w:t>
        </w:r>
        <w:r w:rsidR="00500D9A" w:rsidRPr="00A31D0E">
          <w:rPr>
            <w:rStyle w:val="Hyperlink"/>
          </w:rPr>
          <w:t>665 (1960)</w:t>
        </w:r>
      </w:hyperlink>
      <w:r w:rsidR="00311248">
        <w:t xml:space="preserve">, </w:t>
      </w:r>
      <w:r w:rsidR="00311248" w:rsidRPr="00A31D0E">
        <w:t xml:space="preserve">the Minnesota Supreme Court </w:t>
      </w:r>
      <w:r w:rsidR="00500D9A" w:rsidRPr="00A31D0E">
        <w:t>held:</w:t>
      </w:r>
    </w:p>
    <w:p w:rsidR="0029101B" w:rsidRDefault="0029101B" w:rsidP="00500D9A">
      <w:pPr>
        <w:spacing w:before="100" w:beforeAutospacing="1" w:after="100" w:afterAutospacing="1" w:line="240" w:lineRule="auto"/>
        <w:ind w:left="720"/>
        <w:rPr>
          <w:rFonts w:ascii="Times New Roman" w:hAnsi="Times New Roman" w:cs="Times New Roman"/>
          <w:sz w:val="24"/>
          <w:szCs w:val="24"/>
        </w:rPr>
      </w:pPr>
      <w:r w:rsidRPr="00500D9A">
        <w:rPr>
          <w:rFonts w:ascii="Times New Roman" w:hAnsi="Times New Roman" w:cs="Times New Roman"/>
          <w:sz w:val="24"/>
          <w:szCs w:val="24"/>
          <w:u w:val="single"/>
        </w:rPr>
        <w:t>Consideration requires that a contractual promise be the product of a bargain</w:t>
      </w:r>
      <w:r>
        <w:rPr>
          <w:rFonts w:ascii="Times New Roman" w:hAnsi="Times New Roman" w:cs="Times New Roman"/>
          <w:sz w:val="24"/>
          <w:szCs w:val="24"/>
        </w:rPr>
        <w:t>. …</w:t>
      </w:r>
      <w:r w:rsidR="00683BCC">
        <w:rPr>
          <w:rFonts w:ascii="Times New Roman" w:hAnsi="Times New Roman" w:cs="Times New Roman"/>
          <w:sz w:val="24"/>
          <w:szCs w:val="24"/>
        </w:rPr>
        <w:t xml:space="preserve"> </w:t>
      </w:r>
      <w:r>
        <w:rPr>
          <w:rFonts w:ascii="Times New Roman" w:hAnsi="Times New Roman" w:cs="Times New Roman"/>
          <w:sz w:val="24"/>
          <w:szCs w:val="24"/>
        </w:rPr>
        <w:t xml:space="preserve">Consideration thus insures that the promise enforced as a contract is not accidental, casual, or gratuitous, but has been uttered intentionally as the result of some deliberation, </w:t>
      </w:r>
      <w:r w:rsidRPr="00500D9A">
        <w:rPr>
          <w:rFonts w:ascii="Times New Roman" w:hAnsi="Times New Roman" w:cs="Times New Roman"/>
          <w:sz w:val="24"/>
          <w:szCs w:val="24"/>
          <w:u w:val="single"/>
        </w:rPr>
        <w:t>manifested by reciprocal bargaining or negotiation</w:t>
      </w:r>
      <w:r>
        <w:rPr>
          <w:rFonts w:ascii="Times New Roman" w:hAnsi="Times New Roman" w:cs="Times New Roman"/>
          <w:sz w:val="24"/>
          <w:szCs w:val="24"/>
        </w:rPr>
        <w:t>.</w:t>
      </w:r>
    </w:p>
    <w:p w:rsidR="006A1543" w:rsidRDefault="00500D9A" w:rsidP="006A1543">
      <w:pPr>
        <w:pStyle w:val="NormalWeb"/>
      </w:pPr>
      <w:r>
        <w:t>[emphasis added]. A couple of years later, the same court expanded on this rule, stating</w:t>
      </w:r>
    </w:p>
    <w:p w:rsidR="00500D9A" w:rsidRDefault="00500D9A" w:rsidP="00500D9A">
      <w:pPr>
        <w:spacing w:after="10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consideration for a promise, whether it be some benefit accruing to one party or some detriment suffered by the other * * * or something else * * * must be something which both parties to the contract have adopted and regarded as such.</w:t>
      </w:r>
    </w:p>
    <w:p w:rsidR="00292C63" w:rsidRDefault="00677752" w:rsidP="00292C63">
      <w:pPr>
        <w:spacing w:before="100" w:beforeAutospacing="1" w:after="100" w:afterAutospacing="1" w:line="240" w:lineRule="auto"/>
        <w:rPr>
          <w:rFonts w:ascii="Times New Roman" w:eastAsia="Times New Roman" w:hAnsi="Times New Roman" w:cs="Times New Roman"/>
          <w:sz w:val="24"/>
          <w:szCs w:val="24"/>
        </w:rPr>
      </w:pPr>
      <w:hyperlink r:id="rId22" w:history="1">
        <w:r w:rsidR="00292C63">
          <w:rPr>
            <w:rStyle w:val="Hyperlink"/>
            <w:rFonts w:ascii="Times New Roman" w:eastAsia="Times New Roman" w:hAnsi="Times New Roman" w:cs="Times New Roman"/>
            <w:i/>
            <w:iCs/>
            <w:sz w:val="24"/>
            <w:szCs w:val="24"/>
          </w:rPr>
          <w:t>Cedarstrand v. Lutheran Brotherhood,</w:t>
        </w:r>
        <w:r w:rsidR="00292C63">
          <w:rPr>
            <w:rStyle w:val="Hyperlink"/>
            <w:rFonts w:ascii="Times New Roman" w:eastAsia="Times New Roman" w:hAnsi="Times New Roman" w:cs="Times New Roman"/>
            <w:sz w:val="24"/>
            <w:szCs w:val="24"/>
          </w:rPr>
          <w:t xml:space="preserve"> 263</w:t>
        </w:r>
        <w:r w:rsidR="00FB626B">
          <w:rPr>
            <w:rStyle w:val="Hyperlink"/>
            <w:rFonts w:ascii="Times New Roman" w:eastAsia="Times New Roman" w:hAnsi="Times New Roman" w:cs="Times New Roman"/>
            <w:sz w:val="24"/>
            <w:szCs w:val="24"/>
          </w:rPr>
          <w:t xml:space="preserve"> Minn. 520,535, 117 N.W.2d 213,</w:t>
        </w:r>
        <w:r w:rsidR="00292C63">
          <w:rPr>
            <w:rStyle w:val="Hyperlink"/>
            <w:rFonts w:ascii="Times New Roman" w:eastAsia="Times New Roman" w:hAnsi="Times New Roman" w:cs="Times New Roman"/>
            <w:sz w:val="24"/>
            <w:szCs w:val="24"/>
          </w:rPr>
          <w:t>222-223 (1962)</w:t>
        </w:r>
      </w:hyperlink>
      <w:r w:rsidR="00500D9A">
        <w:rPr>
          <w:rFonts w:ascii="Times New Roman" w:eastAsia="Times New Roman" w:hAnsi="Times New Roman" w:cs="Times New Roman"/>
          <w:sz w:val="24"/>
          <w:szCs w:val="24"/>
        </w:rPr>
        <w:t>.</w:t>
      </w:r>
    </w:p>
    <w:p w:rsidR="00292C63" w:rsidRDefault="00F23CB3" w:rsidP="00292C63">
      <w:pPr>
        <w:autoSpaceDE w:val="0"/>
        <w:autoSpaceDN w:val="0"/>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Thus, a</w:t>
      </w:r>
      <w:r w:rsidR="00A31D0E">
        <w:rPr>
          <w:rFonts w:ascii="Times New Roman" w:eastAsia="Times New Roman" w:hAnsi="Times New Roman" w:cs="Times New Roman"/>
          <w:sz w:val="24"/>
          <w:szCs w:val="24"/>
        </w:rPr>
        <w:t>ssuming there was no bargaining over the Service-Plus clause, there was no consideration for it and thus no adequate consideration.</w:t>
      </w:r>
    </w:p>
    <w:p w:rsidR="00A31D0E" w:rsidRDefault="00A31D0E" w:rsidP="00292C63">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In the context of </w:t>
      </w:r>
      <w:r w:rsidRPr="00777FC7">
        <w:rPr>
          <w:rFonts w:ascii="Times New Roman" w:hAnsi="Times New Roman" w:cs="Times New Roman"/>
          <w:sz w:val="24"/>
          <w:szCs w:val="24"/>
        </w:rPr>
        <w:t>Minn. Stat. § 504B.1</w:t>
      </w:r>
      <w:r>
        <w:rPr>
          <w:rFonts w:ascii="Times New Roman" w:hAnsi="Times New Roman" w:cs="Times New Roman"/>
          <w:sz w:val="24"/>
          <w:szCs w:val="24"/>
        </w:rPr>
        <w:t xml:space="preserve">61 the rule from </w:t>
      </w:r>
      <w:r w:rsidRPr="008A5BCF">
        <w:rPr>
          <w:rFonts w:ascii="Times New Roman" w:hAnsi="Times New Roman" w:cs="Times New Roman"/>
          <w:i/>
          <w:sz w:val="24"/>
          <w:szCs w:val="24"/>
        </w:rPr>
        <w:t>Baehr</w:t>
      </w:r>
      <w:r>
        <w:rPr>
          <w:rFonts w:ascii="Times New Roman" w:hAnsi="Times New Roman" w:cs="Times New Roman"/>
          <w:sz w:val="24"/>
          <w:szCs w:val="24"/>
        </w:rPr>
        <w:t xml:space="preserve"> is especially pertinent. Meldahl, like </w:t>
      </w:r>
      <w:r w:rsidR="00683BCC">
        <w:rPr>
          <w:rFonts w:ascii="Times New Roman" w:hAnsi="Times New Roman" w:cs="Times New Roman"/>
          <w:sz w:val="24"/>
          <w:szCs w:val="24"/>
        </w:rPr>
        <w:t>other</w:t>
      </w:r>
      <w:r>
        <w:rPr>
          <w:rFonts w:ascii="Times New Roman" w:hAnsi="Times New Roman" w:cs="Times New Roman"/>
          <w:sz w:val="24"/>
          <w:szCs w:val="24"/>
        </w:rPr>
        <w:t xml:space="preserve"> landlords, took all his costs – appliance repair, other repairs, property taxes, mortgage interest, capital expenditure, management salaries, etc – into account when he set the rent. If a landlord can include a tenant-must-repair-his-own-appliances clause in the lease without compensating the tenant, he </w:t>
      </w:r>
      <w:r w:rsidR="008A5BCF">
        <w:rPr>
          <w:rFonts w:ascii="Times New Roman" w:hAnsi="Times New Roman" w:cs="Times New Roman"/>
          <w:sz w:val="24"/>
          <w:szCs w:val="24"/>
        </w:rPr>
        <w:t xml:space="preserve">can </w:t>
      </w:r>
      <w:r>
        <w:rPr>
          <w:rFonts w:ascii="Times New Roman" w:hAnsi="Times New Roman" w:cs="Times New Roman"/>
          <w:sz w:val="24"/>
          <w:szCs w:val="24"/>
        </w:rPr>
        <w:t xml:space="preserve">include a tenant-must-repair-his-own-roof clause, a tenant-must-repair-his-own-toilet-and-bathtub clause, or a tenant-must-repair-his-own-everything clause in the lease and claim he set the rent accordingly. This would render </w:t>
      </w:r>
      <w:r w:rsidRPr="00777FC7">
        <w:rPr>
          <w:rFonts w:ascii="Times New Roman" w:hAnsi="Times New Roman" w:cs="Times New Roman"/>
          <w:sz w:val="24"/>
          <w:szCs w:val="24"/>
        </w:rPr>
        <w:t>Minn. Stat. § 504B.1</w:t>
      </w:r>
      <w:r>
        <w:rPr>
          <w:rFonts w:ascii="Times New Roman" w:hAnsi="Times New Roman" w:cs="Times New Roman"/>
          <w:sz w:val="24"/>
          <w:szCs w:val="24"/>
        </w:rPr>
        <w:t xml:space="preserve">61 meaningless. </w:t>
      </w:r>
      <w:r w:rsidRPr="00777FC7">
        <w:rPr>
          <w:rFonts w:ascii="Times New Roman" w:hAnsi="Times New Roman" w:cs="Times New Roman"/>
          <w:sz w:val="24"/>
          <w:szCs w:val="24"/>
        </w:rPr>
        <w:t>Minn. Stat. § 504B.1</w:t>
      </w:r>
      <w:r>
        <w:rPr>
          <w:rFonts w:ascii="Times New Roman" w:hAnsi="Times New Roman" w:cs="Times New Roman"/>
          <w:sz w:val="24"/>
          <w:szCs w:val="24"/>
        </w:rPr>
        <w:t>61 is only meaningful if the tenant is given a chance to bargain over any tenant-must-repair-his-own-thing clause and either accept the clause</w:t>
      </w:r>
      <w:r w:rsidR="008A5BCF">
        <w:rPr>
          <w:rFonts w:ascii="Times New Roman" w:hAnsi="Times New Roman" w:cs="Times New Roman"/>
          <w:sz w:val="24"/>
          <w:szCs w:val="24"/>
        </w:rPr>
        <w:t xml:space="preserve"> in return </w:t>
      </w:r>
      <w:r>
        <w:rPr>
          <w:rFonts w:ascii="Times New Roman" w:hAnsi="Times New Roman" w:cs="Times New Roman"/>
          <w:sz w:val="24"/>
          <w:szCs w:val="24"/>
        </w:rPr>
        <w:t xml:space="preserve">for adequate compensation or reject the clause and </w:t>
      </w:r>
      <w:r w:rsidR="0066496E">
        <w:rPr>
          <w:rFonts w:ascii="Times New Roman" w:hAnsi="Times New Roman" w:cs="Times New Roman"/>
          <w:sz w:val="24"/>
          <w:szCs w:val="24"/>
        </w:rPr>
        <w:t>(perhaps) p</w:t>
      </w:r>
      <w:r w:rsidR="008D5DA7">
        <w:rPr>
          <w:rFonts w:ascii="Times New Roman" w:hAnsi="Times New Roman" w:cs="Times New Roman"/>
          <w:sz w:val="24"/>
          <w:szCs w:val="24"/>
        </w:rPr>
        <w:t>ay higher rent.</w:t>
      </w:r>
    </w:p>
    <w:p w:rsidR="00F60A26" w:rsidRDefault="00F60A26" w:rsidP="00292C63">
      <w:pPr>
        <w:autoSpaceDE w:val="0"/>
        <w:autoSpaceDN w:val="0"/>
        <w:spacing w:before="100" w:beforeAutospacing="1" w:after="100" w:afterAutospacing="1" w:line="240" w:lineRule="auto"/>
        <w:rPr>
          <w:rFonts w:ascii="Times New Roman" w:hAnsi="Times New Roman" w:cs="Times New Roman"/>
          <w:sz w:val="24"/>
          <w:szCs w:val="24"/>
        </w:rPr>
      </w:pPr>
      <w:r w:rsidRPr="00F60A26">
        <w:rPr>
          <w:rFonts w:ascii="Times New Roman" w:hAnsi="Times New Roman" w:cs="Times New Roman"/>
          <w:sz w:val="24"/>
          <w:szCs w:val="24"/>
        </w:rPr>
        <w:t>In summary, it is unlikely that Meldahl provided Mar</w:t>
      </w:r>
      <w:r>
        <w:rPr>
          <w:rFonts w:ascii="Times New Roman" w:hAnsi="Times New Roman" w:cs="Times New Roman"/>
          <w:sz w:val="24"/>
          <w:szCs w:val="24"/>
        </w:rPr>
        <w:t xml:space="preserve">tin or any of his other tenants </w:t>
      </w:r>
      <w:r w:rsidRPr="00F60A26">
        <w:rPr>
          <w:rFonts w:ascii="Times New Roman" w:hAnsi="Times New Roman" w:cs="Times New Roman"/>
          <w:sz w:val="24"/>
          <w:szCs w:val="24"/>
        </w:rPr>
        <w:t xml:space="preserve">adequate </w:t>
      </w:r>
      <w:r w:rsidR="00F94F0A">
        <w:rPr>
          <w:rFonts w:ascii="Times New Roman" w:hAnsi="Times New Roman" w:cs="Times New Roman"/>
          <w:sz w:val="24"/>
          <w:szCs w:val="24"/>
        </w:rPr>
        <w:t>consideration in return for ¶26.</w:t>
      </w:r>
    </w:p>
    <w:p w:rsidR="00C81BD4" w:rsidRPr="00C81BD4" w:rsidRDefault="00C81BD4" w:rsidP="00292C63">
      <w:pPr>
        <w:autoSpaceDE w:val="0"/>
        <w:autoSpaceDN w:val="0"/>
        <w:spacing w:before="100" w:beforeAutospacing="1" w:after="100" w:afterAutospacing="1" w:line="240" w:lineRule="auto"/>
        <w:rPr>
          <w:rFonts w:ascii="Times New Roman" w:hAnsi="Times New Roman" w:cs="Times New Roman"/>
          <w:sz w:val="24"/>
          <w:szCs w:val="24"/>
          <w:u w:val="single"/>
        </w:rPr>
      </w:pPr>
      <w:r>
        <w:rPr>
          <w:rFonts w:ascii="Times New Roman" w:hAnsi="Times New Roman" w:cs="Times New Roman"/>
          <w:sz w:val="24"/>
          <w:szCs w:val="24"/>
        </w:rPr>
        <w:tab/>
      </w:r>
      <w:r w:rsidRPr="00C81BD4">
        <w:rPr>
          <w:rFonts w:ascii="Times New Roman" w:hAnsi="Times New Roman" w:cs="Times New Roman"/>
          <w:sz w:val="24"/>
          <w:szCs w:val="24"/>
          <w:u w:val="single"/>
        </w:rPr>
        <w:t xml:space="preserve">Would a conspicuous ¶26 make “the agreement” be </w:t>
      </w:r>
      <w:r w:rsidR="00AA086A">
        <w:rPr>
          <w:rFonts w:ascii="Times New Roman" w:hAnsi="Times New Roman" w:cs="Times New Roman"/>
          <w:sz w:val="24"/>
          <w:szCs w:val="24"/>
          <w:u w:val="single"/>
        </w:rPr>
        <w:t>“</w:t>
      </w:r>
      <w:r w:rsidRPr="00C81BD4">
        <w:rPr>
          <w:rFonts w:ascii="Times New Roman" w:hAnsi="Times New Roman" w:cs="Times New Roman"/>
          <w:sz w:val="24"/>
          <w:szCs w:val="24"/>
          <w:u w:val="single"/>
        </w:rPr>
        <w:t>set forth in a conspicuous writing</w:t>
      </w:r>
      <w:r w:rsidR="00AA086A">
        <w:rPr>
          <w:rFonts w:ascii="Times New Roman" w:hAnsi="Times New Roman" w:cs="Times New Roman"/>
          <w:sz w:val="24"/>
          <w:szCs w:val="24"/>
          <w:u w:val="single"/>
        </w:rPr>
        <w:t>”</w:t>
      </w:r>
      <w:r w:rsidRPr="00C81BD4">
        <w:rPr>
          <w:rFonts w:ascii="Times New Roman" w:hAnsi="Times New Roman" w:cs="Times New Roman"/>
          <w:sz w:val="24"/>
          <w:szCs w:val="24"/>
          <w:u w:val="single"/>
        </w:rPr>
        <w:t>?</w:t>
      </w:r>
    </w:p>
    <w:p w:rsidR="00C81BD4" w:rsidRDefault="00C81BD4" w:rsidP="00292C63">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Suppose ¶26 were made conspicuous with bold typeface and suppose that the tenant in question made an oral deal for adequate compensation. Would that mean that “</w:t>
      </w:r>
      <w:r w:rsidRPr="00D768B2">
        <w:rPr>
          <w:rFonts w:ascii="Times New Roman" w:eastAsia="Times New Roman" w:hAnsi="Times New Roman" w:cs="Times New Roman"/>
          <w:color w:val="000000"/>
          <w:sz w:val="24"/>
          <w:szCs w:val="24"/>
        </w:rPr>
        <w:t xml:space="preserve">the agreement is </w:t>
      </w:r>
      <w:r>
        <w:rPr>
          <w:rFonts w:ascii="Times New Roman" w:eastAsia="Times New Roman" w:hAnsi="Times New Roman" w:cs="Times New Roman"/>
          <w:color w:val="000000"/>
          <w:sz w:val="24"/>
          <w:szCs w:val="24"/>
        </w:rPr>
        <w:t>…</w:t>
      </w:r>
      <w:r w:rsidRPr="00D768B2">
        <w:rPr>
          <w:rFonts w:ascii="Times New Roman" w:eastAsia="Times New Roman" w:hAnsi="Times New Roman" w:cs="Times New Roman"/>
          <w:color w:val="000000"/>
          <w:sz w:val="24"/>
          <w:szCs w:val="24"/>
        </w:rPr>
        <w:t>set forth in a conspicuous writing</w:t>
      </w:r>
      <w:r>
        <w:rPr>
          <w:rFonts w:ascii="Times New Roman" w:eastAsia="Times New Roman" w:hAnsi="Times New Roman" w:cs="Times New Roman"/>
          <w:color w:val="000000"/>
          <w:sz w:val="24"/>
          <w:szCs w:val="24"/>
        </w:rPr>
        <w:t xml:space="preserve">” within the meaning of </w:t>
      </w:r>
      <w:r w:rsidRPr="00777FC7">
        <w:rPr>
          <w:rFonts w:ascii="Times New Roman" w:hAnsi="Times New Roman" w:cs="Times New Roman"/>
          <w:sz w:val="24"/>
          <w:szCs w:val="24"/>
        </w:rPr>
        <w:t>Minn. Stat. § 504B.1</w:t>
      </w:r>
      <w:r>
        <w:rPr>
          <w:rFonts w:ascii="Times New Roman" w:hAnsi="Times New Roman" w:cs="Times New Roman"/>
          <w:sz w:val="24"/>
          <w:szCs w:val="24"/>
        </w:rPr>
        <w:t>61, subd. 2? The answer depends on the meaning of “agreement”.</w:t>
      </w:r>
    </w:p>
    <w:p w:rsidR="00D24938" w:rsidRPr="00B565CF" w:rsidRDefault="00677752" w:rsidP="00292C63">
      <w:pPr>
        <w:autoSpaceDE w:val="0"/>
        <w:autoSpaceDN w:val="0"/>
        <w:spacing w:before="100" w:beforeAutospacing="1" w:after="100" w:afterAutospacing="1" w:line="240" w:lineRule="auto"/>
        <w:rPr>
          <w:rFonts w:ascii="Times New Roman" w:hAnsi="Times New Roman" w:cs="Times New Roman"/>
          <w:sz w:val="24"/>
          <w:szCs w:val="24"/>
        </w:rPr>
      </w:pPr>
      <w:hyperlink r:id="rId23" w:history="1">
        <w:r w:rsidR="00D24938" w:rsidRPr="005523CF">
          <w:rPr>
            <w:rStyle w:val="Hyperlink"/>
            <w:rFonts w:ascii="Times New Roman" w:hAnsi="Times New Roman" w:cs="Times New Roman"/>
            <w:sz w:val="24"/>
            <w:szCs w:val="24"/>
          </w:rPr>
          <w:t>Black’s Law Dictionary (Rev. 4</w:t>
        </w:r>
        <w:r w:rsidR="00D24938" w:rsidRPr="005523CF">
          <w:rPr>
            <w:rStyle w:val="Hyperlink"/>
            <w:rFonts w:ascii="Times New Roman" w:hAnsi="Times New Roman" w:cs="Times New Roman"/>
            <w:sz w:val="24"/>
            <w:szCs w:val="24"/>
            <w:vertAlign w:val="superscript"/>
          </w:rPr>
          <w:t>th</w:t>
        </w:r>
        <w:r w:rsidR="00D24938" w:rsidRPr="005523CF">
          <w:rPr>
            <w:rStyle w:val="Hyperlink"/>
            <w:rFonts w:ascii="Times New Roman" w:hAnsi="Times New Roman" w:cs="Times New Roman"/>
            <w:sz w:val="24"/>
            <w:szCs w:val="24"/>
          </w:rPr>
          <w:t xml:space="preserve"> ed. 1968)</w:t>
        </w:r>
      </w:hyperlink>
      <w:r w:rsidR="00D24938" w:rsidRPr="005523CF">
        <w:rPr>
          <w:rFonts w:ascii="Times New Roman" w:hAnsi="Times New Roman" w:cs="Times New Roman"/>
          <w:sz w:val="24"/>
          <w:szCs w:val="24"/>
        </w:rPr>
        <w:t xml:space="preserve"> </w:t>
      </w:r>
      <w:r w:rsidR="00D24938" w:rsidRPr="00B565CF">
        <w:rPr>
          <w:rFonts w:ascii="Times New Roman" w:hAnsi="Times New Roman" w:cs="Times New Roman"/>
          <w:sz w:val="24"/>
          <w:szCs w:val="24"/>
        </w:rPr>
        <w:t>defined “</w:t>
      </w:r>
      <w:r w:rsidR="00D24938" w:rsidRPr="00B565CF">
        <w:rPr>
          <w:rStyle w:val="highlight"/>
          <w:rFonts w:ascii="Times New Roman" w:hAnsi="Times New Roman" w:cs="Times New Roman"/>
          <w:sz w:val="24"/>
          <w:szCs w:val="24"/>
        </w:rPr>
        <w:t>Agreement” in part as “</w:t>
      </w:r>
      <w:r w:rsidR="00D24938" w:rsidRPr="00B565CF">
        <w:rPr>
          <w:rFonts w:ascii="Times New Roman" w:hAnsi="Times New Roman" w:cs="Times New Roman"/>
          <w:sz w:val="24"/>
          <w:szCs w:val="24"/>
        </w:rPr>
        <w:t>a coming together in accord of two minds on a given proposition; in law a concord of understanding and intention between two or more parties with respect to the effect upon their relative rights and duties”.</w:t>
      </w:r>
      <w:r w:rsidR="00EA53D1" w:rsidRPr="00B565CF">
        <w:rPr>
          <w:rFonts w:ascii="Times New Roman" w:hAnsi="Times New Roman" w:cs="Times New Roman"/>
          <w:sz w:val="24"/>
          <w:szCs w:val="24"/>
        </w:rPr>
        <w:t xml:space="preserve"> </w:t>
      </w:r>
      <w:r w:rsidR="00D24938" w:rsidRPr="00B565CF">
        <w:rPr>
          <w:rFonts w:ascii="Times New Roman" w:hAnsi="Times New Roman" w:cs="Times New Roman"/>
          <w:sz w:val="24"/>
          <w:szCs w:val="24"/>
        </w:rPr>
        <w:t xml:space="preserve">The dictionary went on to </w:t>
      </w:r>
      <w:r w:rsidR="005523CF">
        <w:rPr>
          <w:rFonts w:ascii="Times New Roman" w:hAnsi="Times New Roman" w:cs="Times New Roman"/>
          <w:sz w:val="24"/>
          <w:szCs w:val="24"/>
        </w:rPr>
        <w:t>state</w:t>
      </w:r>
      <w:r w:rsidR="00D24938" w:rsidRPr="00B565CF">
        <w:rPr>
          <w:rFonts w:ascii="Times New Roman" w:hAnsi="Times New Roman" w:cs="Times New Roman"/>
          <w:sz w:val="24"/>
          <w:szCs w:val="24"/>
        </w:rPr>
        <w:t xml:space="preserve">, “Although often used as synonymous with ‘contract,’ it is a wider term than ‘contract’. An agreement might not be a contract, because </w:t>
      </w:r>
      <w:r w:rsidR="005523CF">
        <w:rPr>
          <w:rFonts w:ascii="Times New Roman" w:hAnsi="Times New Roman" w:cs="Times New Roman"/>
          <w:sz w:val="24"/>
          <w:szCs w:val="24"/>
        </w:rPr>
        <w:t>not fulfilling some requirement. [citations omitted]”</w:t>
      </w:r>
      <w:r w:rsidR="00EA53D1" w:rsidRPr="00B565CF">
        <w:rPr>
          <w:rStyle w:val="FootnoteReference"/>
          <w:rFonts w:ascii="Times New Roman" w:hAnsi="Times New Roman" w:cs="Times New Roman"/>
          <w:sz w:val="24"/>
          <w:szCs w:val="24"/>
        </w:rPr>
        <w:footnoteReference w:id="13"/>
      </w:r>
    </w:p>
    <w:p w:rsidR="00CE3D9F" w:rsidRDefault="00CE3D9F" w:rsidP="00CE3D9F">
      <w:pPr>
        <w:autoSpaceDE w:val="0"/>
        <w:autoSpaceDN w:val="0"/>
        <w:spacing w:before="100" w:beforeAutospacing="1" w:after="100" w:afterAutospacing="1" w:line="240" w:lineRule="auto"/>
        <w:rPr>
          <w:rFonts w:ascii="Times New Roman" w:hAnsi="Times New Roman" w:cs="Times New Roman"/>
          <w:sz w:val="24"/>
          <w:szCs w:val="24"/>
        </w:rPr>
      </w:pPr>
      <w:r w:rsidRPr="00B565CF">
        <w:rPr>
          <w:rFonts w:ascii="Times New Roman" w:hAnsi="Times New Roman" w:cs="Times New Roman"/>
          <w:sz w:val="24"/>
          <w:szCs w:val="24"/>
        </w:rPr>
        <w:t>Thus the “agreement” in Minn. Stat. § 504B.161, subd. 2 could be the contract – the landlord’s payment or other promise to the tenant in return for the tenant’s promise to buy Service Plus. Alternatively the “agreement” could be only the tenant’s promise to buy Service Plus. If the latter is the case, then “</w:t>
      </w:r>
      <w:r w:rsidRPr="00B565CF">
        <w:rPr>
          <w:rFonts w:ascii="Times New Roman" w:eastAsia="Times New Roman" w:hAnsi="Times New Roman" w:cs="Times New Roman"/>
          <w:color w:val="000000"/>
          <w:sz w:val="24"/>
          <w:szCs w:val="24"/>
        </w:rPr>
        <w:t xml:space="preserve">the agreement is …set forth in a conspicuous writing” </w:t>
      </w:r>
      <w:r w:rsidR="005523CF">
        <w:rPr>
          <w:rFonts w:ascii="Times New Roman" w:eastAsia="Times New Roman" w:hAnsi="Times New Roman" w:cs="Times New Roman"/>
          <w:color w:val="000000"/>
          <w:sz w:val="24"/>
          <w:szCs w:val="24"/>
        </w:rPr>
        <w:t>if</w:t>
      </w:r>
      <w:r w:rsidR="00F85710">
        <w:rPr>
          <w:rFonts w:ascii="Times New Roman" w:eastAsia="Times New Roman" w:hAnsi="Times New Roman" w:cs="Times New Roman"/>
          <w:color w:val="000000"/>
          <w:sz w:val="24"/>
          <w:szCs w:val="24"/>
        </w:rPr>
        <w:t xml:space="preserve"> </w:t>
      </w:r>
      <w:r w:rsidRPr="00B565CF">
        <w:rPr>
          <w:rFonts w:ascii="Times New Roman" w:hAnsi="Times New Roman" w:cs="Times New Roman"/>
          <w:sz w:val="24"/>
          <w:szCs w:val="24"/>
        </w:rPr>
        <w:t xml:space="preserve">¶26 is </w:t>
      </w:r>
      <w:r>
        <w:rPr>
          <w:rFonts w:ascii="Times New Roman" w:hAnsi="Times New Roman" w:cs="Times New Roman"/>
          <w:sz w:val="24"/>
          <w:szCs w:val="24"/>
        </w:rPr>
        <w:t>conspicuous; if the former is the case, then “</w:t>
      </w:r>
      <w:r w:rsidRPr="00D768B2">
        <w:rPr>
          <w:rFonts w:ascii="Times New Roman" w:eastAsia="Times New Roman" w:hAnsi="Times New Roman" w:cs="Times New Roman"/>
          <w:color w:val="000000"/>
          <w:sz w:val="24"/>
          <w:szCs w:val="24"/>
        </w:rPr>
        <w:t>the agreement is</w:t>
      </w:r>
      <w:r>
        <w:rPr>
          <w:rFonts w:ascii="Times New Roman" w:eastAsia="Times New Roman" w:hAnsi="Times New Roman" w:cs="Times New Roman"/>
          <w:color w:val="000000"/>
          <w:sz w:val="24"/>
          <w:szCs w:val="24"/>
        </w:rPr>
        <w:t>”</w:t>
      </w:r>
      <w:r w:rsidR="009618E9">
        <w:rPr>
          <w:rFonts w:ascii="Times New Roman" w:eastAsia="Times New Roman" w:hAnsi="Times New Roman" w:cs="Times New Roman"/>
          <w:color w:val="000000"/>
          <w:sz w:val="24"/>
          <w:szCs w:val="24"/>
        </w:rPr>
        <w:t xml:space="preserve"> </w:t>
      </w:r>
      <w:r w:rsidRPr="00CE3D9F">
        <w:rPr>
          <w:rFonts w:ascii="Times New Roman" w:eastAsia="Times New Roman" w:hAnsi="Times New Roman" w:cs="Times New Roman"/>
          <w:color w:val="000000"/>
          <w:sz w:val="24"/>
          <w:szCs w:val="24"/>
          <w:u w:val="single"/>
        </w:rPr>
        <w:t>not</w:t>
      </w:r>
      <w:r>
        <w:rPr>
          <w:rFonts w:ascii="Times New Roman" w:eastAsia="Times New Roman" w:hAnsi="Times New Roman" w:cs="Times New Roman"/>
          <w:color w:val="000000"/>
          <w:sz w:val="24"/>
          <w:szCs w:val="24"/>
        </w:rPr>
        <w:t xml:space="preserve"> “set</w:t>
      </w:r>
      <w:r w:rsidRPr="00D768B2">
        <w:rPr>
          <w:rFonts w:ascii="Times New Roman" w:eastAsia="Times New Roman" w:hAnsi="Times New Roman" w:cs="Times New Roman"/>
          <w:color w:val="000000"/>
          <w:sz w:val="24"/>
          <w:szCs w:val="24"/>
        </w:rPr>
        <w:t xml:space="preserve"> forth in a conspicuous writing</w:t>
      </w:r>
      <w:r>
        <w:rPr>
          <w:rFonts w:ascii="Times New Roman" w:eastAsia="Times New Roman" w:hAnsi="Times New Roman" w:cs="Times New Roman"/>
          <w:color w:val="000000"/>
          <w:sz w:val="24"/>
          <w:szCs w:val="24"/>
        </w:rPr>
        <w:t xml:space="preserve">” even if </w:t>
      </w:r>
      <w:r>
        <w:rPr>
          <w:rFonts w:ascii="Times New Roman" w:hAnsi="Times New Roman" w:cs="Times New Roman"/>
          <w:sz w:val="24"/>
          <w:szCs w:val="24"/>
        </w:rPr>
        <w:t>¶26 is conspicuous.</w:t>
      </w:r>
    </w:p>
    <w:p w:rsidR="00253AB6" w:rsidRDefault="00253AB6" w:rsidP="00253AB6">
      <w:pPr>
        <w:autoSpaceDE w:val="0"/>
        <w:autoSpaceDN w:val="0"/>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 xml:space="preserve">When I first read </w:t>
      </w:r>
      <w:r w:rsidRPr="00777FC7">
        <w:rPr>
          <w:rFonts w:ascii="Times New Roman" w:hAnsi="Times New Roman" w:cs="Times New Roman"/>
          <w:sz w:val="24"/>
          <w:szCs w:val="24"/>
        </w:rPr>
        <w:t>Minn. Stat. § 504B.1</w:t>
      </w:r>
      <w:r w:rsidR="005523CF">
        <w:rPr>
          <w:rFonts w:ascii="Times New Roman" w:hAnsi="Times New Roman" w:cs="Times New Roman"/>
          <w:sz w:val="24"/>
          <w:szCs w:val="24"/>
        </w:rPr>
        <w:t xml:space="preserve">61, subd. 2, </w:t>
      </w:r>
      <w:r>
        <w:rPr>
          <w:rFonts w:ascii="Times New Roman" w:hAnsi="Times New Roman" w:cs="Times New Roman"/>
          <w:sz w:val="24"/>
          <w:szCs w:val="24"/>
        </w:rPr>
        <w:t>my impression was that the “agreement” was only the tenant’s promise and not the entire deal. This came from the fact that the entire statutory phrase is “</w:t>
      </w:r>
      <w:r w:rsidRPr="00D768B2">
        <w:rPr>
          <w:rFonts w:ascii="Times New Roman" w:eastAsia="Times New Roman" w:hAnsi="Times New Roman" w:cs="Times New Roman"/>
          <w:color w:val="000000"/>
          <w:sz w:val="24"/>
          <w:szCs w:val="24"/>
        </w:rPr>
        <w:t>only if the agreement is supported by adequate consideration and set forth in a conspicuous writing</w:t>
      </w:r>
      <w:r>
        <w:rPr>
          <w:rFonts w:ascii="Times New Roman" w:eastAsia="Times New Roman" w:hAnsi="Times New Roman" w:cs="Times New Roman"/>
          <w:color w:val="000000"/>
          <w:sz w:val="24"/>
          <w:szCs w:val="24"/>
        </w:rPr>
        <w:t xml:space="preserve">”. If the “adequate consideration” means only the landlord’s consideration </w:t>
      </w:r>
      <w:r>
        <w:rPr>
          <w:rFonts w:ascii="Times New Roman" w:eastAsia="Times New Roman" w:hAnsi="Times New Roman" w:cs="Times New Roman"/>
          <w:color w:val="000000"/>
          <w:sz w:val="24"/>
          <w:szCs w:val="24"/>
        </w:rPr>
        <w:lastRenderedPageBreak/>
        <w:t xml:space="preserve">then the only agreement that needs supporting is the tenant’s </w:t>
      </w:r>
      <w:r w:rsidR="005559D0">
        <w:rPr>
          <w:rFonts w:ascii="Times New Roman" w:eastAsia="Times New Roman" w:hAnsi="Times New Roman" w:cs="Times New Roman"/>
          <w:color w:val="000000"/>
          <w:sz w:val="24"/>
          <w:szCs w:val="24"/>
        </w:rPr>
        <w:t xml:space="preserve">promise. At the least, this is </w:t>
      </w:r>
      <w:r>
        <w:rPr>
          <w:rFonts w:ascii="Times New Roman" w:eastAsia="Times New Roman" w:hAnsi="Times New Roman" w:cs="Times New Roman"/>
          <w:color w:val="000000"/>
          <w:sz w:val="24"/>
          <w:szCs w:val="24"/>
        </w:rPr>
        <w:t>a reasonable reading of the subdivision.</w:t>
      </w:r>
    </w:p>
    <w:p w:rsidR="002700BE" w:rsidRDefault="00253AB6" w:rsidP="00CE3D9F">
      <w:pPr>
        <w:autoSpaceDE w:val="0"/>
        <w:autoSpaceDN w:val="0"/>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On the other hand, the beginning of the subdivision </w:t>
      </w:r>
      <w:r w:rsidR="00416876">
        <w:rPr>
          <w:rFonts w:ascii="Times New Roman" w:eastAsia="Times New Roman" w:hAnsi="Times New Roman" w:cs="Times New Roman"/>
          <w:color w:val="000000"/>
          <w:sz w:val="24"/>
          <w:szCs w:val="24"/>
        </w:rPr>
        <w:t>reads</w:t>
      </w:r>
      <w:r>
        <w:rPr>
          <w:rFonts w:ascii="Times New Roman" w:eastAsia="Times New Roman" w:hAnsi="Times New Roman" w:cs="Times New Roman"/>
          <w:color w:val="000000"/>
          <w:sz w:val="24"/>
          <w:szCs w:val="24"/>
        </w:rPr>
        <w:t xml:space="preserve"> “</w:t>
      </w:r>
      <w:r w:rsidRPr="00D768B2">
        <w:rPr>
          <w:rFonts w:ascii="Times New Roman" w:eastAsia="Times New Roman" w:hAnsi="Times New Roman" w:cs="Times New Roman"/>
          <w:bCs/>
          <w:color w:val="000000"/>
          <w:sz w:val="24"/>
          <w:szCs w:val="24"/>
        </w:rPr>
        <w:t>T</w:t>
      </w:r>
      <w:r w:rsidRPr="00D768B2">
        <w:rPr>
          <w:rFonts w:ascii="Times New Roman" w:eastAsia="Times New Roman" w:hAnsi="Times New Roman" w:cs="Times New Roman"/>
          <w:color w:val="000000"/>
          <w:sz w:val="24"/>
          <w:szCs w:val="24"/>
        </w:rPr>
        <w:t>he landlord or licensor may agree with the tenant or licensee that the tenant or licensee is to perform specified repairs or maintenance</w:t>
      </w:r>
      <w:r w:rsidR="00416876">
        <w:rPr>
          <w:rFonts w:ascii="Times New Roman" w:eastAsia="Times New Roman" w:hAnsi="Times New Roman" w:cs="Times New Roman"/>
          <w:color w:val="000000"/>
          <w:sz w:val="24"/>
          <w:szCs w:val="24"/>
        </w:rPr>
        <w:t xml:space="preserve">”. This phrase indicates that the </w:t>
      </w:r>
      <w:r w:rsidR="00132ADC">
        <w:rPr>
          <w:rFonts w:ascii="Times New Roman" w:eastAsia="Times New Roman" w:hAnsi="Times New Roman" w:cs="Times New Roman"/>
          <w:color w:val="000000"/>
          <w:sz w:val="24"/>
          <w:szCs w:val="24"/>
        </w:rPr>
        <w:t>“</w:t>
      </w:r>
      <w:r w:rsidR="00416876">
        <w:rPr>
          <w:rFonts w:ascii="Times New Roman" w:eastAsia="Times New Roman" w:hAnsi="Times New Roman" w:cs="Times New Roman"/>
          <w:color w:val="000000"/>
          <w:sz w:val="24"/>
          <w:szCs w:val="24"/>
        </w:rPr>
        <w:t>agreement</w:t>
      </w:r>
      <w:r w:rsidR="00132ADC">
        <w:rPr>
          <w:rFonts w:ascii="Times New Roman" w:eastAsia="Times New Roman" w:hAnsi="Times New Roman" w:cs="Times New Roman"/>
          <w:color w:val="000000"/>
          <w:sz w:val="24"/>
          <w:szCs w:val="24"/>
        </w:rPr>
        <w:t>”</w:t>
      </w:r>
      <w:r w:rsidR="00416876">
        <w:rPr>
          <w:rFonts w:ascii="Times New Roman" w:eastAsia="Times New Roman" w:hAnsi="Times New Roman" w:cs="Times New Roman"/>
          <w:color w:val="000000"/>
          <w:sz w:val="24"/>
          <w:szCs w:val="24"/>
        </w:rPr>
        <w:t xml:space="preserve"> is bilateral. If the </w:t>
      </w:r>
      <w:r w:rsidR="00132ADC">
        <w:rPr>
          <w:rFonts w:ascii="Times New Roman" w:eastAsia="Times New Roman" w:hAnsi="Times New Roman" w:cs="Times New Roman"/>
          <w:color w:val="000000"/>
          <w:sz w:val="24"/>
          <w:szCs w:val="24"/>
        </w:rPr>
        <w:t xml:space="preserve">“agreement” were </w:t>
      </w:r>
      <w:r w:rsidR="00416876">
        <w:rPr>
          <w:rFonts w:ascii="Times New Roman" w:eastAsia="Times New Roman" w:hAnsi="Times New Roman" w:cs="Times New Roman"/>
          <w:color w:val="000000"/>
          <w:sz w:val="24"/>
          <w:szCs w:val="24"/>
        </w:rPr>
        <w:t xml:space="preserve">only the tenant’s promise, then the subdivision would naturally read something like, “The tenant or licensee may agree </w:t>
      </w:r>
      <w:r w:rsidR="00416876" w:rsidRPr="00D768B2">
        <w:rPr>
          <w:rFonts w:ascii="Times New Roman" w:eastAsia="Times New Roman" w:hAnsi="Times New Roman" w:cs="Times New Roman"/>
          <w:color w:val="000000"/>
          <w:sz w:val="24"/>
          <w:szCs w:val="24"/>
        </w:rPr>
        <w:t>to perform specified repairs or maintenance</w:t>
      </w:r>
      <w:r w:rsidR="00416876">
        <w:rPr>
          <w:rFonts w:ascii="Times New Roman" w:eastAsia="Times New Roman" w:hAnsi="Times New Roman" w:cs="Times New Roman"/>
          <w:color w:val="000000"/>
          <w:sz w:val="24"/>
          <w:szCs w:val="24"/>
        </w:rPr>
        <w:t>”.</w:t>
      </w:r>
      <w:r w:rsidR="005559D0">
        <w:rPr>
          <w:rFonts w:ascii="Times New Roman" w:eastAsia="Times New Roman" w:hAnsi="Times New Roman" w:cs="Times New Roman"/>
          <w:color w:val="000000"/>
          <w:sz w:val="24"/>
          <w:szCs w:val="24"/>
        </w:rPr>
        <w:t xml:space="preserve"> So I think it is reasonable to read the subdivision as using “agreement” to mean the entire deal and not just the tenant’s promise. </w:t>
      </w:r>
    </w:p>
    <w:p w:rsidR="00253AB6" w:rsidRDefault="005559D0" w:rsidP="00CE3D9F">
      <w:pPr>
        <w:autoSpaceDE w:val="0"/>
        <w:autoSpaceDN w:val="0"/>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other words, the subdivision is ambiguous and other canons of construction are needed to decide which reading is best.</w:t>
      </w:r>
    </w:p>
    <w:p w:rsidR="002700BE" w:rsidRPr="009D3A45" w:rsidRDefault="002700BE" w:rsidP="00F32927">
      <w:pPr>
        <w:autoSpaceDE w:val="0"/>
        <w:autoSpaceDN w:val="0"/>
        <w:spacing w:before="100" w:beforeAutospacing="1" w:after="100" w:afterAutospacing="1" w:line="240" w:lineRule="auto"/>
        <w:rPr>
          <w:rFonts w:ascii="Times New Roman" w:hAnsi="Times New Roman" w:cs="Times New Roman"/>
          <w:sz w:val="24"/>
          <w:szCs w:val="24"/>
        </w:rPr>
      </w:pPr>
      <w:r w:rsidRPr="009D3A45">
        <w:rPr>
          <w:rFonts w:ascii="Times New Roman" w:eastAsia="Times New Roman" w:hAnsi="Times New Roman" w:cs="Times New Roman"/>
          <w:color w:val="000000"/>
          <w:sz w:val="24"/>
          <w:szCs w:val="24"/>
        </w:rPr>
        <w:t xml:space="preserve">One indication that the “agreement” in </w:t>
      </w:r>
      <w:r w:rsidRPr="009D3A45">
        <w:rPr>
          <w:rFonts w:ascii="Times New Roman" w:hAnsi="Times New Roman" w:cs="Times New Roman"/>
          <w:sz w:val="24"/>
          <w:szCs w:val="24"/>
        </w:rPr>
        <w:t>Minn. Stat. § 504B.161, subd. 2 means the contract</w:t>
      </w:r>
      <w:r w:rsidR="009D3A45">
        <w:rPr>
          <w:rFonts w:ascii="Times New Roman" w:hAnsi="Times New Roman" w:cs="Times New Roman"/>
          <w:sz w:val="24"/>
          <w:szCs w:val="24"/>
        </w:rPr>
        <w:t xml:space="preserve"> (the entire deal)</w:t>
      </w:r>
      <w:r w:rsidRPr="009D3A45">
        <w:rPr>
          <w:rFonts w:ascii="Times New Roman" w:hAnsi="Times New Roman" w:cs="Times New Roman"/>
          <w:sz w:val="24"/>
          <w:szCs w:val="24"/>
        </w:rPr>
        <w:t xml:space="preserve"> is tha</w:t>
      </w:r>
      <w:r w:rsidR="0004598E">
        <w:rPr>
          <w:rFonts w:ascii="Times New Roman" w:hAnsi="Times New Roman" w:cs="Times New Roman"/>
          <w:sz w:val="24"/>
          <w:szCs w:val="24"/>
        </w:rPr>
        <w:t>t the subdivision is a sort of statute of f</w:t>
      </w:r>
      <w:r w:rsidRPr="009D3A45">
        <w:rPr>
          <w:rFonts w:ascii="Times New Roman" w:hAnsi="Times New Roman" w:cs="Times New Roman"/>
          <w:sz w:val="24"/>
          <w:szCs w:val="24"/>
        </w:rPr>
        <w:t xml:space="preserve">rauds – a provision requiring a valid contract to not only be actually made but also reduced to writing. As to the actual Statute of Frauds, Minn. Stat. § 513.01, two </w:t>
      </w:r>
      <w:r w:rsidR="0004598E">
        <w:rPr>
          <w:rFonts w:ascii="Times New Roman" w:hAnsi="Times New Roman" w:cs="Times New Roman"/>
          <w:sz w:val="24"/>
          <w:szCs w:val="24"/>
        </w:rPr>
        <w:t>pre-</w:t>
      </w:r>
      <w:r w:rsidRPr="009D3A45">
        <w:rPr>
          <w:rFonts w:ascii="Times New Roman" w:hAnsi="Times New Roman" w:cs="Times New Roman"/>
          <w:sz w:val="24"/>
          <w:szCs w:val="24"/>
        </w:rPr>
        <w:t>1971</w:t>
      </w:r>
      <w:r w:rsidR="0004598E">
        <w:rPr>
          <w:rFonts w:ascii="Times New Roman" w:hAnsi="Times New Roman" w:cs="Times New Roman"/>
          <w:sz w:val="24"/>
          <w:szCs w:val="24"/>
        </w:rPr>
        <w:t xml:space="preserve"> cases</w:t>
      </w:r>
      <w:r w:rsidRPr="009D3A45">
        <w:rPr>
          <w:rFonts w:ascii="Times New Roman" w:hAnsi="Times New Roman" w:cs="Times New Roman"/>
          <w:sz w:val="24"/>
          <w:szCs w:val="24"/>
        </w:rPr>
        <w:t xml:space="preserve"> held that the word “agreement” </w:t>
      </w:r>
      <w:r w:rsidR="00F32927" w:rsidRPr="009D3A45">
        <w:rPr>
          <w:rFonts w:ascii="Times New Roman" w:hAnsi="Times New Roman" w:cs="Times New Roman"/>
          <w:sz w:val="24"/>
          <w:szCs w:val="24"/>
        </w:rPr>
        <w:t xml:space="preserve">in section 513.01 meant “contract”. </w:t>
      </w:r>
      <w:hyperlink r:id="rId24" w:history="1">
        <w:r w:rsidRPr="009D3A45">
          <w:rPr>
            <w:rStyle w:val="Hyperlink"/>
            <w:rFonts w:ascii="Times New Roman" w:hAnsi="Times New Roman" w:cs="Times New Roman"/>
            <w:sz w:val="24"/>
            <w:szCs w:val="24"/>
          </w:rPr>
          <w:t>Hartung v. Billmeier, 243 Minn. 148, 152, 66 N.W.2d 784, --- (1954)</w:t>
        </w:r>
      </w:hyperlink>
      <w:r w:rsidR="0004598E">
        <w:rPr>
          <w:rFonts w:ascii="Times New Roman" w:hAnsi="Times New Roman" w:cs="Times New Roman"/>
          <w:sz w:val="24"/>
          <w:szCs w:val="24"/>
        </w:rPr>
        <w:t xml:space="preserve">; </w:t>
      </w:r>
      <w:hyperlink r:id="rId25" w:history="1">
        <w:r w:rsidRPr="009D3A45">
          <w:rPr>
            <w:rStyle w:val="Hyperlink"/>
            <w:rFonts w:ascii="Times New Roman" w:hAnsi="Times New Roman" w:cs="Times New Roman"/>
            <w:i/>
            <w:iCs/>
            <w:sz w:val="24"/>
            <w:szCs w:val="24"/>
          </w:rPr>
          <w:t>Borchardt v. Kulick</w:t>
        </w:r>
        <w:r w:rsidRPr="009D3A45">
          <w:rPr>
            <w:rStyle w:val="Hyperlink"/>
            <w:rFonts w:ascii="Times New Roman" w:hAnsi="Times New Roman" w:cs="Times New Roman"/>
            <w:sz w:val="24"/>
            <w:szCs w:val="24"/>
          </w:rPr>
          <w:t>, 234 Minn. 308,323-324, 48 N.W.2d 318,-- (1951)</w:t>
        </w:r>
      </w:hyperlink>
      <w:r w:rsidR="00F32927" w:rsidRPr="009D3A45">
        <w:rPr>
          <w:rFonts w:ascii="Times New Roman" w:hAnsi="Times New Roman" w:cs="Times New Roman"/>
          <w:sz w:val="24"/>
          <w:szCs w:val="24"/>
        </w:rPr>
        <w:t>.</w:t>
      </w:r>
    </w:p>
    <w:p w:rsidR="00D8051E" w:rsidRDefault="00AB2E12" w:rsidP="00C459B7">
      <w:pPr>
        <w:pStyle w:val="FootnoteText"/>
        <w:rPr>
          <w:rFonts w:ascii="Times New Roman" w:hAnsi="Times New Roman" w:cs="Times New Roman"/>
          <w:color w:val="222222"/>
          <w:sz w:val="24"/>
          <w:szCs w:val="24"/>
          <w:shd w:val="clear" w:color="auto" w:fill="FFFFFF"/>
        </w:rPr>
      </w:pPr>
      <w:r w:rsidRPr="00C21768">
        <w:rPr>
          <w:rFonts w:ascii="Times New Roman" w:hAnsi="Times New Roman" w:cs="Times New Roman"/>
          <w:sz w:val="24"/>
          <w:szCs w:val="24"/>
        </w:rPr>
        <w:t>Another factor to consider is that Minn. Stat. § 504B.161</w:t>
      </w:r>
      <w:r w:rsidR="00C459B7" w:rsidRPr="00C21768">
        <w:rPr>
          <w:rFonts w:ascii="Times New Roman" w:hAnsi="Times New Roman" w:cs="Times New Roman"/>
          <w:sz w:val="24"/>
          <w:szCs w:val="24"/>
        </w:rPr>
        <w:t xml:space="preserve"> is a </w:t>
      </w:r>
      <w:r w:rsidR="00F62322" w:rsidRPr="00C21768">
        <w:rPr>
          <w:rFonts w:ascii="Times New Roman" w:hAnsi="Times New Roman" w:cs="Times New Roman"/>
          <w:sz w:val="24"/>
          <w:szCs w:val="24"/>
        </w:rPr>
        <w:t>consumer-protection</w:t>
      </w:r>
      <w:r w:rsidR="00C21768" w:rsidRPr="00C21768">
        <w:rPr>
          <w:rFonts w:ascii="Times New Roman" w:hAnsi="Times New Roman" w:cs="Times New Roman"/>
          <w:sz w:val="24"/>
          <w:szCs w:val="24"/>
        </w:rPr>
        <w:t xml:space="preserve"> statute.</w:t>
      </w:r>
      <w:r w:rsidR="00C77007" w:rsidRPr="00C21768">
        <w:rPr>
          <w:rStyle w:val="FootnoteReference"/>
          <w:rFonts w:ascii="Times New Roman" w:hAnsi="Times New Roman" w:cs="Times New Roman"/>
          <w:sz w:val="24"/>
          <w:szCs w:val="24"/>
        </w:rPr>
        <w:footnoteReference w:id="14"/>
      </w:r>
      <w:r w:rsidR="00C77007">
        <w:rPr>
          <w:rFonts w:ascii="Times New Roman" w:hAnsi="Times New Roman" w:cs="Times New Roman"/>
          <w:sz w:val="24"/>
          <w:szCs w:val="24"/>
        </w:rPr>
        <w:t xml:space="preserve"> </w:t>
      </w:r>
      <w:r w:rsidR="00C21768" w:rsidRPr="00C21768">
        <w:rPr>
          <w:rFonts w:ascii="Times New Roman" w:hAnsi="Times New Roman" w:cs="Times New Roman"/>
          <w:color w:val="222222"/>
          <w:sz w:val="24"/>
          <w:szCs w:val="24"/>
          <w:shd w:val="clear" w:color="auto" w:fill="FFFFFF"/>
        </w:rPr>
        <w:t>Consumer protection statutes are to be liberally construed in favor of protecting consumers. </w:t>
      </w:r>
      <w:hyperlink r:id="rId26" w:history="1">
        <w:r w:rsidR="00C21768" w:rsidRPr="00C21768">
          <w:rPr>
            <w:rStyle w:val="Hyperlink"/>
            <w:rFonts w:ascii="Times New Roman" w:hAnsi="Times New Roman" w:cs="Times New Roman"/>
            <w:i/>
            <w:iCs/>
            <w:sz w:val="24"/>
            <w:szCs w:val="24"/>
            <w:shd w:val="clear" w:color="auto" w:fill="FFFFFF"/>
          </w:rPr>
          <w:t>State v. Alpine Air Prod</w:t>
        </w:r>
        <w:r w:rsidR="007E5452">
          <w:rPr>
            <w:rStyle w:val="Hyperlink"/>
            <w:rFonts w:ascii="Times New Roman" w:hAnsi="Times New Roman" w:cs="Times New Roman"/>
            <w:i/>
            <w:iCs/>
            <w:sz w:val="24"/>
            <w:szCs w:val="24"/>
            <w:shd w:val="clear" w:color="auto" w:fill="FFFFFF"/>
          </w:rPr>
          <w:t>uct</w:t>
        </w:r>
        <w:r w:rsidR="00C21768" w:rsidRPr="00C21768">
          <w:rPr>
            <w:rStyle w:val="Hyperlink"/>
            <w:rFonts w:ascii="Times New Roman" w:hAnsi="Times New Roman" w:cs="Times New Roman"/>
            <w:i/>
            <w:iCs/>
            <w:sz w:val="24"/>
            <w:szCs w:val="24"/>
            <w:shd w:val="clear" w:color="auto" w:fill="FFFFFF"/>
          </w:rPr>
          <w:t>s.,</w:t>
        </w:r>
        <w:r w:rsidR="00C21768" w:rsidRPr="00C21768">
          <w:rPr>
            <w:rStyle w:val="Hyperlink"/>
            <w:rFonts w:ascii="Times New Roman" w:hAnsi="Times New Roman" w:cs="Times New Roman"/>
            <w:sz w:val="24"/>
            <w:szCs w:val="24"/>
            <w:shd w:val="clear" w:color="auto" w:fill="FFFFFF"/>
          </w:rPr>
          <w:t> 490 N.W.2d 888, 892 (Minn. App. 1992)</w:t>
        </w:r>
      </w:hyperlink>
      <w:r w:rsidR="00C21768" w:rsidRPr="00C21768">
        <w:rPr>
          <w:rFonts w:ascii="Times New Roman" w:hAnsi="Times New Roman" w:cs="Times New Roman"/>
          <w:color w:val="222222"/>
          <w:sz w:val="24"/>
          <w:szCs w:val="24"/>
          <w:shd w:val="clear" w:color="auto" w:fill="FFFFFF"/>
        </w:rPr>
        <w:t xml:space="preserve">, </w:t>
      </w:r>
      <w:r w:rsidR="00C21768" w:rsidRPr="004F0C50">
        <w:rPr>
          <w:rFonts w:ascii="Times New Roman" w:hAnsi="Times New Roman" w:cs="Times New Roman"/>
          <w:i/>
          <w:color w:val="222222"/>
          <w:sz w:val="24"/>
          <w:szCs w:val="24"/>
          <w:shd w:val="clear" w:color="auto" w:fill="FFFFFF"/>
        </w:rPr>
        <w:t>aff’d,</w:t>
      </w:r>
      <w:r w:rsidR="00C21768" w:rsidRPr="00C21768">
        <w:rPr>
          <w:rFonts w:ascii="Times New Roman" w:hAnsi="Times New Roman" w:cs="Times New Roman"/>
          <w:color w:val="222222"/>
          <w:sz w:val="24"/>
          <w:szCs w:val="24"/>
          <w:shd w:val="clear" w:color="auto" w:fill="FFFFFF"/>
        </w:rPr>
        <w:t xml:space="preserve"> 500 N.W.2d 788 (Minn.</w:t>
      </w:r>
      <w:r w:rsidR="005F5E21">
        <w:rPr>
          <w:rFonts w:ascii="Times New Roman" w:hAnsi="Times New Roman" w:cs="Times New Roman"/>
          <w:color w:val="222222"/>
          <w:sz w:val="24"/>
          <w:szCs w:val="24"/>
          <w:shd w:val="clear" w:color="auto" w:fill="FFFFFF"/>
        </w:rPr>
        <w:t xml:space="preserve"> </w:t>
      </w:r>
      <w:r w:rsidR="00C21768" w:rsidRPr="00C21768">
        <w:rPr>
          <w:rFonts w:ascii="Times New Roman" w:hAnsi="Times New Roman" w:cs="Times New Roman"/>
          <w:color w:val="222222"/>
          <w:sz w:val="24"/>
          <w:szCs w:val="24"/>
          <w:shd w:val="clear" w:color="auto" w:fill="FFFFFF"/>
        </w:rPr>
        <w:t>1993)</w:t>
      </w:r>
      <w:r w:rsidR="00C21768">
        <w:rPr>
          <w:rFonts w:ascii="Times New Roman" w:hAnsi="Times New Roman" w:cs="Times New Roman"/>
          <w:color w:val="222222"/>
          <w:sz w:val="24"/>
          <w:szCs w:val="24"/>
          <w:shd w:val="clear" w:color="auto" w:fill="FFFFFF"/>
        </w:rPr>
        <w:t>.</w:t>
      </w:r>
      <w:r w:rsidR="00D8051E">
        <w:rPr>
          <w:rFonts w:ascii="Times New Roman" w:hAnsi="Times New Roman" w:cs="Times New Roman"/>
          <w:color w:val="222222"/>
          <w:sz w:val="24"/>
          <w:szCs w:val="24"/>
          <w:shd w:val="clear" w:color="auto" w:fill="FFFFFF"/>
        </w:rPr>
        <w:t xml:space="preserve"> </w:t>
      </w:r>
    </w:p>
    <w:p w:rsidR="00D8051E" w:rsidRDefault="00D8051E" w:rsidP="00C459B7">
      <w:pPr>
        <w:pStyle w:val="FootnoteText"/>
        <w:rPr>
          <w:rFonts w:ascii="Times New Roman" w:hAnsi="Times New Roman" w:cs="Times New Roman"/>
          <w:color w:val="222222"/>
          <w:sz w:val="24"/>
          <w:szCs w:val="24"/>
          <w:shd w:val="clear" w:color="auto" w:fill="FFFFFF"/>
        </w:rPr>
      </w:pPr>
    </w:p>
    <w:p w:rsidR="00D8051E" w:rsidRPr="00E21D8E" w:rsidRDefault="00D8051E" w:rsidP="00C459B7">
      <w:pPr>
        <w:pStyle w:val="FootnoteText"/>
        <w:rPr>
          <w:rFonts w:ascii="Times New Roman" w:hAnsi="Times New Roman" w:cs="Times New Roman"/>
          <w:sz w:val="24"/>
          <w:szCs w:val="24"/>
        </w:rPr>
      </w:pPr>
      <w:r w:rsidRPr="00E21D8E">
        <w:rPr>
          <w:rFonts w:ascii="Times New Roman" w:hAnsi="Times New Roman" w:cs="Times New Roman"/>
          <w:color w:val="222222"/>
          <w:sz w:val="24"/>
          <w:szCs w:val="24"/>
          <w:shd w:val="clear" w:color="auto" w:fill="FFFFFF"/>
        </w:rPr>
        <w:t>Also, a</w:t>
      </w:r>
      <w:r w:rsidR="00F85C3A" w:rsidRPr="00E21D8E">
        <w:rPr>
          <w:rFonts w:ascii="Times New Roman" w:hAnsi="Times New Roman" w:cs="Times New Roman"/>
          <w:sz w:val="24"/>
          <w:szCs w:val="24"/>
        </w:rPr>
        <w:t>mbiguous</w:t>
      </w:r>
      <w:r w:rsidR="00E5758E" w:rsidRPr="00E21D8E">
        <w:rPr>
          <w:rFonts w:ascii="Times New Roman" w:hAnsi="Times New Roman" w:cs="Times New Roman"/>
          <w:sz w:val="24"/>
          <w:szCs w:val="24"/>
        </w:rPr>
        <w:t xml:space="preserve"> </w:t>
      </w:r>
      <w:r w:rsidR="00F85C3A" w:rsidRPr="00E21D8E">
        <w:rPr>
          <w:rFonts w:ascii="Times New Roman" w:hAnsi="Times New Roman" w:cs="Times New Roman"/>
          <w:sz w:val="24"/>
          <w:szCs w:val="24"/>
        </w:rPr>
        <w:t>r</w:t>
      </w:r>
      <w:r w:rsidR="00C459B7" w:rsidRPr="00E21D8E">
        <w:rPr>
          <w:rFonts w:ascii="Times New Roman" w:hAnsi="Times New Roman" w:cs="Times New Roman"/>
          <w:sz w:val="24"/>
          <w:szCs w:val="24"/>
        </w:rPr>
        <w:t>emedial statutes should be given a li</w:t>
      </w:r>
      <w:r w:rsidR="00E5758E" w:rsidRPr="00E21D8E">
        <w:rPr>
          <w:rFonts w:ascii="Times New Roman" w:hAnsi="Times New Roman" w:cs="Times New Roman"/>
          <w:sz w:val="24"/>
          <w:szCs w:val="24"/>
        </w:rPr>
        <w:t>beral construction</w:t>
      </w:r>
      <w:r w:rsidR="00C459B7" w:rsidRPr="00E21D8E">
        <w:rPr>
          <w:rFonts w:ascii="Times New Roman" w:hAnsi="Times New Roman" w:cs="Times New Roman"/>
          <w:sz w:val="24"/>
          <w:szCs w:val="24"/>
        </w:rPr>
        <w:t xml:space="preserve">. </w:t>
      </w:r>
      <w:hyperlink r:id="rId27" w:history="1">
        <w:r w:rsidR="00C459B7" w:rsidRPr="00E21D8E">
          <w:rPr>
            <w:rStyle w:val="Hyperlink"/>
            <w:rFonts w:ascii="Times New Roman" w:hAnsi="Times New Roman" w:cs="Times New Roman"/>
            <w:i/>
            <w:iCs/>
            <w:color w:val="1A0DAB"/>
            <w:sz w:val="24"/>
            <w:szCs w:val="24"/>
            <w:shd w:val="clear" w:color="auto" w:fill="FFFFFF"/>
          </w:rPr>
          <w:t>S.M. Hentges &amp; Sons, Inc. v. Mensing,</w:t>
        </w:r>
        <w:r w:rsidR="00C459B7" w:rsidRPr="00E21D8E">
          <w:rPr>
            <w:rStyle w:val="Hyperlink"/>
            <w:rFonts w:ascii="Times New Roman" w:hAnsi="Times New Roman" w:cs="Times New Roman"/>
            <w:color w:val="1A0DAB"/>
            <w:sz w:val="24"/>
            <w:szCs w:val="24"/>
            <w:shd w:val="clear" w:color="auto" w:fill="FFFFFF"/>
          </w:rPr>
          <w:t> 777 N.W.2d 228,232 (Minn. 2010)</w:t>
        </w:r>
      </w:hyperlink>
      <w:r w:rsidR="00C459B7" w:rsidRPr="00E21D8E">
        <w:rPr>
          <w:rFonts w:ascii="Times New Roman" w:hAnsi="Times New Roman" w:cs="Times New Roman"/>
          <w:sz w:val="24"/>
          <w:szCs w:val="24"/>
        </w:rPr>
        <w:t xml:space="preserve">. </w:t>
      </w:r>
      <w:r w:rsidR="007E5452">
        <w:rPr>
          <w:rFonts w:ascii="Times New Roman" w:hAnsi="Times New Roman" w:cs="Times New Roman"/>
          <w:sz w:val="24"/>
          <w:szCs w:val="24"/>
        </w:rPr>
        <w:t xml:space="preserve">One meaning of </w:t>
      </w:r>
      <w:r w:rsidRPr="00E21D8E">
        <w:rPr>
          <w:rFonts w:ascii="Times New Roman" w:hAnsi="Times New Roman" w:cs="Times New Roman"/>
          <w:sz w:val="24"/>
          <w:szCs w:val="24"/>
        </w:rPr>
        <w:t xml:space="preserve">“remedial statute” </w:t>
      </w:r>
      <w:r w:rsidR="007E5452">
        <w:rPr>
          <w:rFonts w:ascii="Times New Roman" w:hAnsi="Times New Roman" w:cs="Times New Roman"/>
          <w:sz w:val="24"/>
          <w:szCs w:val="24"/>
        </w:rPr>
        <w:t xml:space="preserve">is a law that </w:t>
      </w:r>
      <w:r w:rsidRPr="00E21D8E">
        <w:rPr>
          <w:rFonts w:ascii="Times New Roman" w:hAnsi="Times New Roman" w:cs="Times New Roman"/>
          <w:sz w:val="24"/>
          <w:szCs w:val="24"/>
        </w:rPr>
        <w:t>provides a remedy for an existing right.</w:t>
      </w:r>
      <w:r w:rsidR="00C77007" w:rsidRPr="00E21D8E">
        <w:rPr>
          <w:rStyle w:val="FootnoteReference"/>
          <w:rFonts w:ascii="Times New Roman" w:hAnsi="Times New Roman" w:cs="Times New Roman"/>
          <w:sz w:val="24"/>
          <w:szCs w:val="24"/>
        </w:rPr>
        <w:footnoteReference w:id="15"/>
      </w:r>
      <w:r w:rsidRPr="00E21D8E">
        <w:rPr>
          <w:rFonts w:ascii="Times New Roman" w:hAnsi="Times New Roman" w:cs="Times New Roman"/>
          <w:sz w:val="24"/>
          <w:szCs w:val="24"/>
        </w:rPr>
        <w:t xml:space="preserve"> Section 504B.161 does not do that. However, </w:t>
      </w:r>
      <w:r w:rsidR="007E5452">
        <w:rPr>
          <w:rFonts w:ascii="Times New Roman" w:hAnsi="Times New Roman" w:cs="Times New Roman"/>
          <w:sz w:val="24"/>
          <w:szCs w:val="24"/>
        </w:rPr>
        <w:t xml:space="preserve">another meaning of </w:t>
      </w:r>
      <w:r w:rsidRPr="00E21D8E">
        <w:rPr>
          <w:rFonts w:ascii="Times New Roman" w:hAnsi="Times New Roman" w:cs="Times New Roman"/>
          <w:sz w:val="24"/>
          <w:szCs w:val="24"/>
        </w:rPr>
        <w:t>“remedial statute” is a law that fixes gaps in the common law</w:t>
      </w:r>
      <w:r w:rsidR="00F8406F" w:rsidRPr="00E21D8E">
        <w:rPr>
          <w:rFonts w:ascii="Times New Roman" w:hAnsi="Times New Roman" w:cs="Times New Roman"/>
          <w:sz w:val="24"/>
          <w:szCs w:val="24"/>
        </w:rPr>
        <w:t xml:space="preserve">, </w:t>
      </w:r>
      <w:r w:rsidR="00C77007" w:rsidRPr="00E21D8E">
        <w:rPr>
          <w:rFonts w:ascii="Times New Roman" w:hAnsi="Times New Roman" w:cs="Times New Roman"/>
          <w:sz w:val="24"/>
          <w:szCs w:val="24"/>
        </w:rPr>
        <w:t>reforms or extends existing right</w:t>
      </w:r>
      <w:r w:rsidR="00F8406F" w:rsidRPr="00E21D8E">
        <w:rPr>
          <w:rFonts w:ascii="Times New Roman" w:hAnsi="Times New Roman" w:cs="Times New Roman"/>
          <w:sz w:val="24"/>
          <w:szCs w:val="24"/>
        </w:rPr>
        <w:t xml:space="preserve">s, or </w:t>
      </w:r>
      <w:r w:rsidR="00F8406F" w:rsidRPr="00E21D8E">
        <w:rPr>
          <w:rFonts w:ascii="Times New Roman" w:hAnsi="Times New Roman" w:cs="Times New Roman"/>
          <w:color w:val="222222"/>
          <w:sz w:val="24"/>
          <w:szCs w:val="24"/>
          <w:shd w:val="clear" w:color="auto" w:fill="FFFFFF"/>
        </w:rPr>
        <w:t>has</w:t>
      </w:r>
      <w:r w:rsidR="00C77007" w:rsidRPr="00E21D8E">
        <w:rPr>
          <w:rFonts w:ascii="Times New Roman" w:hAnsi="Times New Roman" w:cs="Times New Roman"/>
          <w:color w:val="222222"/>
          <w:sz w:val="24"/>
          <w:szCs w:val="24"/>
          <w:shd w:val="clear" w:color="auto" w:fill="FFFFFF"/>
        </w:rPr>
        <w:t xml:space="preserve"> the purpose of </w:t>
      </w:r>
      <w:r w:rsidR="00F8406F" w:rsidRPr="00E21D8E">
        <w:rPr>
          <w:rFonts w:ascii="Times New Roman" w:hAnsi="Times New Roman" w:cs="Times New Roman"/>
          <w:color w:val="222222"/>
          <w:sz w:val="24"/>
          <w:szCs w:val="24"/>
          <w:shd w:val="clear" w:color="auto" w:fill="FFFFFF"/>
        </w:rPr>
        <w:t xml:space="preserve">advancing public welfare </w:t>
      </w:r>
      <w:r w:rsidR="00C77007" w:rsidRPr="00E21D8E">
        <w:rPr>
          <w:rFonts w:ascii="Times New Roman" w:hAnsi="Times New Roman" w:cs="Times New Roman"/>
          <w:color w:val="222222"/>
          <w:sz w:val="24"/>
          <w:szCs w:val="24"/>
          <w:shd w:val="clear" w:color="auto" w:fill="FFFFFF"/>
        </w:rPr>
        <w:t xml:space="preserve">such as the protection of </w:t>
      </w:r>
      <w:r w:rsidR="00C77007" w:rsidRPr="00E21D8E">
        <w:rPr>
          <w:rFonts w:ascii="Times New Roman" w:hAnsi="Times New Roman" w:cs="Times New Roman"/>
          <w:color w:val="222222"/>
          <w:sz w:val="24"/>
          <w:szCs w:val="24"/>
          <w:shd w:val="clear" w:color="auto" w:fill="FFFFFF"/>
        </w:rPr>
        <w:lastRenderedPageBreak/>
        <w:t>the health</w:t>
      </w:r>
      <w:r w:rsidR="00F8406F" w:rsidRPr="00E21D8E">
        <w:rPr>
          <w:rFonts w:ascii="Times New Roman" w:hAnsi="Times New Roman" w:cs="Times New Roman"/>
          <w:color w:val="222222"/>
          <w:sz w:val="24"/>
          <w:szCs w:val="24"/>
          <w:shd w:val="clear" w:color="auto" w:fill="FFFFFF"/>
        </w:rPr>
        <w:t xml:space="preserve"> and</w:t>
      </w:r>
      <w:r w:rsidR="00C77007" w:rsidRPr="00E21D8E">
        <w:rPr>
          <w:rFonts w:ascii="Times New Roman" w:hAnsi="Times New Roman" w:cs="Times New Roman"/>
          <w:color w:val="222222"/>
          <w:sz w:val="24"/>
          <w:szCs w:val="24"/>
          <w:shd w:val="clear" w:color="auto" w:fill="FFFFFF"/>
        </w:rPr>
        <w:t xml:space="preserve"> safety of society or of the public</w:t>
      </w:r>
      <w:r w:rsidRPr="00E21D8E">
        <w:rPr>
          <w:rFonts w:ascii="Times New Roman" w:hAnsi="Times New Roman" w:cs="Times New Roman"/>
          <w:sz w:val="24"/>
          <w:szCs w:val="24"/>
        </w:rPr>
        <w:t>.</w:t>
      </w:r>
      <w:r w:rsidR="00140248" w:rsidRPr="00E21D8E">
        <w:rPr>
          <w:rStyle w:val="FootnoteReference"/>
          <w:rFonts w:ascii="Times New Roman" w:hAnsi="Times New Roman" w:cs="Times New Roman"/>
          <w:sz w:val="24"/>
          <w:szCs w:val="24"/>
        </w:rPr>
        <w:footnoteReference w:id="16"/>
      </w:r>
      <w:r w:rsidR="003850EE">
        <w:rPr>
          <w:rFonts w:ascii="Times New Roman" w:hAnsi="Times New Roman" w:cs="Times New Roman"/>
          <w:sz w:val="24"/>
          <w:szCs w:val="24"/>
        </w:rPr>
        <w:t xml:space="preserve"> Thus, </w:t>
      </w:r>
      <w:r w:rsidR="003850EE" w:rsidRPr="00C21768">
        <w:rPr>
          <w:rFonts w:ascii="Times New Roman" w:hAnsi="Times New Roman" w:cs="Times New Roman"/>
          <w:sz w:val="24"/>
          <w:szCs w:val="24"/>
        </w:rPr>
        <w:t>Minn. Stat. § 504B.161</w:t>
      </w:r>
      <w:r w:rsidR="003850EE">
        <w:rPr>
          <w:rFonts w:ascii="Times New Roman" w:hAnsi="Times New Roman" w:cs="Times New Roman"/>
          <w:sz w:val="24"/>
          <w:szCs w:val="24"/>
        </w:rPr>
        <w:t xml:space="preserve"> is not only a consumer protection statute but also a remedial statute.</w:t>
      </w:r>
      <w:r w:rsidR="007E5452">
        <w:rPr>
          <w:rFonts w:ascii="Times New Roman" w:hAnsi="Times New Roman" w:cs="Times New Roman"/>
          <w:sz w:val="24"/>
          <w:szCs w:val="24"/>
        </w:rPr>
        <w:t xml:space="preserve"> Indeed, t</w:t>
      </w:r>
      <w:r w:rsidR="007E5452" w:rsidRPr="000624E4">
        <w:rPr>
          <w:rFonts w:ascii="Times New Roman" w:hAnsi="Times New Roman" w:cs="Times New Roman"/>
          <w:sz w:val="24"/>
          <w:szCs w:val="24"/>
        </w:rPr>
        <w:t>here are at least three cases from other jurisdictions directly holding that a warranty-of-habitability statute is a remedial</w:t>
      </w:r>
      <w:r w:rsidR="007E5452">
        <w:rPr>
          <w:rFonts w:ascii="Times New Roman" w:hAnsi="Times New Roman" w:cs="Times New Roman"/>
          <w:sz w:val="24"/>
          <w:szCs w:val="24"/>
        </w:rPr>
        <w:t xml:space="preserve"> statute</w:t>
      </w:r>
      <w:r w:rsidR="007E5452" w:rsidRPr="000624E4">
        <w:rPr>
          <w:rFonts w:ascii="Times New Roman" w:hAnsi="Times New Roman" w:cs="Times New Roman"/>
          <w:sz w:val="24"/>
          <w:szCs w:val="24"/>
        </w:rPr>
        <w:t xml:space="preserve"> </w:t>
      </w:r>
      <w:r w:rsidR="007E5452">
        <w:rPr>
          <w:rFonts w:ascii="Times New Roman" w:hAnsi="Times New Roman" w:cs="Times New Roman"/>
          <w:sz w:val="24"/>
          <w:szCs w:val="24"/>
        </w:rPr>
        <w:t>and</w:t>
      </w:r>
      <w:r w:rsidR="007E5452" w:rsidRPr="000624E4">
        <w:rPr>
          <w:rFonts w:ascii="Times New Roman" w:hAnsi="Times New Roman" w:cs="Times New Roman"/>
          <w:sz w:val="24"/>
          <w:szCs w:val="24"/>
        </w:rPr>
        <w:t xml:space="preserve"> </w:t>
      </w:r>
      <w:r w:rsidR="00A97B0B">
        <w:rPr>
          <w:rFonts w:ascii="Times New Roman" w:hAnsi="Times New Roman" w:cs="Times New Roman"/>
          <w:sz w:val="24"/>
          <w:szCs w:val="24"/>
        </w:rPr>
        <w:t xml:space="preserve">thus was </w:t>
      </w:r>
      <w:r w:rsidR="007E5452" w:rsidRPr="000624E4">
        <w:rPr>
          <w:rFonts w:ascii="Times New Roman" w:hAnsi="Times New Roman" w:cs="Times New Roman"/>
          <w:sz w:val="24"/>
          <w:szCs w:val="24"/>
        </w:rPr>
        <w:t>construed l</w:t>
      </w:r>
      <w:r w:rsidR="005F5E21">
        <w:rPr>
          <w:rFonts w:ascii="Times New Roman" w:hAnsi="Times New Roman" w:cs="Times New Roman"/>
          <w:sz w:val="24"/>
          <w:szCs w:val="24"/>
        </w:rPr>
        <w:t>iberally to protect the tenant.</w:t>
      </w:r>
      <w:r w:rsidR="003850EE">
        <w:rPr>
          <w:rStyle w:val="FootnoteReference"/>
          <w:rFonts w:ascii="Times New Roman" w:hAnsi="Times New Roman" w:cs="Times New Roman"/>
          <w:sz w:val="24"/>
          <w:szCs w:val="24"/>
        </w:rPr>
        <w:footnoteReference w:id="17"/>
      </w:r>
    </w:p>
    <w:p w:rsidR="00D8051E" w:rsidRDefault="00D8051E" w:rsidP="00C459B7">
      <w:pPr>
        <w:pStyle w:val="FootnoteText"/>
        <w:rPr>
          <w:rFonts w:ascii="Times New Roman" w:hAnsi="Times New Roman" w:cs="Times New Roman"/>
          <w:sz w:val="24"/>
          <w:szCs w:val="24"/>
        </w:rPr>
      </w:pPr>
    </w:p>
    <w:p w:rsidR="00C459B7" w:rsidRPr="009D3A45" w:rsidRDefault="00F867A7" w:rsidP="00C459B7">
      <w:pPr>
        <w:pStyle w:val="FootnoteText"/>
        <w:rPr>
          <w:rFonts w:ascii="Times New Roman" w:hAnsi="Times New Roman" w:cs="Times New Roman"/>
          <w:sz w:val="24"/>
          <w:szCs w:val="24"/>
        </w:rPr>
      </w:pPr>
      <w:r>
        <w:rPr>
          <w:rFonts w:ascii="Times New Roman" w:hAnsi="Times New Roman" w:cs="Times New Roman"/>
          <w:sz w:val="24"/>
          <w:szCs w:val="24"/>
        </w:rPr>
        <w:t xml:space="preserve">Applying the liberal-construction canon from either </w:t>
      </w:r>
      <w:r w:rsidRPr="00F867A7">
        <w:rPr>
          <w:rFonts w:ascii="Times New Roman" w:hAnsi="Times New Roman" w:cs="Times New Roman"/>
          <w:i/>
          <w:sz w:val="24"/>
          <w:szCs w:val="24"/>
        </w:rPr>
        <w:t>Alpine Air Prod</w:t>
      </w:r>
      <w:r w:rsidR="007E5452">
        <w:rPr>
          <w:rFonts w:ascii="Times New Roman" w:hAnsi="Times New Roman" w:cs="Times New Roman"/>
          <w:i/>
          <w:sz w:val="24"/>
          <w:szCs w:val="24"/>
        </w:rPr>
        <w:t>uct</w:t>
      </w:r>
      <w:r w:rsidRPr="00F867A7">
        <w:rPr>
          <w:rFonts w:ascii="Times New Roman" w:hAnsi="Times New Roman" w:cs="Times New Roman"/>
          <w:i/>
          <w:sz w:val="24"/>
          <w:szCs w:val="24"/>
        </w:rPr>
        <w:t xml:space="preserve">s </w:t>
      </w:r>
      <w:r>
        <w:rPr>
          <w:rFonts w:ascii="Times New Roman" w:hAnsi="Times New Roman" w:cs="Times New Roman"/>
          <w:sz w:val="24"/>
          <w:szCs w:val="24"/>
        </w:rPr>
        <w:t xml:space="preserve">or </w:t>
      </w:r>
      <w:r w:rsidRPr="00F867A7">
        <w:rPr>
          <w:rFonts w:ascii="Times New Roman" w:hAnsi="Times New Roman" w:cs="Times New Roman"/>
          <w:i/>
          <w:sz w:val="24"/>
          <w:szCs w:val="24"/>
        </w:rPr>
        <w:t>Mensing</w:t>
      </w:r>
      <w:r>
        <w:rPr>
          <w:rFonts w:ascii="Times New Roman" w:hAnsi="Times New Roman" w:cs="Times New Roman"/>
          <w:sz w:val="24"/>
          <w:szCs w:val="24"/>
        </w:rPr>
        <w:t>, i</w:t>
      </w:r>
      <w:r w:rsidR="00D66E45" w:rsidRPr="009D3A45">
        <w:rPr>
          <w:rFonts w:ascii="Times New Roman" w:hAnsi="Times New Roman" w:cs="Times New Roman"/>
          <w:sz w:val="24"/>
          <w:szCs w:val="24"/>
        </w:rPr>
        <w:t xml:space="preserve">f the landlord is </w:t>
      </w:r>
      <w:r w:rsidR="00C92908">
        <w:rPr>
          <w:rFonts w:ascii="Times New Roman" w:hAnsi="Times New Roman" w:cs="Times New Roman"/>
          <w:sz w:val="24"/>
          <w:szCs w:val="24"/>
        </w:rPr>
        <w:t>allowed to introduce evidence of</w:t>
      </w:r>
      <w:r w:rsidR="00D66E45" w:rsidRPr="009D3A45">
        <w:rPr>
          <w:rFonts w:ascii="Times New Roman" w:hAnsi="Times New Roman" w:cs="Times New Roman"/>
          <w:sz w:val="24"/>
          <w:szCs w:val="24"/>
        </w:rPr>
        <w:t xml:space="preserve"> oral deals</w:t>
      </w:r>
      <w:r w:rsidR="00C92908">
        <w:rPr>
          <w:rFonts w:ascii="Times New Roman" w:hAnsi="Times New Roman" w:cs="Times New Roman"/>
          <w:sz w:val="24"/>
          <w:szCs w:val="24"/>
        </w:rPr>
        <w:t xml:space="preserve"> or obscure written deals</w:t>
      </w:r>
      <w:r w:rsidR="00D66E45" w:rsidRPr="009D3A45">
        <w:rPr>
          <w:rFonts w:ascii="Times New Roman" w:hAnsi="Times New Roman" w:cs="Times New Roman"/>
          <w:sz w:val="24"/>
          <w:szCs w:val="24"/>
        </w:rPr>
        <w:t>, especially when he does so after the tenant challenges a Service-Plus clause</w:t>
      </w:r>
      <w:r w:rsidR="00DC0826" w:rsidRPr="009D3A45">
        <w:rPr>
          <w:rFonts w:ascii="Times New Roman" w:hAnsi="Times New Roman" w:cs="Times New Roman"/>
          <w:sz w:val="24"/>
          <w:szCs w:val="24"/>
        </w:rPr>
        <w:t xml:space="preserve">, there is a good chance the landlord will shade the truth or at least leave the court guessing as to what deal was or was not made. The tenant is protected from this sort of problem (i.e. possible “fraud” as in Statute of Frauds) if the landlord is forced from the beginning to reduce the deal to a conspicuous writing, most likely in the lease itself. The landlord </w:t>
      </w:r>
      <w:r w:rsidR="00C92908">
        <w:rPr>
          <w:rFonts w:ascii="Times New Roman" w:hAnsi="Times New Roman" w:cs="Times New Roman"/>
          <w:sz w:val="24"/>
          <w:szCs w:val="24"/>
        </w:rPr>
        <w:t xml:space="preserve">could </w:t>
      </w:r>
      <w:r w:rsidR="005A3210" w:rsidRPr="009D3A45">
        <w:rPr>
          <w:rFonts w:ascii="Times New Roman" w:hAnsi="Times New Roman" w:cs="Times New Roman"/>
          <w:sz w:val="24"/>
          <w:szCs w:val="24"/>
        </w:rPr>
        <w:t xml:space="preserve">use a lease </w:t>
      </w:r>
      <w:r w:rsidR="00C92908">
        <w:rPr>
          <w:rFonts w:ascii="Times New Roman" w:hAnsi="Times New Roman" w:cs="Times New Roman"/>
          <w:sz w:val="24"/>
          <w:szCs w:val="24"/>
        </w:rPr>
        <w:t>that beg</w:t>
      </w:r>
      <w:r w:rsidR="00A84F88">
        <w:rPr>
          <w:rFonts w:ascii="Times New Roman" w:hAnsi="Times New Roman" w:cs="Times New Roman"/>
          <w:sz w:val="24"/>
          <w:szCs w:val="24"/>
        </w:rPr>
        <w:t>ins</w:t>
      </w:r>
      <w:r w:rsidR="00C92908">
        <w:rPr>
          <w:rFonts w:ascii="Times New Roman" w:hAnsi="Times New Roman" w:cs="Times New Roman"/>
          <w:sz w:val="24"/>
          <w:szCs w:val="24"/>
        </w:rPr>
        <w:t xml:space="preserve"> </w:t>
      </w:r>
      <w:r w:rsidR="005A3210" w:rsidRPr="009D3A45">
        <w:rPr>
          <w:rFonts w:ascii="Times New Roman" w:hAnsi="Times New Roman" w:cs="Times New Roman"/>
          <w:sz w:val="24"/>
          <w:szCs w:val="24"/>
        </w:rPr>
        <w:t>like this:</w:t>
      </w:r>
    </w:p>
    <w:p w:rsidR="005A3210" w:rsidRDefault="005A3210" w:rsidP="00C459B7">
      <w:pPr>
        <w:pStyle w:val="FootnoteText"/>
        <w:rPr>
          <w:rFonts w:ascii="Times New Roman" w:hAnsi="Times New Roman" w:cs="Times New Roman"/>
          <w:sz w:val="24"/>
          <w:szCs w:val="24"/>
        </w:rPr>
      </w:pPr>
    </w:p>
    <w:p w:rsidR="009D3A45" w:rsidRDefault="005A3210" w:rsidP="00E271D8">
      <w:pPr>
        <w:pStyle w:val="FootnoteText"/>
        <w:ind w:left="720"/>
        <w:rPr>
          <w:rFonts w:ascii="Arial" w:hAnsi="Arial" w:cs="Arial"/>
          <w:sz w:val="22"/>
          <w:szCs w:val="22"/>
        </w:rPr>
      </w:pPr>
      <w:r w:rsidRPr="00E271D8">
        <w:rPr>
          <w:rFonts w:ascii="Arial" w:hAnsi="Arial" w:cs="Arial"/>
          <w:sz w:val="22"/>
          <w:szCs w:val="22"/>
        </w:rPr>
        <w:t xml:space="preserve">Landlord hereby leases to Tenant those said premises known as </w:t>
      </w:r>
      <w:r w:rsidR="00E271D8">
        <w:rPr>
          <w:rFonts w:ascii="Arial" w:hAnsi="Arial" w:cs="Arial"/>
          <w:sz w:val="22"/>
          <w:szCs w:val="22"/>
        </w:rPr>
        <w:t>_______________</w:t>
      </w:r>
      <w:r w:rsidR="00E271D8" w:rsidRPr="00E271D8">
        <w:rPr>
          <w:rFonts w:ascii="Arial" w:hAnsi="Arial" w:cs="Arial"/>
          <w:sz w:val="22"/>
          <w:szCs w:val="22"/>
        </w:rPr>
        <w:t>, Minneapolis</w:t>
      </w:r>
      <w:r w:rsidRPr="00E271D8">
        <w:rPr>
          <w:rFonts w:ascii="Arial" w:hAnsi="Arial" w:cs="Arial"/>
          <w:sz w:val="22"/>
          <w:szCs w:val="22"/>
        </w:rPr>
        <w:t>,</w:t>
      </w:r>
      <w:r w:rsidR="00E271D8" w:rsidRPr="00E271D8">
        <w:rPr>
          <w:rFonts w:ascii="Arial" w:hAnsi="Arial" w:cs="Arial"/>
          <w:sz w:val="22"/>
          <w:szCs w:val="22"/>
        </w:rPr>
        <w:t xml:space="preserve"> </w:t>
      </w:r>
      <w:r w:rsidRPr="00E271D8">
        <w:rPr>
          <w:rFonts w:ascii="Arial" w:hAnsi="Arial" w:cs="Arial"/>
          <w:sz w:val="22"/>
          <w:szCs w:val="22"/>
        </w:rPr>
        <w:t>MN for a period of</w:t>
      </w:r>
      <w:r w:rsidR="009D3A45">
        <w:rPr>
          <w:rFonts w:ascii="Arial" w:hAnsi="Arial" w:cs="Arial"/>
          <w:sz w:val="22"/>
          <w:szCs w:val="22"/>
        </w:rPr>
        <w:t xml:space="preserve"> _________________</w:t>
      </w:r>
      <w:r w:rsidRPr="00E271D8">
        <w:rPr>
          <w:rFonts w:ascii="Arial" w:hAnsi="Arial" w:cs="Arial"/>
          <w:sz w:val="22"/>
          <w:szCs w:val="22"/>
        </w:rPr>
        <w:t>. Said tenants, in consideration of said lease</w:t>
      </w:r>
      <w:r w:rsidR="009D3A45">
        <w:rPr>
          <w:rFonts w:ascii="Arial" w:hAnsi="Arial" w:cs="Arial"/>
          <w:sz w:val="22"/>
          <w:szCs w:val="22"/>
        </w:rPr>
        <w:t>,</w:t>
      </w:r>
      <w:r w:rsidRPr="00E271D8">
        <w:rPr>
          <w:rFonts w:ascii="Arial" w:hAnsi="Arial" w:cs="Arial"/>
          <w:sz w:val="22"/>
          <w:szCs w:val="22"/>
        </w:rPr>
        <w:t xml:space="preserve"> hereby covenant as follows: </w:t>
      </w:r>
    </w:p>
    <w:p w:rsidR="009D3A45" w:rsidRDefault="009D3A45" w:rsidP="00E271D8">
      <w:pPr>
        <w:pStyle w:val="FootnoteText"/>
        <w:ind w:left="720"/>
        <w:rPr>
          <w:rFonts w:ascii="Arial" w:hAnsi="Arial" w:cs="Arial"/>
          <w:sz w:val="22"/>
          <w:szCs w:val="22"/>
        </w:rPr>
      </w:pPr>
    </w:p>
    <w:p w:rsidR="005A3210" w:rsidRPr="00E271D8" w:rsidRDefault="009D3A45" w:rsidP="00E271D8">
      <w:pPr>
        <w:pStyle w:val="FootnoteText"/>
        <w:ind w:left="720"/>
        <w:rPr>
          <w:rFonts w:ascii="Arial" w:hAnsi="Arial" w:cs="Arial"/>
          <w:sz w:val="22"/>
          <w:szCs w:val="22"/>
        </w:rPr>
      </w:pPr>
      <w:r>
        <w:rPr>
          <w:rFonts w:ascii="Arial" w:hAnsi="Arial" w:cs="Arial"/>
          <w:sz w:val="22"/>
          <w:szCs w:val="22"/>
        </w:rPr>
        <w:t>¶1</w:t>
      </w:r>
      <w:r w:rsidRPr="009D3A45">
        <w:rPr>
          <w:rFonts w:ascii="Arial" w:hAnsi="Arial" w:cs="Arial"/>
          <w:sz w:val="22"/>
          <w:szCs w:val="22"/>
        </w:rPr>
        <w:t xml:space="preserve"> </w:t>
      </w:r>
      <w:r w:rsidR="00A84F88">
        <w:rPr>
          <w:rFonts w:ascii="Arial" w:hAnsi="Arial" w:cs="Arial"/>
          <w:sz w:val="22"/>
          <w:szCs w:val="22"/>
        </w:rPr>
        <w:t>{</w:t>
      </w:r>
      <w:r w:rsidR="005A3210" w:rsidRPr="00F23CB3">
        <w:rPr>
          <w:rFonts w:ascii="Arial" w:hAnsi="Arial" w:cs="Arial"/>
          <w:i/>
          <w:sz w:val="22"/>
          <w:szCs w:val="22"/>
        </w:rPr>
        <w:t>check a</w:t>
      </w:r>
      <w:r w:rsidR="00A84F88" w:rsidRPr="00F23CB3">
        <w:rPr>
          <w:rFonts w:ascii="Arial" w:hAnsi="Arial" w:cs="Arial"/>
          <w:i/>
          <w:sz w:val="22"/>
          <w:szCs w:val="22"/>
        </w:rPr>
        <w:t>nd initial one of the two boxes</w:t>
      </w:r>
      <w:r w:rsidR="00A84F88">
        <w:rPr>
          <w:rFonts w:ascii="Arial" w:hAnsi="Arial" w:cs="Arial"/>
          <w:sz w:val="22"/>
          <w:szCs w:val="22"/>
        </w:rPr>
        <w:t>}</w:t>
      </w:r>
    </w:p>
    <w:p w:rsidR="005A3210" w:rsidRPr="005A3210" w:rsidRDefault="005A3210" w:rsidP="005A3210">
      <w:pPr>
        <w:pStyle w:val="FootnoteText"/>
        <w:rPr>
          <w:rFonts w:ascii="Times New Roman" w:hAnsi="Times New Roman" w:cs="Times New Roman"/>
          <w:sz w:val="24"/>
          <w:szCs w:val="24"/>
        </w:rPr>
      </w:pPr>
    </w:p>
    <w:p w:rsidR="00E271D8" w:rsidRPr="00E271D8" w:rsidRDefault="00E271D8" w:rsidP="00E271D8">
      <w:pPr>
        <w:pStyle w:val="FootnoteText"/>
        <w:ind w:left="720"/>
        <w:rPr>
          <w:rFonts w:ascii="Arial" w:hAnsi="Arial" w:cs="Arial"/>
          <w:sz w:val="22"/>
          <w:szCs w:val="22"/>
        </w:rPr>
      </w:pPr>
      <w:r w:rsidRPr="00E271D8">
        <w:rPr>
          <w:rFonts w:ascii="Arial" w:hAnsi="Arial" w:cs="Arial"/>
          <w:sz w:val="22"/>
          <w:szCs w:val="22"/>
        </w:rPr>
        <w:t xml:space="preserve">_______ </w:t>
      </w:r>
      <w:r w:rsidRPr="009D3A45">
        <w:rPr>
          <w:rFonts w:ascii="Arial" w:hAnsi="Arial" w:cs="Arial"/>
          <w:sz w:val="32"/>
          <w:szCs w:val="32"/>
        </w:rPr>
        <w:t>□</w:t>
      </w:r>
      <w:r w:rsidRPr="00E271D8">
        <w:rPr>
          <w:rFonts w:ascii="Arial" w:hAnsi="Arial" w:cs="Arial"/>
          <w:sz w:val="22"/>
          <w:szCs w:val="22"/>
        </w:rPr>
        <w:t xml:space="preserve"> </w:t>
      </w:r>
      <w:r w:rsidR="005A3210" w:rsidRPr="00E271D8">
        <w:rPr>
          <w:rFonts w:ascii="Arial" w:hAnsi="Arial" w:cs="Arial"/>
          <w:sz w:val="22"/>
          <w:szCs w:val="22"/>
        </w:rPr>
        <w:t xml:space="preserve">To pay in advance, without deductions or </w:t>
      </w:r>
      <w:r w:rsidR="00B06011">
        <w:rPr>
          <w:rFonts w:ascii="Arial" w:hAnsi="Arial" w:cs="Arial"/>
          <w:sz w:val="22"/>
          <w:szCs w:val="22"/>
        </w:rPr>
        <w:t>demand, a monthly rent of $1,060</w:t>
      </w:r>
      <w:r w:rsidR="005A3210" w:rsidRPr="00E271D8">
        <w:rPr>
          <w:rFonts w:ascii="Arial" w:hAnsi="Arial" w:cs="Arial"/>
          <w:sz w:val="22"/>
          <w:szCs w:val="22"/>
        </w:rPr>
        <w:t xml:space="preserve"> on the first</w:t>
      </w:r>
      <w:r w:rsidRPr="00E271D8">
        <w:rPr>
          <w:rFonts w:ascii="Arial" w:hAnsi="Arial" w:cs="Arial"/>
          <w:sz w:val="22"/>
          <w:szCs w:val="22"/>
        </w:rPr>
        <w:t xml:space="preserve"> </w:t>
      </w:r>
      <w:r w:rsidR="005A3210" w:rsidRPr="00E271D8">
        <w:rPr>
          <w:rFonts w:ascii="Arial" w:hAnsi="Arial" w:cs="Arial"/>
          <w:sz w:val="22"/>
          <w:szCs w:val="22"/>
        </w:rPr>
        <w:t xml:space="preserve">day of each and every month. If this box is checked, </w:t>
      </w:r>
      <w:r w:rsidRPr="00E271D8">
        <w:rPr>
          <w:rFonts w:ascii="Arial" w:hAnsi="Arial" w:cs="Arial"/>
          <w:sz w:val="22"/>
          <w:szCs w:val="22"/>
          <w:u w:val="single"/>
        </w:rPr>
        <w:t>¶26 does not apply</w:t>
      </w:r>
      <w:r w:rsidRPr="00E271D8">
        <w:rPr>
          <w:rFonts w:ascii="Arial" w:hAnsi="Arial" w:cs="Arial"/>
          <w:sz w:val="22"/>
          <w:szCs w:val="22"/>
        </w:rPr>
        <w:t>.</w:t>
      </w:r>
    </w:p>
    <w:p w:rsidR="00E271D8" w:rsidRPr="00E271D8" w:rsidRDefault="00E271D8" w:rsidP="00E271D8">
      <w:pPr>
        <w:pStyle w:val="FootnoteText"/>
        <w:ind w:left="720"/>
        <w:rPr>
          <w:rFonts w:ascii="Arial" w:hAnsi="Arial" w:cs="Arial"/>
          <w:sz w:val="22"/>
          <w:szCs w:val="22"/>
        </w:rPr>
      </w:pPr>
    </w:p>
    <w:p w:rsidR="00E271D8" w:rsidRPr="00E271D8" w:rsidRDefault="00E271D8" w:rsidP="00E271D8">
      <w:pPr>
        <w:pStyle w:val="FootnoteText"/>
        <w:ind w:left="720"/>
        <w:rPr>
          <w:rFonts w:ascii="Arial" w:hAnsi="Arial" w:cs="Arial"/>
          <w:sz w:val="22"/>
          <w:szCs w:val="22"/>
        </w:rPr>
      </w:pPr>
      <w:r w:rsidRPr="00E271D8">
        <w:rPr>
          <w:rFonts w:ascii="Arial" w:hAnsi="Arial" w:cs="Arial"/>
          <w:sz w:val="22"/>
          <w:szCs w:val="22"/>
        </w:rPr>
        <w:t xml:space="preserve">_______ </w:t>
      </w:r>
      <w:r w:rsidRPr="009D3A45">
        <w:rPr>
          <w:rFonts w:ascii="Arial" w:hAnsi="Arial" w:cs="Arial"/>
          <w:sz w:val="32"/>
          <w:szCs w:val="32"/>
        </w:rPr>
        <w:t>□</w:t>
      </w:r>
      <w:r w:rsidRPr="00E271D8">
        <w:rPr>
          <w:rFonts w:ascii="Arial" w:hAnsi="Arial" w:cs="Arial"/>
          <w:sz w:val="22"/>
          <w:szCs w:val="22"/>
        </w:rPr>
        <w:t xml:space="preserve"> To pay in advance, without deductions or demand, a monthly rent of $1,000 on the first day of each and every month. If this box is checked, </w:t>
      </w:r>
      <w:r w:rsidRPr="00E271D8">
        <w:rPr>
          <w:rFonts w:ascii="Arial" w:hAnsi="Arial" w:cs="Arial"/>
          <w:sz w:val="22"/>
          <w:szCs w:val="22"/>
          <w:u w:val="single"/>
        </w:rPr>
        <w:t>¶26 applies</w:t>
      </w:r>
      <w:r w:rsidRPr="00E271D8">
        <w:rPr>
          <w:rFonts w:ascii="Arial" w:hAnsi="Arial" w:cs="Arial"/>
          <w:sz w:val="22"/>
          <w:szCs w:val="22"/>
        </w:rPr>
        <w:t>.</w:t>
      </w:r>
    </w:p>
    <w:p w:rsidR="00E271D8" w:rsidRDefault="00E271D8" w:rsidP="00E271D8">
      <w:pPr>
        <w:pStyle w:val="FootnoteText"/>
        <w:rPr>
          <w:rFonts w:ascii="Times New Roman" w:hAnsi="Times New Roman" w:cs="Times New Roman"/>
          <w:sz w:val="24"/>
          <w:szCs w:val="24"/>
        </w:rPr>
      </w:pPr>
    </w:p>
    <w:p w:rsidR="00E271D8" w:rsidRPr="00E271D8" w:rsidRDefault="008D0AB2" w:rsidP="00E271D8">
      <w:pPr>
        <w:pStyle w:val="FootnoteText"/>
        <w:rPr>
          <w:rFonts w:ascii="Times New Roman" w:hAnsi="Times New Roman" w:cs="Times New Roman"/>
          <w:sz w:val="24"/>
          <w:szCs w:val="24"/>
        </w:rPr>
      </w:pPr>
      <w:r>
        <w:rPr>
          <w:rFonts w:ascii="Times New Roman" w:hAnsi="Times New Roman" w:cs="Times New Roman"/>
          <w:sz w:val="24"/>
          <w:szCs w:val="24"/>
        </w:rPr>
        <w:t>Unfortunately the compiled written legislative history</w:t>
      </w:r>
      <w:r w:rsidR="006801BA" w:rsidRPr="008C0071">
        <w:rPr>
          <w:rStyle w:val="FootnoteReference"/>
        </w:rPr>
        <w:footnoteReference w:id="18"/>
      </w:r>
      <w:r w:rsidR="006801BA">
        <w:rPr>
          <w:rFonts w:ascii="Times New Roman" w:hAnsi="Times New Roman" w:cs="Times New Roman"/>
          <w:sz w:val="24"/>
          <w:szCs w:val="24"/>
        </w:rPr>
        <w:t xml:space="preserve"> </w:t>
      </w:r>
      <w:r>
        <w:rPr>
          <w:rFonts w:ascii="Times New Roman" w:hAnsi="Times New Roman" w:cs="Times New Roman"/>
          <w:sz w:val="24"/>
          <w:szCs w:val="24"/>
        </w:rPr>
        <w:t>sheds no light on which of the two meanings the legislature meant by “agreement”.</w:t>
      </w:r>
      <w:r w:rsidR="00E97DE9">
        <w:rPr>
          <w:rStyle w:val="FootnoteReference"/>
          <w:rFonts w:ascii="Times New Roman" w:hAnsi="Times New Roman" w:cs="Times New Roman"/>
          <w:sz w:val="24"/>
          <w:szCs w:val="24"/>
        </w:rPr>
        <w:footnoteReference w:id="19"/>
      </w:r>
      <w:r>
        <w:rPr>
          <w:rFonts w:ascii="Times New Roman" w:hAnsi="Times New Roman" w:cs="Times New Roman"/>
          <w:sz w:val="24"/>
          <w:szCs w:val="24"/>
        </w:rPr>
        <w:t xml:space="preserve"> Recordings of the committee hearings might </w:t>
      </w:r>
      <w:r>
        <w:rPr>
          <w:rFonts w:ascii="Times New Roman" w:hAnsi="Times New Roman" w:cs="Times New Roman"/>
          <w:sz w:val="24"/>
          <w:szCs w:val="24"/>
        </w:rPr>
        <w:lastRenderedPageBreak/>
        <w:t>well have shed light but those recordings were long ago discarded by the Gale Library. I did ask the chief House author, former State Rep. Thomas Berg what he recalled; unsurprisingly, given that the bill was passed 50 years ago, he said he had no recollection one way or the other.</w:t>
      </w:r>
    </w:p>
    <w:p w:rsidR="00AB2E12" w:rsidRDefault="009D3A45" w:rsidP="00F32927">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 “simple” solution is for the legislature to amend </w:t>
      </w:r>
      <w:r w:rsidRPr="009D3A45">
        <w:rPr>
          <w:rFonts w:ascii="Times New Roman" w:hAnsi="Times New Roman" w:cs="Times New Roman"/>
          <w:sz w:val="24"/>
          <w:szCs w:val="24"/>
        </w:rPr>
        <w:t>Minn. Stat. § 504B.161, subd. 2</w:t>
      </w:r>
      <w:r>
        <w:rPr>
          <w:rFonts w:ascii="Times New Roman" w:hAnsi="Times New Roman" w:cs="Times New Roman"/>
          <w:sz w:val="24"/>
          <w:szCs w:val="24"/>
        </w:rPr>
        <w:t xml:space="preserve"> to clarify exactly what must in the conspicuous writing. Of course, getting the legislature to enact any law, especially a divided legislature, is never simple. In the meantime, courts will have to decide this issue. </w:t>
      </w:r>
      <w:r w:rsidR="00686FC1">
        <w:rPr>
          <w:rFonts w:ascii="Times New Roman" w:hAnsi="Times New Roman" w:cs="Times New Roman"/>
          <w:sz w:val="24"/>
          <w:szCs w:val="24"/>
        </w:rPr>
        <w:t>As discussed above, I think the better ruling is that “agreement” includes the entire deal, not just the tenant’s promise.</w:t>
      </w:r>
    </w:p>
    <w:p w:rsidR="00B84506" w:rsidRPr="00E619D4" w:rsidRDefault="00B84506" w:rsidP="00F32927">
      <w:pPr>
        <w:autoSpaceDE w:val="0"/>
        <w:autoSpaceDN w:val="0"/>
        <w:spacing w:before="100" w:beforeAutospacing="1" w:after="100" w:afterAutospacing="1" w:line="240" w:lineRule="auto"/>
        <w:rPr>
          <w:rFonts w:ascii="Times New Roman" w:hAnsi="Times New Roman" w:cs="Times New Roman"/>
          <w:sz w:val="24"/>
          <w:szCs w:val="24"/>
          <w:u w:val="single"/>
        </w:rPr>
      </w:pPr>
      <w:r w:rsidRPr="00E619D4">
        <w:rPr>
          <w:rFonts w:ascii="Times New Roman" w:hAnsi="Times New Roman" w:cs="Times New Roman"/>
          <w:sz w:val="24"/>
          <w:szCs w:val="24"/>
          <w:u w:val="single"/>
        </w:rPr>
        <w:t>Model Code</w:t>
      </w:r>
    </w:p>
    <w:p w:rsidR="00B84506" w:rsidRPr="001719AE" w:rsidRDefault="0094704A" w:rsidP="00F32927">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Reading the</w:t>
      </w:r>
      <w:r w:rsidR="00B84506">
        <w:rPr>
          <w:rFonts w:ascii="Times New Roman" w:hAnsi="Times New Roman" w:cs="Times New Roman"/>
          <w:sz w:val="24"/>
          <w:szCs w:val="24"/>
        </w:rPr>
        <w:t xml:space="preserve"> </w:t>
      </w:r>
      <w:r w:rsidR="00B84506" w:rsidRPr="00B84506">
        <w:rPr>
          <w:rFonts w:ascii="Times New Roman" w:hAnsi="Times New Roman" w:cs="Times New Roman"/>
          <w:i/>
          <w:sz w:val="24"/>
          <w:szCs w:val="24"/>
        </w:rPr>
        <w:t>Model Residential Landlord-Tenant Code</w:t>
      </w:r>
      <w:r>
        <w:rPr>
          <w:rFonts w:ascii="Times New Roman" w:hAnsi="Times New Roman" w:cs="Times New Roman"/>
          <w:sz w:val="24"/>
          <w:szCs w:val="24"/>
        </w:rPr>
        <w:t xml:space="preserve"> indicates it very likely was </w:t>
      </w:r>
      <w:r w:rsidR="00B84506">
        <w:rPr>
          <w:rFonts w:ascii="Times New Roman" w:hAnsi="Times New Roman" w:cs="Times New Roman"/>
          <w:sz w:val="24"/>
          <w:szCs w:val="24"/>
        </w:rPr>
        <w:t>a starting point for the drafters of 1971 Minn. Laws ch. 219. A</w:t>
      </w:r>
      <w:r>
        <w:rPr>
          <w:rFonts w:ascii="Times New Roman" w:hAnsi="Times New Roman" w:cs="Times New Roman"/>
          <w:sz w:val="24"/>
          <w:szCs w:val="24"/>
        </w:rPr>
        <w:t>lso, a</w:t>
      </w:r>
      <w:r w:rsidR="00B84506">
        <w:rPr>
          <w:rFonts w:ascii="Times New Roman" w:hAnsi="Times New Roman" w:cs="Times New Roman"/>
          <w:sz w:val="24"/>
          <w:szCs w:val="24"/>
        </w:rPr>
        <w:t>s discussed in my prior blog post, the same House author clearly relied on the Code two years later when he sponsored the security-deposit law that is now Minn. Stat. § 504B</w:t>
      </w:r>
      <w:r w:rsidR="00542BCF">
        <w:rPr>
          <w:rFonts w:ascii="Times New Roman" w:hAnsi="Times New Roman" w:cs="Times New Roman"/>
          <w:sz w:val="24"/>
          <w:szCs w:val="24"/>
        </w:rPr>
        <w:t>.178. However, I cannot see any</w:t>
      </w:r>
      <w:r w:rsidR="00B84506">
        <w:rPr>
          <w:rFonts w:ascii="Times New Roman" w:hAnsi="Times New Roman" w:cs="Times New Roman"/>
          <w:sz w:val="24"/>
          <w:szCs w:val="24"/>
        </w:rPr>
        <w:t>thing in the Code that helps resolve the statutory-construction questions discussed a</w:t>
      </w:r>
      <w:r w:rsidR="00926264">
        <w:rPr>
          <w:rFonts w:ascii="Times New Roman" w:hAnsi="Times New Roman" w:cs="Times New Roman"/>
          <w:sz w:val="24"/>
          <w:szCs w:val="24"/>
        </w:rPr>
        <w:t xml:space="preserve">bove. Perhaps others, more </w:t>
      </w:r>
      <w:r w:rsidR="00E83347">
        <w:rPr>
          <w:rFonts w:ascii="Times New Roman" w:hAnsi="Times New Roman" w:cs="Times New Roman"/>
          <w:sz w:val="24"/>
          <w:szCs w:val="24"/>
        </w:rPr>
        <w:t>perceptive</w:t>
      </w:r>
      <w:r w:rsidR="00B84506">
        <w:rPr>
          <w:rFonts w:ascii="Times New Roman" w:hAnsi="Times New Roman" w:cs="Times New Roman"/>
          <w:sz w:val="24"/>
          <w:szCs w:val="24"/>
        </w:rPr>
        <w:t xml:space="preserve"> than me, can</w:t>
      </w:r>
      <w:r w:rsidR="00A05DBE">
        <w:rPr>
          <w:rFonts w:ascii="Times New Roman" w:hAnsi="Times New Roman" w:cs="Times New Roman"/>
          <w:sz w:val="24"/>
          <w:szCs w:val="24"/>
        </w:rPr>
        <w:t>. Therefore</w:t>
      </w:r>
      <w:r w:rsidR="00B84506">
        <w:rPr>
          <w:rFonts w:ascii="Times New Roman" w:hAnsi="Times New Roman" w:cs="Times New Roman"/>
          <w:sz w:val="24"/>
          <w:szCs w:val="24"/>
        </w:rPr>
        <w:t xml:space="preserve"> I provide </w:t>
      </w:r>
      <w:hyperlink r:id="rId28" w:history="1">
        <w:r w:rsidR="00035246" w:rsidRPr="001719AE">
          <w:rPr>
            <w:rStyle w:val="Hyperlink"/>
            <w:rFonts w:ascii="Times New Roman" w:hAnsi="Times New Roman" w:cs="Times New Roman"/>
            <w:sz w:val="24"/>
            <w:szCs w:val="24"/>
          </w:rPr>
          <w:t>copies</w:t>
        </w:r>
        <w:r w:rsidR="00B84506" w:rsidRPr="001719AE">
          <w:rPr>
            <w:rStyle w:val="Hyperlink"/>
            <w:rFonts w:ascii="Times New Roman" w:hAnsi="Times New Roman" w:cs="Times New Roman"/>
            <w:sz w:val="24"/>
            <w:szCs w:val="24"/>
          </w:rPr>
          <w:t xml:space="preserve"> of the relevant pages from the Code</w:t>
        </w:r>
        <w:r w:rsidR="00035246" w:rsidRPr="001719AE">
          <w:rPr>
            <w:rStyle w:val="Hyperlink"/>
            <w:rFonts w:ascii="Times New Roman" w:hAnsi="Times New Roman" w:cs="Times New Roman"/>
            <w:sz w:val="24"/>
            <w:szCs w:val="24"/>
          </w:rPr>
          <w:t xml:space="preserve"> </w:t>
        </w:r>
        <w:r w:rsidR="004E5D01" w:rsidRPr="001719AE">
          <w:rPr>
            <w:rStyle w:val="Hyperlink"/>
            <w:rFonts w:ascii="Times New Roman" w:hAnsi="Times New Roman" w:cs="Times New Roman"/>
            <w:sz w:val="24"/>
            <w:szCs w:val="24"/>
          </w:rPr>
          <w:t>in Appendix 2</w:t>
        </w:r>
        <w:r w:rsidR="00B84506" w:rsidRPr="001719AE">
          <w:rPr>
            <w:rStyle w:val="Hyperlink"/>
            <w:rFonts w:ascii="Times New Roman" w:hAnsi="Times New Roman" w:cs="Times New Roman"/>
            <w:sz w:val="24"/>
            <w:szCs w:val="24"/>
          </w:rPr>
          <w:t>.</w:t>
        </w:r>
      </w:hyperlink>
    </w:p>
    <w:p w:rsidR="007E6D34" w:rsidRPr="00D565F1" w:rsidRDefault="00D565F1" w:rsidP="00F32927">
      <w:pPr>
        <w:autoSpaceDE w:val="0"/>
        <w:autoSpaceDN w:val="0"/>
        <w:spacing w:before="100" w:beforeAutospacing="1" w:after="100" w:afterAutospacing="1" w:line="240" w:lineRule="auto"/>
        <w:rPr>
          <w:rFonts w:ascii="Times New Roman" w:hAnsi="Times New Roman" w:cs="Times New Roman"/>
          <w:sz w:val="24"/>
          <w:szCs w:val="24"/>
          <w:u w:val="single"/>
        </w:rPr>
      </w:pPr>
      <w:r w:rsidRPr="00D565F1">
        <w:rPr>
          <w:rFonts w:ascii="Times New Roman" w:hAnsi="Times New Roman" w:cs="Times New Roman"/>
          <w:sz w:val="24"/>
          <w:szCs w:val="24"/>
          <w:u w:val="single"/>
        </w:rPr>
        <w:t>Service-Plus</w:t>
      </w:r>
      <w:r w:rsidR="007E6D34" w:rsidRPr="00D565F1">
        <w:rPr>
          <w:rFonts w:ascii="Times New Roman" w:hAnsi="Times New Roman" w:cs="Times New Roman"/>
          <w:sz w:val="24"/>
          <w:szCs w:val="24"/>
          <w:u w:val="single"/>
        </w:rPr>
        <w:t xml:space="preserve"> cases in trial courts</w:t>
      </w:r>
    </w:p>
    <w:p w:rsidR="006A2DFE" w:rsidRDefault="00F02C60" w:rsidP="00F32927">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As part of their summary-judgment-motion papers, both sides in </w:t>
      </w:r>
      <w:r w:rsidRPr="006A2DFE">
        <w:rPr>
          <w:rFonts w:ascii="Times New Roman" w:hAnsi="Times New Roman" w:cs="Times New Roman"/>
          <w:i/>
          <w:sz w:val="24"/>
          <w:szCs w:val="24"/>
        </w:rPr>
        <w:t>State by Ellison v. Meldahl</w:t>
      </w:r>
      <w:r>
        <w:rPr>
          <w:rFonts w:ascii="Times New Roman" w:hAnsi="Times New Roman" w:cs="Times New Roman"/>
          <w:sz w:val="24"/>
          <w:szCs w:val="24"/>
        </w:rPr>
        <w:t xml:space="preserve"> submitted copies or partial copies of previous trial court decisions dealing</w:t>
      </w:r>
      <w:r w:rsidR="00E83347">
        <w:rPr>
          <w:rFonts w:ascii="Times New Roman" w:hAnsi="Times New Roman" w:cs="Times New Roman"/>
          <w:sz w:val="24"/>
          <w:szCs w:val="24"/>
        </w:rPr>
        <w:t xml:space="preserve"> in small part</w:t>
      </w:r>
      <w:r>
        <w:rPr>
          <w:rFonts w:ascii="Times New Roman" w:hAnsi="Times New Roman" w:cs="Times New Roman"/>
          <w:sz w:val="24"/>
          <w:szCs w:val="24"/>
        </w:rPr>
        <w:t xml:space="preserve"> with the Service-Plus issue.</w:t>
      </w:r>
      <w:r>
        <w:rPr>
          <w:rStyle w:val="FootnoteReference"/>
          <w:rFonts w:ascii="Times New Roman" w:hAnsi="Times New Roman" w:cs="Times New Roman"/>
          <w:sz w:val="24"/>
          <w:szCs w:val="24"/>
        </w:rPr>
        <w:footnoteReference w:id="20"/>
      </w:r>
      <w:r>
        <w:rPr>
          <w:rFonts w:ascii="Times New Roman" w:hAnsi="Times New Roman" w:cs="Times New Roman"/>
          <w:sz w:val="24"/>
          <w:szCs w:val="24"/>
        </w:rPr>
        <w:t xml:space="preserve"> I’ve gathered these in </w:t>
      </w:r>
      <w:hyperlink r:id="rId29" w:history="1">
        <w:r w:rsidRPr="006A2DFE">
          <w:rPr>
            <w:rStyle w:val="Hyperlink"/>
            <w:rFonts w:ascii="Times New Roman" w:hAnsi="Times New Roman" w:cs="Times New Roman"/>
            <w:sz w:val="24"/>
            <w:szCs w:val="24"/>
          </w:rPr>
          <w:t>Appendix 3</w:t>
        </w:r>
      </w:hyperlink>
      <w:r w:rsidRPr="006A2DFE">
        <w:rPr>
          <w:rFonts w:ascii="Times New Roman" w:hAnsi="Times New Roman" w:cs="Times New Roman"/>
          <w:sz w:val="24"/>
          <w:szCs w:val="24"/>
        </w:rPr>
        <w:t>.</w:t>
      </w:r>
      <w:r w:rsidR="006A2DFE">
        <w:rPr>
          <w:rFonts w:ascii="Times New Roman" w:hAnsi="Times New Roman" w:cs="Times New Roman"/>
          <w:sz w:val="24"/>
          <w:szCs w:val="24"/>
        </w:rPr>
        <w:t xml:space="preserve"> In all these orders the analysis of the Service-Plus issue was cursory. </w:t>
      </w:r>
    </w:p>
    <w:p w:rsidR="006A2DFE" w:rsidRPr="006A2DFE" w:rsidRDefault="006A2DFE" w:rsidP="00F32927">
      <w:pPr>
        <w:autoSpaceDE w:val="0"/>
        <w:autoSpaceDN w:val="0"/>
        <w:spacing w:before="100" w:beforeAutospacing="1" w:after="100" w:afterAutospacing="1" w:line="240" w:lineRule="auto"/>
        <w:rPr>
          <w:b/>
          <w:u w:val="single"/>
        </w:rPr>
      </w:pPr>
      <w:r>
        <w:rPr>
          <w:rFonts w:ascii="Times New Roman" w:hAnsi="Times New Roman" w:cs="Times New Roman"/>
          <w:sz w:val="24"/>
          <w:szCs w:val="24"/>
        </w:rPr>
        <w:t xml:space="preserve">The </w:t>
      </w:r>
      <w:r w:rsidRPr="006A2DFE">
        <w:rPr>
          <w:rFonts w:ascii="Times New Roman" w:hAnsi="Times New Roman" w:cs="Times New Roman"/>
          <w:i/>
          <w:sz w:val="24"/>
          <w:szCs w:val="24"/>
        </w:rPr>
        <w:t>Bloodsaw</w:t>
      </w:r>
      <w:r>
        <w:rPr>
          <w:rFonts w:ascii="Times New Roman" w:hAnsi="Times New Roman" w:cs="Times New Roman"/>
          <w:sz w:val="24"/>
          <w:szCs w:val="24"/>
        </w:rPr>
        <w:t xml:space="preserve"> order </w:t>
      </w:r>
      <w:r w:rsidR="00B03136">
        <w:rPr>
          <w:rFonts w:ascii="Times New Roman" w:hAnsi="Times New Roman" w:cs="Times New Roman"/>
          <w:sz w:val="24"/>
          <w:szCs w:val="24"/>
        </w:rPr>
        <w:t xml:space="preserve">submitted by Meldahl </w:t>
      </w:r>
      <w:r>
        <w:rPr>
          <w:rFonts w:ascii="Times New Roman" w:hAnsi="Times New Roman" w:cs="Times New Roman"/>
          <w:sz w:val="24"/>
          <w:szCs w:val="24"/>
        </w:rPr>
        <w:t>(Appendix 3a) was actually only two page</w:t>
      </w:r>
      <w:r w:rsidR="00E94F64">
        <w:rPr>
          <w:rFonts w:ascii="Times New Roman" w:hAnsi="Times New Roman" w:cs="Times New Roman"/>
          <w:sz w:val="24"/>
          <w:szCs w:val="24"/>
        </w:rPr>
        <w:t>s</w:t>
      </w:r>
      <w:r>
        <w:rPr>
          <w:rFonts w:ascii="Times New Roman" w:hAnsi="Times New Roman" w:cs="Times New Roman"/>
          <w:sz w:val="24"/>
          <w:szCs w:val="24"/>
        </w:rPr>
        <w:t xml:space="preserve"> of a much longer order. The entire analysis was</w:t>
      </w:r>
      <w:r w:rsidR="00B03136">
        <w:rPr>
          <w:rFonts w:ascii="Times New Roman" w:hAnsi="Times New Roman" w:cs="Times New Roman"/>
          <w:sz w:val="24"/>
          <w:szCs w:val="24"/>
        </w:rPr>
        <w:t>,</w:t>
      </w:r>
      <w:r>
        <w:rPr>
          <w:rFonts w:ascii="Times New Roman" w:hAnsi="Times New Roman" w:cs="Times New Roman"/>
          <w:sz w:val="24"/>
          <w:szCs w:val="24"/>
        </w:rPr>
        <w:t xml:space="preserve"> “The Lease, by its terms, provides adequate consideration, set forth in a conspicuous writing, for tenant to have the Service Plus agreement.” </w:t>
      </w:r>
      <w:r w:rsidRPr="006A2DFE">
        <w:rPr>
          <w:rFonts w:ascii="Times New Roman" w:hAnsi="Times New Roman" w:cs="Times New Roman"/>
          <w:i/>
          <w:sz w:val="24"/>
          <w:szCs w:val="24"/>
        </w:rPr>
        <w:t>Bloodsaw</w:t>
      </w:r>
      <w:r>
        <w:rPr>
          <w:rFonts w:ascii="Times New Roman" w:hAnsi="Times New Roman" w:cs="Times New Roman"/>
          <w:sz w:val="24"/>
          <w:szCs w:val="24"/>
        </w:rPr>
        <w:t>, paragraph 34. Unless the referee was reading a different lease than the one discussed above</w:t>
      </w:r>
      <w:r w:rsidR="00E94F64">
        <w:rPr>
          <w:rFonts w:ascii="Times New Roman" w:hAnsi="Times New Roman" w:cs="Times New Roman"/>
          <w:sz w:val="24"/>
          <w:szCs w:val="24"/>
        </w:rPr>
        <w:t xml:space="preserve"> or the missing pages have important facts</w:t>
      </w:r>
      <w:r>
        <w:rPr>
          <w:rFonts w:ascii="Times New Roman" w:hAnsi="Times New Roman" w:cs="Times New Roman"/>
          <w:sz w:val="24"/>
          <w:szCs w:val="24"/>
        </w:rPr>
        <w:t>, this is just wrong.</w:t>
      </w:r>
    </w:p>
    <w:p w:rsidR="00B03136" w:rsidRDefault="00B03136" w:rsidP="00B03136">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The entire analysis in the </w:t>
      </w:r>
      <w:r w:rsidRPr="00B03136">
        <w:rPr>
          <w:rFonts w:ascii="Times New Roman" w:hAnsi="Times New Roman" w:cs="Times New Roman"/>
          <w:i/>
          <w:sz w:val="24"/>
          <w:szCs w:val="24"/>
        </w:rPr>
        <w:t>Jones</w:t>
      </w:r>
      <w:r w:rsidRPr="00B03136">
        <w:rPr>
          <w:rFonts w:ascii="Times New Roman" w:hAnsi="Times New Roman" w:cs="Times New Roman"/>
          <w:sz w:val="24"/>
          <w:szCs w:val="24"/>
        </w:rPr>
        <w:t xml:space="preserve"> order</w:t>
      </w:r>
      <w:r>
        <w:rPr>
          <w:rFonts w:ascii="Times New Roman" w:hAnsi="Times New Roman" w:cs="Times New Roman"/>
          <w:sz w:val="24"/>
          <w:szCs w:val="24"/>
        </w:rPr>
        <w:t xml:space="preserve"> issued</w:t>
      </w:r>
      <w:r w:rsidRPr="00B03136">
        <w:rPr>
          <w:rFonts w:ascii="Times New Roman" w:hAnsi="Times New Roman" w:cs="Times New Roman"/>
          <w:sz w:val="24"/>
          <w:szCs w:val="24"/>
        </w:rPr>
        <w:t xml:space="preserve"> by Referee Labine</w:t>
      </w:r>
      <w:r w:rsidR="00177CDE">
        <w:rPr>
          <w:rFonts w:ascii="Times New Roman" w:hAnsi="Times New Roman" w:cs="Times New Roman"/>
          <w:sz w:val="24"/>
          <w:szCs w:val="24"/>
        </w:rPr>
        <w:t xml:space="preserve"> and submitted by Meldahl</w:t>
      </w:r>
      <w:r>
        <w:rPr>
          <w:rFonts w:ascii="Times New Roman" w:hAnsi="Times New Roman" w:cs="Times New Roman"/>
          <w:sz w:val="24"/>
          <w:szCs w:val="24"/>
        </w:rPr>
        <w:t xml:space="preserve"> (Appendix 3b) was, “Since the lease requires Tenant to carry a service plus plan with Centerpoint energy to cover appliance repairs, the court will not require Landlord to address any repair issues with the stove at this time.” </w:t>
      </w:r>
      <w:r>
        <w:rPr>
          <w:rFonts w:ascii="Times New Roman" w:hAnsi="Times New Roman" w:cs="Times New Roman"/>
          <w:i/>
          <w:sz w:val="24"/>
          <w:szCs w:val="24"/>
        </w:rPr>
        <w:t>Jones/</w:t>
      </w:r>
      <w:r w:rsidRPr="00B03136">
        <w:rPr>
          <w:rFonts w:ascii="Times New Roman" w:hAnsi="Times New Roman" w:cs="Times New Roman"/>
          <w:sz w:val="24"/>
          <w:szCs w:val="24"/>
        </w:rPr>
        <w:t>Labine</w:t>
      </w:r>
      <w:r>
        <w:rPr>
          <w:rFonts w:ascii="Times New Roman" w:hAnsi="Times New Roman" w:cs="Times New Roman"/>
          <w:sz w:val="24"/>
          <w:szCs w:val="24"/>
        </w:rPr>
        <w:t xml:space="preserve">, paragraph 18. This “analysis” did not even consider the requirements of Minn. Stat. § 504B.161. As indicated in the </w:t>
      </w:r>
      <w:r w:rsidR="00177CDE">
        <w:rPr>
          <w:rFonts w:ascii="Times New Roman" w:hAnsi="Times New Roman" w:cs="Times New Roman"/>
          <w:sz w:val="24"/>
          <w:szCs w:val="24"/>
        </w:rPr>
        <w:t xml:space="preserve">subsequent order </w:t>
      </w:r>
      <w:r w:rsidR="00177CDE">
        <w:rPr>
          <w:rFonts w:ascii="Times New Roman" w:hAnsi="Times New Roman" w:cs="Times New Roman"/>
          <w:sz w:val="24"/>
          <w:szCs w:val="24"/>
        </w:rPr>
        <w:lastRenderedPageBreak/>
        <w:t>on judge review, submitted by the State (Appendix 3c), Referee Labine’s order was reversed and remanded and a trial on all the habitability issues ordered. Although the judge’s order did not specifically address the Service-Plus clause</w:t>
      </w:r>
      <w:r w:rsidR="00E24E99">
        <w:rPr>
          <w:rFonts w:ascii="Times New Roman" w:hAnsi="Times New Roman" w:cs="Times New Roman"/>
          <w:sz w:val="24"/>
          <w:szCs w:val="24"/>
        </w:rPr>
        <w:t>,</w:t>
      </w:r>
      <w:r w:rsidR="00177CDE">
        <w:rPr>
          <w:rFonts w:ascii="Times New Roman" w:hAnsi="Times New Roman" w:cs="Times New Roman"/>
          <w:sz w:val="24"/>
          <w:szCs w:val="24"/>
        </w:rPr>
        <w:t xml:space="preserve"> that issue was part of the tenant’s habitability defense.</w:t>
      </w:r>
    </w:p>
    <w:p w:rsidR="00177CDE" w:rsidRDefault="00177CDE" w:rsidP="00B03136">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The entire analysis in the </w:t>
      </w:r>
      <w:r>
        <w:rPr>
          <w:rFonts w:ascii="Times New Roman" w:hAnsi="Times New Roman" w:cs="Times New Roman"/>
          <w:i/>
          <w:sz w:val="24"/>
          <w:szCs w:val="24"/>
        </w:rPr>
        <w:t>Meldahl v. [Redacted]</w:t>
      </w:r>
      <w:r w:rsidRPr="00B03136">
        <w:rPr>
          <w:rFonts w:ascii="Times New Roman" w:hAnsi="Times New Roman" w:cs="Times New Roman"/>
          <w:sz w:val="24"/>
          <w:szCs w:val="24"/>
        </w:rPr>
        <w:t xml:space="preserve"> order</w:t>
      </w:r>
      <w:r>
        <w:rPr>
          <w:rFonts w:ascii="Times New Roman" w:hAnsi="Times New Roman" w:cs="Times New Roman"/>
          <w:sz w:val="24"/>
          <w:szCs w:val="24"/>
        </w:rPr>
        <w:t xml:space="preserve"> issued</w:t>
      </w:r>
      <w:r w:rsidRPr="00B03136">
        <w:rPr>
          <w:rFonts w:ascii="Times New Roman" w:hAnsi="Times New Roman" w:cs="Times New Roman"/>
          <w:sz w:val="24"/>
          <w:szCs w:val="24"/>
        </w:rPr>
        <w:t xml:space="preserve"> by Referee </w:t>
      </w:r>
      <w:r>
        <w:rPr>
          <w:rFonts w:ascii="Times New Roman" w:hAnsi="Times New Roman" w:cs="Times New Roman"/>
          <w:sz w:val="24"/>
          <w:szCs w:val="24"/>
        </w:rPr>
        <w:t>Houghtaling and submitted by the State (Appendix 3d) was, “38. Tenant alleged she has been required to pay for Service Plus and has been paying for such a service. Tenant provided no proof of actual payment but all appliances are owned by Landlord and such a requirement is a violation of Minn. Stat. § 504B.161, subd. 1. 39. Tenant shall not be required to maintain Service Plus related to appliances owned by Landlord.”</w:t>
      </w:r>
      <w:r w:rsidR="009B0F67">
        <w:rPr>
          <w:rFonts w:ascii="Times New Roman" w:hAnsi="Times New Roman" w:cs="Times New Roman"/>
          <w:sz w:val="24"/>
          <w:szCs w:val="24"/>
        </w:rPr>
        <w:t xml:space="preserve"> </w:t>
      </w:r>
      <w:r w:rsidR="009B0F67">
        <w:rPr>
          <w:rFonts w:ascii="Times New Roman" w:hAnsi="Times New Roman" w:cs="Times New Roman"/>
          <w:i/>
          <w:sz w:val="24"/>
          <w:szCs w:val="24"/>
        </w:rPr>
        <w:t xml:space="preserve">Meldahl v. [Redacted] </w:t>
      </w:r>
      <w:r w:rsidR="009B0F67" w:rsidRPr="009B0F67">
        <w:rPr>
          <w:rFonts w:ascii="Times New Roman" w:hAnsi="Times New Roman" w:cs="Times New Roman"/>
          <w:sz w:val="24"/>
          <w:szCs w:val="24"/>
        </w:rPr>
        <w:t>at 4.</w:t>
      </w:r>
    </w:p>
    <w:p w:rsidR="002700BE" w:rsidRDefault="00A9207D" w:rsidP="00CE3D9F">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I’ve been unable to locate any other trial court orders on the issue, involving</w:t>
      </w:r>
      <w:r w:rsidR="00E24E99">
        <w:rPr>
          <w:rFonts w:ascii="Times New Roman" w:hAnsi="Times New Roman" w:cs="Times New Roman"/>
          <w:sz w:val="24"/>
          <w:szCs w:val="24"/>
        </w:rPr>
        <w:t xml:space="preserve"> either</w:t>
      </w:r>
      <w:r>
        <w:rPr>
          <w:rFonts w:ascii="Times New Roman" w:hAnsi="Times New Roman" w:cs="Times New Roman"/>
          <w:sz w:val="24"/>
          <w:szCs w:val="24"/>
        </w:rPr>
        <w:t xml:space="preserve"> Meldahl or other landlords. Of these four Meldahl orders, the last one, ruling for the tenant, is probably dicta and does not discuss Minn. Stat. § 504B.161, subd.</w:t>
      </w:r>
      <w:r w:rsidR="00DC2D02">
        <w:rPr>
          <w:rFonts w:ascii="Times New Roman" w:hAnsi="Times New Roman" w:cs="Times New Roman"/>
          <w:sz w:val="24"/>
          <w:szCs w:val="24"/>
        </w:rPr>
        <w:t xml:space="preserve"> </w:t>
      </w:r>
      <w:r>
        <w:rPr>
          <w:rFonts w:ascii="Times New Roman" w:hAnsi="Times New Roman" w:cs="Times New Roman"/>
          <w:b/>
          <w:sz w:val="24"/>
          <w:szCs w:val="24"/>
          <w:u w:val="single"/>
        </w:rPr>
        <w:t>2</w:t>
      </w:r>
      <w:r>
        <w:rPr>
          <w:rFonts w:ascii="Times New Roman" w:hAnsi="Times New Roman" w:cs="Times New Roman"/>
          <w:sz w:val="24"/>
          <w:szCs w:val="24"/>
        </w:rPr>
        <w:t xml:space="preserve">, only subdivision </w:t>
      </w:r>
      <w:r w:rsidRPr="00DC2D02">
        <w:rPr>
          <w:rFonts w:ascii="Times New Roman" w:hAnsi="Times New Roman" w:cs="Times New Roman"/>
          <w:b/>
          <w:sz w:val="24"/>
          <w:szCs w:val="24"/>
          <w:u w:val="single"/>
        </w:rPr>
        <w:t>1</w:t>
      </w:r>
      <w:r>
        <w:rPr>
          <w:rFonts w:ascii="Times New Roman" w:hAnsi="Times New Roman" w:cs="Times New Roman"/>
          <w:sz w:val="24"/>
          <w:szCs w:val="24"/>
        </w:rPr>
        <w:t>. The first order, issued by Referee Labine and ruling for Meldahl, is a holding but has little analysis and only part of the order was provided by Meldahl.  The second order issued by Referee Labine and ruling for Meldahl has no analysis and was reversed</w:t>
      </w:r>
      <w:r w:rsidR="00E83347">
        <w:rPr>
          <w:rFonts w:ascii="Times New Roman" w:hAnsi="Times New Roman" w:cs="Times New Roman"/>
          <w:sz w:val="24"/>
          <w:szCs w:val="24"/>
        </w:rPr>
        <w:t xml:space="preserve"> on judge review. V</w:t>
      </w:r>
      <w:r>
        <w:rPr>
          <w:rFonts w:ascii="Times New Roman" w:hAnsi="Times New Roman" w:cs="Times New Roman"/>
          <w:sz w:val="24"/>
          <w:szCs w:val="24"/>
        </w:rPr>
        <w:t xml:space="preserve">iewed as a whole, these orders prove only that Referee Labine thought ¶26 was okay and Referee Houghtaling did not, while neither provided any meaningful analysis </w:t>
      </w:r>
      <w:r w:rsidR="00824CE9">
        <w:rPr>
          <w:rFonts w:ascii="Times New Roman" w:hAnsi="Times New Roman" w:cs="Times New Roman"/>
          <w:sz w:val="24"/>
          <w:szCs w:val="24"/>
        </w:rPr>
        <w:t>of the application of Minn. Stat. § 504B.161, subd. 2 on ¶26.</w:t>
      </w:r>
    </w:p>
    <w:p w:rsidR="003B5D94" w:rsidRPr="00535AA2" w:rsidRDefault="00DD3991" w:rsidP="003B5D94">
      <w:pPr>
        <w:autoSpaceDE w:val="0"/>
        <w:autoSpaceDN w:val="0"/>
        <w:spacing w:before="100" w:beforeAutospacing="1" w:after="100" w:afterAutospacing="1" w:line="240" w:lineRule="auto"/>
        <w:rPr>
          <w:rFonts w:ascii="Times New Roman" w:hAnsi="Times New Roman" w:cs="Times New Roman"/>
          <w:sz w:val="24"/>
          <w:szCs w:val="24"/>
          <w:u w:val="single"/>
        </w:rPr>
      </w:pPr>
      <w:r>
        <w:rPr>
          <w:rFonts w:ascii="Times New Roman" w:hAnsi="Times New Roman" w:cs="Times New Roman"/>
          <w:sz w:val="24"/>
          <w:szCs w:val="24"/>
          <w:u w:val="single"/>
        </w:rPr>
        <w:t>Effect of a valid Service-</w:t>
      </w:r>
      <w:r w:rsidR="003B5D94" w:rsidRPr="00535AA2">
        <w:rPr>
          <w:rFonts w:ascii="Times New Roman" w:hAnsi="Times New Roman" w:cs="Times New Roman"/>
          <w:sz w:val="24"/>
          <w:szCs w:val="24"/>
          <w:u w:val="single"/>
        </w:rPr>
        <w:t>Plus clause</w:t>
      </w:r>
    </w:p>
    <w:p w:rsidR="003B5D94" w:rsidRPr="00535AA2" w:rsidRDefault="00BB1CE2" w:rsidP="003B5D94">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As discussed </w:t>
      </w:r>
      <w:r w:rsidR="003B5D94" w:rsidRPr="00535AA2">
        <w:rPr>
          <w:rFonts w:ascii="Times New Roman" w:hAnsi="Times New Roman" w:cs="Times New Roman"/>
          <w:sz w:val="24"/>
          <w:szCs w:val="24"/>
        </w:rPr>
        <w:t xml:space="preserve">above, it is possible for a landlord and her tenant to agree to a Service-Plus provision enforceable under subdivision 2 of Minn. Stat. § 504B.161. If so, then how do the non-waiver clauses in section 504B.161 apply? </w:t>
      </w:r>
    </w:p>
    <w:p w:rsidR="003B5D94" w:rsidRPr="00535AA2"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t>Those clauses state: “The parties to a lease or license of residential premises may not waive or modify the covenants imposed b</w:t>
      </w:r>
      <w:r w:rsidR="00775C29">
        <w:rPr>
          <w:rFonts w:ascii="Times New Roman" w:hAnsi="Times New Roman" w:cs="Times New Roman"/>
          <w:sz w:val="24"/>
          <w:szCs w:val="24"/>
        </w:rPr>
        <w:t>y this section. [subdivision 1</w:t>
      </w:r>
      <w:r w:rsidRPr="00535AA2">
        <w:rPr>
          <w:rFonts w:ascii="Times New Roman" w:hAnsi="Times New Roman" w:cs="Times New Roman"/>
          <w:sz w:val="24"/>
          <w:szCs w:val="24"/>
        </w:rPr>
        <w:t>(b)]” and “No such agreement, however, may waive the provisions of subdivision 1 or relieve the landlord or licensor of the duty to maintain common areas of the premises. [subdivision 2, s</w:t>
      </w:r>
      <w:r w:rsidR="00492E6C">
        <w:rPr>
          <w:rFonts w:ascii="Times New Roman" w:hAnsi="Times New Roman" w:cs="Times New Roman"/>
          <w:sz w:val="24"/>
          <w:szCs w:val="24"/>
        </w:rPr>
        <w:t>econd sentence]</w:t>
      </w:r>
      <w:r w:rsidRPr="00535AA2">
        <w:rPr>
          <w:rFonts w:ascii="Times New Roman" w:hAnsi="Times New Roman" w:cs="Times New Roman"/>
          <w:sz w:val="24"/>
          <w:szCs w:val="24"/>
        </w:rPr>
        <w:t xml:space="preserve">” </w:t>
      </w:r>
    </w:p>
    <w:p w:rsidR="003B5D94" w:rsidRPr="00535AA2"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t xml:space="preserve">In </w:t>
      </w:r>
      <w:hyperlink r:id="rId30" w:history="1">
        <w:r w:rsidRPr="00535AA2">
          <w:rPr>
            <w:rStyle w:val="Hyperlink"/>
            <w:rFonts w:ascii="Times New Roman" w:hAnsi="Times New Roman" w:cs="Times New Roman"/>
            <w:i/>
            <w:iCs/>
            <w:sz w:val="24"/>
            <w:szCs w:val="24"/>
          </w:rPr>
          <w:t>City of Minneapolis v. Ellis,</w:t>
        </w:r>
        <w:r w:rsidR="008219D8">
          <w:rPr>
            <w:rStyle w:val="Hyperlink"/>
            <w:rFonts w:ascii="Times New Roman" w:hAnsi="Times New Roman" w:cs="Times New Roman"/>
            <w:sz w:val="24"/>
            <w:szCs w:val="24"/>
          </w:rPr>
          <w:t xml:space="preserve"> 441 N.W.2d 134</w:t>
        </w:r>
        <w:r w:rsidRPr="00535AA2">
          <w:rPr>
            <w:rStyle w:val="Hyperlink"/>
            <w:rFonts w:ascii="Times New Roman" w:hAnsi="Times New Roman" w:cs="Times New Roman"/>
            <w:sz w:val="24"/>
            <w:szCs w:val="24"/>
          </w:rPr>
          <w:t xml:space="preserve"> (Minn.</w:t>
        </w:r>
        <w:r w:rsidR="00222829">
          <w:rPr>
            <w:rStyle w:val="Hyperlink"/>
            <w:rFonts w:ascii="Times New Roman" w:hAnsi="Times New Roman" w:cs="Times New Roman"/>
            <w:sz w:val="24"/>
            <w:szCs w:val="24"/>
          </w:rPr>
          <w:t xml:space="preserve"> Ct. </w:t>
        </w:r>
        <w:r w:rsidRPr="00535AA2">
          <w:rPr>
            <w:rStyle w:val="Hyperlink"/>
            <w:rFonts w:ascii="Times New Roman" w:hAnsi="Times New Roman" w:cs="Times New Roman"/>
            <w:sz w:val="24"/>
            <w:szCs w:val="24"/>
          </w:rPr>
          <w:t>App. 1989)</w:t>
        </w:r>
      </w:hyperlink>
      <w:r w:rsidR="008219D8">
        <w:rPr>
          <w:rFonts w:ascii="Times New Roman" w:hAnsi="Times New Roman" w:cs="Times New Roman"/>
          <w:sz w:val="24"/>
          <w:szCs w:val="24"/>
        </w:rPr>
        <w:t xml:space="preserve">, </w:t>
      </w:r>
      <w:r w:rsidRPr="00535AA2">
        <w:rPr>
          <w:rFonts w:ascii="Times New Roman" w:hAnsi="Times New Roman" w:cs="Times New Roman"/>
          <w:i/>
          <w:iCs/>
          <w:sz w:val="24"/>
          <w:szCs w:val="24"/>
        </w:rPr>
        <w:t>review denied</w:t>
      </w:r>
      <w:r w:rsidR="008219D8">
        <w:rPr>
          <w:rFonts w:ascii="Times New Roman" w:hAnsi="Times New Roman" w:cs="Times New Roman"/>
          <w:sz w:val="24"/>
          <w:szCs w:val="24"/>
        </w:rPr>
        <w:t xml:space="preserve"> (Minn. July 12, 1989), “the stipulated facts showed that appellant [the landlord, Ellis] a</w:t>
      </w:r>
      <w:r w:rsidRPr="00535AA2">
        <w:rPr>
          <w:rFonts w:ascii="Times New Roman" w:hAnsi="Times New Roman" w:cs="Times New Roman"/>
          <w:sz w:val="24"/>
          <w:szCs w:val="24"/>
        </w:rPr>
        <w:t>nd the tenants did agree in writing that the tenants would replace broken glass and torn screen</w:t>
      </w:r>
      <w:r w:rsidR="008219D8">
        <w:rPr>
          <w:rFonts w:ascii="Times New Roman" w:hAnsi="Times New Roman" w:cs="Times New Roman"/>
          <w:sz w:val="24"/>
          <w:szCs w:val="24"/>
        </w:rPr>
        <w:t>s during the term of the lease.”</w:t>
      </w:r>
      <w:r w:rsidRPr="00535AA2">
        <w:rPr>
          <w:rFonts w:ascii="Times New Roman" w:hAnsi="Times New Roman" w:cs="Times New Roman"/>
          <w:sz w:val="24"/>
          <w:szCs w:val="24"/>
        </w:rPr>
        <w:t xml:space="preserve"> </w:t>
      </w:r>
      <w:r w:rsidRPr="00535AA2">
        <w:rPr>
          <w:rFonts w:ascii="Times New Roman" w:hAnsi="Times New Roman" w:cs="Times New Roman"/>
          <w:i/>
          <w:sz w:val="24"/>
          <w:szCs w:val="24"/>
        </w:rPr>
        <w:t>Id</w:t>
      </w:r>
      <w:r w:rsidRPr="00535AA2">
        <w:rPr>
          <w:rFonts w:ascii="Times New Roman" w:hAnsi="Times New Roman" w:cs="Times New Roman"/>
          <w:sz w:val="24"/>
          <w:szCs w:val="24"/>
        </w:rPr>
        <w:t xml:space="preserve">. at 137-138. Nevertheless, the city served Ellis with an order to repair the glass and screens and he was convicted for not doing so. The Court of Appeals affirmed his conviction because “the ultimate responsibility for compliance with subdivision 1 remains with the lessor/licensor”. </w:t>
      </w:r>
      <w:r w:rsidRPr="00535AA2">
        <w:rPr>
          <w:rFonts w:ascii="Times New Roman" w:hAnsi="Times New Roman" w:cs="Times New Roman"/>
          <w:i/>
          <w:sz w:val="24"/>
          <w:szCs w:val="24"/>
        </w:rPr>
        <w:t>Id</w:t>
      </w:r>
      <w:r w:rsidRPr="00535AA2">
        <w:rPr>
          <w:rFonts w:ascii="Times New Roman" w:hAnsi="Times New Roman" w:cs="Times New Roman"/>
          <w:sz w:val="24"/>
          <w:szCs w:val="24"/>
        </w:rPr>
        <w:t>. at 137-138.</w:t>
      </w:r>
    </w:p>
    <w:p w:rsidR="003B5D94" w:rsidRPr="00535AA2"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t xml:space="preserve">The </w:t>
      </w:r>
      <w:r w:rsidR="0036195B">
        <w:rPr>
          <w:rFonts w:ascii="Times New Roman" w:hAnsi="Times New Roman" w:cs="Times New Roman"/>
          <w:sz w:val="24"/>
          <w:szCs w:val="24"/>
        </w:rPr>
        <w:t xml:space="preserve">1971 </w:t>
      </w:r>
      <w:r w:rsidRPr="00535AA2">
        <w:rPr>
          <w:rFonts w:ascii="Times New Roman" w:hAnsi="Times New Roman" w:cs="Times New Roman"/>
          <w:sz w:val="24"/>
          <w:szCs w:val="24"/>
        </w:rPr>
        <w:t xml:space="preserve">legislative history of section 504B.161 supports the ruling in </w:t>
      </w:r>
      <w:r w:rsidRPr="00BB1CE2">
        <w:rPr>
          <w:rFonts w:ascii="Times New Roman" w:hAnsi="Times New Roman" w:cs="Times New Roman"/>
          <w:i/>
          <w:sz w:val="24"/>
          <w:szCs w:val="24"/>
        </w:rPr>
        <w:t>Ellis</w:t>
      </w:r>
      <w:r w:rsidRPr="00535AA2">
        <w:rPr>
          <w:rFonts w:ascii="Times New Roman" w:hAnsi="Times New Roman" w:cs="Times New Roman"/>
          <w:sz w:val="24"/>
          <w:szCs w:val="24"/>
        </w:rPr>
        <w:t>. The original bill did not include the second sentence of Subdivision 2; the amendment, incorporated into the law, did include it. The legislature made sure that subdivision 2 did not provide a loophole around the non-waiver clause in subdivision 1.</w:t>
      </w:r>
    </w:p>
    <w:p w:rsidR="003B5D94" w:rsidRPr="00535AA2"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lastRenderedPageBreak/>
        <w:t xml:space="preserve">So what does an enforceable Service-Plus clause do for the landlord? At a minimum, if he has to repair the appliances, he can sue the tenant for breach of contract for the money </w:t>
      </w:r>
      <w:r>
        <w:rPr>
          <w:rFonts w:ascii="Times New Roman" w:hAnsi="Times New Roman" w:cs="Times New Roman"/>
          <w:sz w:val="24"/>
          <w:szCs w:val="24"/>
        </w:rPr>
        <w:t xml:space="preserve">and time </w:t>
      </w:r>
      <w:r w:rsidRPr="00535AA2">
        <w:rPr>
          <w:rFonts w:ascii="Times New Roman" w:hAnsi="Times New Roman" w:cs="Times New Roman"/>
          <w:sz w:val="24"/>
          <w:szCs w:val="24"/>
        </w:rPr>
        <w:t xml:space="preserve">he spent </w:t>
      </w:r>
      <w:r>
        <w:rPr>
          <w:rFonts w:ascii="Times New Roman" w:hAnsi="Times New Roman" w:cs="Times New Roman"/>
          <w:sz w:val="24"/>
          <w:szCs w:val="24"/>
        </w:rPr>
        <w:t>on</w:t>
      </w:r>
      <w:r w:rsidRPr="00535AA2">
        <w:rPr>
          <w:rFonts w:ascii="Times New Roman" w:hAnsi="Times New Roman" w:cs="Times New Roman"/>
          <w:sz w:val="24"/>
          <w:szCs w:val="24"/>
        </w:rPr>
        <w:t xml:space="preserve"> repair. He</w:t>
      </w:r>
      <w:r>
        <w:rPr>
          <w:rFonts w:ascii="Times New Roman" w:hAnsi="Times New Roman" w:cs="Times New Roman"/>
          <w:sz w:val="24"/>
          <w:szCs w:val="24"/>
        </w:rPr>
        <w:t xml:space="preserve"> also</w:t>
      </w:r>
      <w:r w:rsidRPr="00535AA2">
        <w:rPr>
          <w:rFonts w:ascii="Times New Roman" w:hAnsi="Times New Roman" w:cs="Times New Roman"/>
          <w:sz w:val="24"/>
          <w:szCs w:val="24"/>
        </w:rPr>
        <w:t xml:space="preserve"> has a claim against the security deposit since this would be money owed pursuant to the lease. </w:t>
      </w:r>
      <w:hyperlink r:id="rId31" w:history="1">
        <w:r w:rsidRPr="00535AA2">
          <w:rPr>
            <w:rStyle w:val="Hyperlink"/>
            <w:rFonts w:ascii="Times New Roman" w:hAnsi="Times New Roman" w:cs="Times New Roman"/>
            <w:sz w:val="24"/>
            <w:szCs w:val="24"/>
          </w:rPr>
          <w:t>Minn. Stat. § 504B.178 subd. 3(b)(1</w:t>
        </w:r>
      </w:hyperlink>
      <w:r w:rsidRPr="00535AA2">
        <w:rPr>
          <w:rFonts w:ascii="Times New Roman" w:hAnsi="Times New Roman" w:cs="Times New Roman"/>
          <w:sz w:val="24"/>
          <w:szCs w:val="24"/>
        </w:rPr>
        <w:t>).</w:t>
      </w:r>
    </w:p>
    <w:p w:rsidR="003B5D94" w:rsidRPr="00535AA2"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t>Perhaps the landlord can evict the tenant for materially breaching the lease by not purchasing Service Plus. If the eviction case is brought before any appliance repairs are needed, the tenant might have the right to redeem his tenancy by purchasing Service Plus</w:t>
      </w:r>
      <w:r w:rsidR="008219D8">
        <w:rPr>
          <w:rFonts w:ascii="Times New Roman" w:hAnsi="Times New Roman" w:cs="Times New Roman"/>
          <w:sz w:val="24"/>
          <w:szCs w:val="24"/>
        </w:rPr>
        <w:t xml:space="preserve"> and paying court costs</w:t>
      </w:r>
      <w:r w:rsidRPr="00535AA2">
        <w:rPr>
          <w:rFonts w:ascii="Times New Roman" w:hAnsi="Times New Roman" w:cs="Times New Roman"/>
          <w:sz w:val="24"/>
          <w:szCs w:val="24"/>
        </w:rPr>
        <w:t xml:space="preserve">. </w:t>
      </w:r>
      <w:hyperlink r:id="rId32" w:history="1">
        <w:r w:rsidRPr="00775C29">
          <w:rPr>
            <w:rStyle w:val="Hyperlink"/>
            <w:rFonts w:ascii="Times New Roman" w:hAnsi="Times New Roman" w:cs="Times New Roman"/>
            <w:i/>
            <w:sz w:val="24"/>
            <w:szCs w:val="24"/>
          </w:rPr>
          <w:t xml:space="preserve">American Land Real </w:t>
        </w:r>
        <w:r w:rsidR="00775C29">
          <w:rPr>
            <w:rStyle w:val="Hyperlink"/>
            <w:rFonts w:ascii="Times New Roman" w:hAnsi="Times New Roman" w:cs="Times New Roman"/>
            <w:i/>
            <w:sz w:val="24"/>
            <w:szCs w:val="24"/>
          </w:rPr>
          <w:t>Estate Investment Corporation v.</w:t>
        </w:r>
        <w:r w:rsidRPr="00775C29">
          <w:rPr>
            <w:rStyle w:val="Hyperlink"/>
            <w:rFonts w:ascii="Times New Roman" w:hAnsi="Times New Roman" w:cs="Times New Roman"/>
            <w:i/>
            <w:sz w:val="24"/>
            <w:szCs w:val="24"/>
          </w:rPr>
          <w:t xml:space="preserve"> Pokorny</w:t>
        </w:r>
        <w:r w:rsidRPr="00535AA2">
          <w:rPr>
            <w:rStyle w:val="Hyperlink"/>
            <w:rFonts w:ascii="Times New Roman" w:hAnsi="Times New Roman" w:cs="Times New Roman"/>
            <w:sz w:val="24"/>
            <w:szCs w:val="24"/>
          </w:rPr>
          <w:t>, File No. CO-90-1649 (Minn. Ct. App.  Dec. 18, 19</w:t>
        </w:r>
        <w:r w:rsidR="00222829">
          <w:rPr>
            <w:rStyle w:val="Hyperlink"/>
            <w:rFonts w:ascii="Times New Roman" w:hAnsi="Times New Roman" w:cs="Times New Roman"/>
            <w:sz w:val="24"/>
            <w:szCs w:val="24"/>
          </w:rPr>
          <w:t>90) (nonprecedential</w:t>
        </w:r>
        <w:r w:rsidRPr="00535AA2">
          <w:rPr>
            <w:rStyle w:val="Hyperlink"/>
            <w:rFonts w:ascii="Times New Roman" w:hAnsi="Times New Roman" w:cs="Times New Roman"/>
            <w:sz w:val="24"/>
            <w:szCs w:val="24"/>
          </w:rPr>
          <w:t>)</w:t>
        </w:r>
      </w:hyperlink>
      <w:r w:rsidR="00222829">
        <w:rPr>
          <w:rFonts w:ascii="Times New Roman" w:hAnsi="Times New Roman" w:cs="Times New Roman"/>
          <w:sz w:val="24"/>
          <w:szCs w:val="24"/>
          <w:u w:val="single"/>
        </w:rPr>
        <w:t xml:space="preserve"> </w:t>
      </w:r>
      <w:r w:rsidRPr="00535AA2">
        <w:rPr>
          <w:rFonts w:ascii="Times New Roman" w:hAnsi="Times New Roman" w:cs="Times New Roman"/>
          <w:sz w:val="24"/>
          <w:szCs w:val="24"/>
        </w:rPr>
        <w:t xml:space="preserve">  In </w:t>
      </w:r>
      <w:r w:rsidRPr="00535AA2">
        <w:rPr>
          <w:rFonts w:ascii="Times New Roman" w:hAnsi="Times New Roman" w:cs="Times New Roman"/>
          <w:i/>
          <w:sz w:val="24"/>
          <w:szCs w:val="24"/>
        </w:rPr>
        <w:t>Pokorny</w:t>
      </w:r>
      <w:r w:rsidRPr="00535AA2">
        <w:rPr>
          <w:rFonts w:ascii="Times New Roman" w:hAnsi="Times New Roman" w:cs="Times New Roman"/>
          <w:sz w:val="24"/>
          <w:szCs w:val="24"/>
        </w:rPr>
        <w:t xml:space="preserve"> the tenants breached their lease by not paying for renters’ insurance as required </w:t>
      </w:r>
      <w:r w:rsidR="00BB1CE2">
        <w:rPr>
          <w:rFonts w:ascii="Times New Roman" w:hAnsi="Times New Roman" w:cs="Times New Roman"/>
          <w:sz w:val="24"/>
          <w:szCs w:val="24"/>
        </w:rPr>
        <w:t>by</w:t>
      </w:r>
      <w:r w:rsidRPr="00535AA2">
        <w:rPr>
          <w:rFonts w:ascii="Times New Roman" w:hAnsi="Times New Roman" w:cs="Times New Roman"/>
          <w:sz w:val="24"/>
          <w:szCs w:val="24"/>
        </w:rPr>
        <w:t xml:space="preserve"> the lease. The court affirmed the trial court’s order that this was effectively a form of </w:t>
      </w:r>
      <w:r w:rsidR="00222829" w:rsidRPr="00535AA2">
        <w:rPr>
          <w:rFonts w:ascii="Times New Roman" w:hAnsi="Times New Roman" w:cs="Times New Roman"/>
          <w:sz w:val="24"/>
          <w:szCs w:val="24"/>
        </w:rPr>
        <w:t>nonpayment</w:t>
      </w:r>
      <w:r w:rsidRPr="00535AA2">
        <w:rPr>
          <w:rFonts w:ascii="Times New Roman" w:hAnsi="Times New Roman" w:cs="Times New Roman"/>
          <w:sz w:val="24"/>
          <w:szCs w:val="24"/>
        </w:rPr>
        <w:t xml:space="preserve"> of rent and allowed the tenants to retain their tenancy upon redeeming by paying the unpaid insurance premiums</w:t>
      </w:r>
      <w:r w:rsidR="00BB1CE2">
        <w:rPr>
          <w:rFonts w:ascii="Times New Roman" w:hAnsi="Times New Roman" w:cs="Times New Roman"/>
          <w:sz w:val="24"/>
          <w:szCs w:val="24"/>
        </w:rPr>
        <w:t xml:space="preserve"> plus court costs</w:t>
      </w:r>
      <w:r w:rsidRPr="00535AA2">
        <w:rPr>
          <w:rFonts w:ascii="Times New Roman" w:hAnsi="Times New Roman" w:cs="Times New Roman"/>
          <w:sz w:val="24"/>
          <w:szCs w:val="24"/>
        </w:rPr>
        <w:t xml:space="preserve">. If the landlord has had to repair appliances and then sues to evict, perhaps it is too late to cure the breach or perhaps the tenant can redeem by paying for the repair costs </w:t>
      </w:r>
      <w:r w:rsidR="00775C29">
        <w:rPr>
          <w:rFonts w:ascii="Times New Roman" w:hAnsi="Times New Roman" w:cs="Times New Roman"/>
          <w:sz w:val="24"/>
          <w:szCs w:val="24"/>
        </w:rPr>
        <w:t>+</w:t>
      </w:r>
      <w:r w:rsidRPr="00535AA2">
        <w:rPr>
          <w:rFonts w:ascii="Times New Roman" w:hAnsi="Times New Roman" w:cs="Times New Roman"/>
          <w:sz w:val="24"/>
          <w:szCs w:val="24"/>
        </w:rPr>
        <w:t xml:space="preserve"> Service Plus</w:t>
      </w:r>
      <w:r w:rsidR="00BB1CE2">
        <w:rPr>
          <w:rFonts w:ascii="Times New Roman" w:hAnsi="Times New Roman" w:cs="Times New Roman"/>
          <w:sz w:val="24"/>
          <w:szCs w:val="24"/>
        </w:rPr>
        <w:t xml:space="preserve"> </w:t>
      </w:r>
      <w:r w:rsidR="00775C29">
        <w:rPr>
          <w:rFonts w:ascii="Times New Roman" w:hAnsi="Times New Roman" w:cs="Times New Roman"/>
          <w:sz w:val="24"/>
          <w:szCs w:val="24"/>
        </w:rPr>
        <w:t>+</w:t>
      </w:r>
      <w:r w:rsidR="00BB1CE2">
        <w:rPr>
          <w:rFonts w:ascii="Times New Roman" w:hAnsi="Times New Roman" w:cs="Times New Roman"/>
          <w:sz w:val="24"/>
          <w:szCs w:val="24"/>
        </w:rPr>
        <w:t xml:space="preserve"> court costs</w:t>
      </w:r>
      <w:r w:rsidRPr="00535AA2">
        <w:rPr>
          <w:rFonts w:ascii="Times New Roman" w:hAnsi="Times New Roman" w:cs="Times New Roman"/>
          <w:sz w:val="24"/>
          <w:szCs w:val="24"/>
        </w:rPr>
        <w:t>.</w:t>
      </w:r>
    </w:p>
    <w:p w:rsidR="003B5D94" w:rsidRDefault="003B5D94" w:rsidP="003B5D94">
      <w:pPr>
        <w:autoSpaceDE w:val="0"/>
        <w:autoSpaceDN w:val="0"/>
        <w:spacing w:before="100" w:beforeAutospacing="1" w:after="100" w:afterAutospacing="1" w:line="240" w:lineRule="auto"/>
        <w:rPr>
          <w:rFonts w:ascii="Times New Roman" w:hAnsi="Times New Roman" w:cs="Times New Roman"/>
          <w:sz w:val="24"/>
          <w:szCs w:val="24"/>
        </w:rPr>
      </w:pPr>
      <w:r w:rsidRPr="00535AA2">
        <w:rPr>
          <w:rFonts w:ascii="Times New Roman" w:hAnsi="Times New Roman" w:cs="Times New Roman"/>
          <w:sz w:val="24"/>
          <w:szCs w:val="24"/>
        </w:rPr>
        <w:t xml:space="preserve">As discussed above, Minn. Stat. § 504B.161 was modeled in part on Section 2-203 of the </w:t>
      </w:r>
      <w:r w:rsidRPr="00535AA2">
        <w:rPr>
          <w:rFonts w:ascii="Times New Roman" w:hAnsi="Times New Roman" w:cs="Times New Roman"/>
          <w:i/>
          <w:sz w:val="24"/>
          <w:szCs w:val="24"/>
        </w:rPr>
        <w:t xml:space="preserve">Model Residential Landlord-Tenant Code. </w:t>
      </w:r>
      <w:r w:rsidRPr="00535AA2">
        <w:rPr>
          <w:rFonts w:ascii="Times New Roman" w:hAnsi="Times New Roman" w:cs="Times New Roman"/>
          <w:sz w:val="24"/>
          <w:szCs w:val="24"/>
        </w:rPr>
        <w:t>The comment to that section state</w:t>
      </w:r>
      <w:r>
        <w:rPr>
          <w:rFonts w:ascii="Times New Roman" w:hAnsi="Times New Roman" w:cs="Times New Roman"/>
          <w:sz w:val="24"/>
          <w:szCs w:val="24"/>
        </w:rPr>
        <w:t>s</w:t>
      </w:r>
      <w:r w:rsidRPr="00535AA2">
        <w:rPr>
          <w:rFonts w:ascii="Times New Roman" w:hAnsi="Times New Roman" w:cs="Times New Roman"/>
          <w:sz w:val="24"/>
          <w:szCs w:val="24"/>
        </w:rPr>
        <w:t xml:space="preserve">, “In neither case </w:t>
      </w:r>
      <w:r w:rsidR="002459F0">
        <w:rPr>
          <w:rFonts w:ascii="Times New Roman" w:hAnsi="Times New Roman" w:cs="Times New Roman"/>
          <w:sz w:val="24"/>
          <w:szCs w:val="24"/>
        </w:rPr>
        <w:t xml:space="preserve">can a failure by </w:t>
      </w:r>
      <w:r w:rsidRPr="00535AA2">
        <w:rPr>
          <w:rFonts w:ascii="Times New Roman" w:hAnsi="Times New Roman" w:cs="Times New Roman"/>
          <w:sz w:val="24"/>
          <w:szCs w:val="24"/>
        </w:rPr>
        <w:t>the tenant [to make repairs he agreed to make] be relied on as grounds for termination of the lease.”</w:t>
      </w:r>
      <w:r w:rsidRPr="00535AA2">
        <w:rPr>
          <w:rFonts w:ascii="Times New Roman" w:hAnsi="Times New Roman" w:cs="Times New Roman"/>
          <w:i/>
          <w:sz w:val="24"/>
          <w:szCs w:val="24"/>
        </w:rPr>
        <w:t xml:space="preserve"> Id</w:t>
      </w:r>
      <w:r w:rsidRPr="00535AA2">
        <w:rPr>
          <w:rFonts w:ascii="Times New Roman" w:hAnsi="Times New Roman" w:cs="Times New Roman"/>
          <w:sz w:val="24"/>
          <w:szCs w:val="24"/>
        </w:rPr>
        <w:t>. at 47. This provides the t</w:t>
      </w:r>
      <w:r w:rsidR="00BB1CE2">
        <w:rPr>
          <w:rFonts w:ascii="Times New Roman" w:hAnsi="Times New Roman" w:cs="Times New Roman"/>
          <w:sz w:val="24"/>
          <w:szCs w:val="24"/>
        </w:rPr>
        <w:t xml:space="preserve">enant with </w:t>
      </w:r>
      <w:r w:rsidR="00775C29">
        <w:rPr>
          <w:rFonts w:ascii="Times New Roman" w:hAnsi="Times New Roman" w:cs="Times New Roman"/>
          <w:sz w:val="24"/>
          <w:szCs w:val="24"/>
        </w:rPr>
        <w:t>additional</w:t>
      </w:r>
      <w:r w:rsidR="00BB1CE2">
        <w:rPr>
          <w:rFonts w:ascii="Times New Roman" w:hAnsi="Times New Roman" w:cs="Times New Roman"/>
          <w:sz w:val="24"/>
          <w:szCs w:val="24"/>
        </w:rPr>
        <w:t xml:space="preserve"> ammunition </w:t>
      </w:r>
      <w:r w:rsidR="007B2605">
        <w:rPr>
          <w:rFonts w:ascii="Times New Roman" w:hAnsi="Times New Roman" w:cs="Times New Roman"/>
          <w:sz w:val="24"/>
          <w:szCs w:val="24"/>
        </w:rPr>
        <w:t>to</w:t>
      </w:r>
      <w:r w:rsidR="00BB1CE2">
        <w:rPr>
          <w:rFonts w:ascii="Times New Roman" w:hAnsi="Times New Roman" w:cs="Times New Roman"/>
          <w:sz w:val="24"/>
          <w:szCs w:val="24"/>
        </w:rPr>
        <w:t xml:space="preserve"> </w:t>
      </w:r>
      <w:r w:rsidRPr="00535AA2">
        <w:rPr>
          <w:rFonts w:ascii="Times New Roman" w:hAnsi="Times New Roman" w:cs="Times New Roman"/>
          <w:sz w:val="24"/>
          <w:szCs w:val="24"/>
        </w:rPr>
        <w:t>fight eviction.</w:t>
      </w:r>
    </w:p>
    <w:p w:rsidR="003B5D94" w:rsidRPr="006A537A" w:rsidRDefault="003B5D94" w:rsidP="003B5D94">
      <w:pPr>
        <w:autoSpaceDE w:val="0"/>
        <w:autoSpaceDN w:val="0"/>
        <w:spacing w:before="100" w:beforeAutospacing="1" w:after="100" w:afterAutospacing="1" w:line="240" w:lineRule="auto"/>
        <w:rPr>
          <w:rFonts w:ascii="Times New Roman" w:hAnsi="Times New Roman" w:cs="Times New Roman"/>
          <w:sz w:val="24"/>
          <w:szCs w:val="24"/>
          <w:u w:val="single"/>
        </w:rPr>
      </w:pPr>
      <w:r w:rsidRPr="006A537A">
        <w:rPr>
          <w:rFonts w:ascii="Times New Roman" w:hAnsi="Times New Roman" w:cs="Times New Roman"/>
          <w:sz w:val="24"/>
          <w:szCs w:val="24"/>
          <w:u w:val="single"/>
        </w:rPr>
        <w:t>Conclusion</w:t>
      </w:r>
    </w:p>
    <w:p w:rsidR="00873A32" w:rsidRDefault="003B5D94" w:rsidP="00EB0664">
      <w:pPr>
        <w:autoSpaceDE w:val="0"/>
        <w:autoSpaceDN w:val="0"/>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The Service-Plus clause</w:t>
      </w:r>
      <w:r w:rsidR="006A537A">
        <w:rPr>
          <w:rFonts w:ascii="Times New Roman" w:hAnsi="Times New Roman" w:cs="Times New Roman"/>
          <w:sz w:val="24"/>
          <w:szCs w:val="24"/>
        </w:rPr>
        <w:t>s</w:t>
      </w:r>
      <w:r>
        <w:rPr>
          <w:rFonts w:ascii="Times New Roman" w:hAnsi="Times New Roman" w:cs="Times New Roman"/>
          <w:sz w:val="24"/>
          <w:szCs w:val="24"/>
        </w:rPr>
        <w:t xml:space="preserve"> in Meldahl’s lease</w:t>
      </w:r>
      <w:r w:rsidR="006A537A">
        <w:rPr>
          <w:rFonts w:ascii="Times New Roman" w:hAnsi="Times New Roman" w:cs="Times New Roman"/>
          <w:sz w:val="24"/>
          <w:szCs w:val="24"/>
        </w:rPr>
        <w:t>s are</w:t>
      </w:r>
      <w:r>
        <w:rPr>
          <w:rFonts w:ascii="Times New Roman" w:hAnsi="Times New Roman" w:cs="Times New Roman"/>
          <w:sz w:val="24"/>
          <w:szCs w:val="24"/>
        </w:rPr>
        <w:t xml:space="preserve"> very likely unenforceable under </w:t>
      </w:r>
      <w:r w:rsidRPr="00535AA2">
        <w:rPr>
          <w:rFonts w:ascii="Times New Roman" w:hAnsi="Times New Roman" w:cs="Times New Roman"/>
          <w:sz w:val="24"/>
          <w:szCs w:val="24"/>
        </w:rPr>
        <w:t>Minn. Stat. § 504B.161</w:t>
      </w:r>
      <w:r w:rsidR="00827CA4">
        <w:rPr>
          <w:rFonts w:ascii="Times New Roman" w:hAnsi="Times New Roman" w:cs="Times New Roman"/>
          <w:sz w:val="24"/>
          <w:szCs w:val="24"/>
        </w:rPr>
        <w:t xml:space="preserve">, subd. 2. When courts deal with other leases, they need to carefully determine [i] whether the lease clause is actually conspicuous and not simply readable; [ii] whether the tenant actually had a choice of agreeing to the clause </w:t>
      </w:r>
      <w:r w:rsidR="00827CA4" w:rsidRPr="00827CA4">
        <w:rPr>
          <w:rFonts w:ascii="Times New Roman" w:hAnsi="Times New Roman" w:cs="Times New Roman"/>
          <w:sz w:val="24"/>
          <w:szCs w:val="24"/>
          <w:u w:val="single"/>
        </w:rPr>
        <w:t>and</w:t>
      </w:r>
      <w:r w:rsidR="00827CA4">
        <w:rPr>
          <w:rFonts w:ascii="Times New Roman" w:hAnsi="Times New Roman" w:cs="Times New Roman"/>
          <w:sz w:val="24"/>
          <w:szCs w:val="24"/>
        </w:rPr>
        <w:t xml:space="preserve"> received something of comparable value (adequate consi</w:t>
      </w:r>
      <w:r w:rsidR="007C2637">
        <w:rPr>
          <w:rFonts w:ascii="Times New Roman" w:hAnsi="Times New Roman" w:cs="Times New Roman"/>
          <w:sz w:val="24"/>
          <w:szCs w:val="24"/>
        </w:rPr>
        <w:t xml:space="preserve">deration) </w:t>
      </w:r>
      <w:r w:rsidR="00827CA4">
        <w:rPr>
          <w:rFonts w:ascii="Times New Roman" w:hAnsi="Times New Roman" w:cs="Times New Roman"/>
          <w:sz w:val="24"/>
          <w:szCs w:val="24"/>
        </w:rPr>
        <w:t>for agreeing; and [iii] whether the agreement for that adequate consideration needed to be conspicuous and if so was it conspicuous.</w:t>
      </w:r>
    </w:p>
    <w:p w:rsidR="009E6B6F" w:rsidRPr="00421B3E" w:rsidRDefault="00DD37C3" w:rsidP="00421B3E">
      <w:pPr>
        <w:autoSpaceDE w:val="0"/>
        <w:autoSpaceDN w:val="0"/>
        <w:spacing w:before="100" w:beforeAutospacing="1" w:after="100" w:afterAutospacing="1" w:line="240" w:lineRule="auto"/>
        <w:rPr>
          <w:rFonts w:ascii="Times New Roman" w:hAnsi="Times New Roman" w:cs="Times New Roman"/>
          <w:color w:val="FF0000"/>
          <w:sz w:val="24"/>
          <w:szCs w:val="24"/>
        </w:rPr>
      </w:pPr>
      <w:r>
        <w:rPr>
          <w:rFonts w:ascii="Times New Roman" w:hAnsi="Times New Roman" w:cs="Times New Roman"/>
          <w:sz w:val="24"/>
          <w:szCs w:val="24"/>
        </w:rPr>
        <w:t>The third issue involves an open question – does the bargained-for contract, the tenant’s duty to sign up for Service Plus in return for compensation have to</w:t>
      </w:r>
      <w:r w:rsidR="00421B3E">
        <w:rPr>
          <w:rFonts w:ascii="Times New Roman" w:hAnsi="Times New Roman" w:cs="Times New Roman"/>
          <w:sz w:val="24"/>
          <w:szCs w:val="24"/>
        </w:rPr>
        <w:t xml:space="preserve"> be</w:t>
      </w:r>
      <w:r>
        <w:rPr>
          <w:rFonts w:ascii="Times New Roman" w:hAnsi="Times New Roman" w:cs="Times New Roman"/>
          <w:sz w:val="24"/>
          <w:szCs w:val="24"/>
        </w:rPr>
        <w:t xml:space="preserve"> re</w:t>
      </w:r>
      <w:r w:rsidR="00421B3E">
        <w:rPr>
          <w:rFonts w:ascii="Times New Roman" w:hAnsi="Times New Roman" w:cs="Times New Roman"/>
          <w:sz w:val="24"/>
          <w:szCs w:val="24"/>
        </w:rPr>
        <w:t xml:space="preserve">duced to a conspicuous writing? </w:t>
      </w:r>
      <w:r>
        <w:rPr>
          <w:rFonts w:ascii="Times New Roman" w:hAnsi="Times New Roman" w:cs="Times New Roman"/>
          <w:sz w:val="24"/>
          <w:szCs w:val="24"/>
        </w:rPr>
        <w:t>The legislature could resolve this question by amending the statute.</w:t>
      </w:r>
    </w:p>
    <w:sectPr w:rsidR="009E6B6F" w:rsidRPr="00421B3E">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7752" w:rsidRDefault="00677752" w:rsidP="002E4318">
      <w:pPr>
        <w:spacing w:after="0" w:line="240" w:lineRule="auto"/>
      </w:pPr>
      <w:r>
        <w:separator/>
      </w:r>
    </w:p>
  </w:endnote>
  <w:endnote w:type="continuationSeparator" w:id="0">
    <w:p w:rsidR="00677752" w:rsidRDefault="00677752" w:rsidP="002E4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8015305"/>
      <w:docPartObj>
        <w:docPartGallery w:val="Page Numbers (Bottom of Page)"/>
        <w:docPartUnique/>
      </w:docPartObj>
    </w:sdtPr>
    <w:sdtEndPr>
      <w:rPr>
        <w:noProof/>
      </w:rPr>
    </w:sdtEndPr>
    <w:sdtContent>
      <w:p w:rsidR="00247F96" w:rsidRDefault="00247F96">
        <w:pPr>
          <w:pStyle w:val="Footer"/>
          <w:jc w:val="center"/>
        </w:pPr>
        <w:r>
          <w:fldChar w:fldCharType="begin"/>
        </w:r>
        <w:r>
          <w:instrText xml:space="preserve"> PAGE   \* MERGEFORMAT </w:instrText>
        </w:r>
        <w:r>
          <w:fldChar w:fldCharType="separate"/>
        </w:r>
        <w:r w:rsidR="00C1249F">
          <w:rPr>
            <w:noProof/>
          </w:rPr>
          <w:t>12</w:t>
        </w:r>
        <w:r>
          <w:rPr>
            <w:noProof/>
          </w:rPr>
          <w:fldChar w:fldCharType="end"/>
        </w:r>
      </w:p>
    </w:sdtContent>
  </w:sdt>
  <w:p w:rsidR="00247F96" w:rsidRDefault="00247F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7752" w:rsidRDefault="00677752" w:rsidP="002E4318">
      <w:pPr>
        <w:spacing w:after="0" w:line="240" w:lineRule="auto"/>
      </w:pPr>
      <w:r>
        <w:separator/>
      </w:r>
    </w:p>
  </w:footnote>
  <w:footnote w:type="continuationSeparator" w:id="0">
    <w:p w:rsidR="00677752" w:rsidRDefault="00677752" w:rsidP="002E4318">
      <w:pPr>
        <w:spacing w:after="0" w:line="240" w:lineRule="auto"/>
      </w:pPr>
      <w:r>
        <w:continuationSeparator/>
      </w:r>
    </w:p>
  </w:footnote>
  <w:footnote w:id="1">
    <w:p w:rsidR="00247F96" w:rsidRDefault="00247F96">
      <w:pPr>
        <w:pStyle w:val="FootnoteText"/>
        <w:rPr>
          <w:rFonts w:ascii="Times New Roman" w:hAnsi="Times New Roman" w:cs="Times New Roman"/>
          <w:sz w:val="24"/>
          <w:szCs w:val="24"/>
        </w:rPr>
      </w:pPr>
      <w:r>
        <w:rPr>
          <w:rStyle w:val="FootnoteReference"/>
        </w:rPr>
        <w:footnoteRef/>
      </w:r>
      <w:r>
        <w:t xml:space="preserve"> </w:t>
      </w:r>
      <w:r w:rsidRPr="000948A1">
        <w:rPr>
          <w:rFonts w:ascii="Times New Roman" w:hAnsi="Times New Roman" w:cs="Times New Roman"/>
          <w:sz w:val="24"/>
          <w:szCs w:val="24"/>
        </w:rPr>
        <w:t>"At common law, in the absence of any covenant or agreement in the lease to repair, and where there is no fraud, misrepresentation, or concealment by the lessor, there was no implied warranty that the leased premises were fit for the purposes for which they were rented, or covenant to put them in repair or to keep them so."</w:t>
      </w:r>
      <w:r>
        <w:rPr>
          <w:rFonts w:ascii="Times New Roman" w:hAnsi="Times New Roman" w:cs="Times New Roman"/>
          <w:sz w:val="24"/>
          <w:szCs w:val="24"/>
        </w:rPr>
        <w:t xml:space="preserve"> </w:t>
      </w:r>
      <w:hyperlink r:id="rId1" w:history="1">
        <w:r w:rsidRPr="000948A1">
          <w:rPr>
            <w:rStyle w:val="Hyperlink"/>
            <w:rFonts w:ascii="Times New Roman" w:hAnsi="Times New Roman" w:cs="Times New Roman"/>
            <w:i/>
            <w:iCs/>
            <w:sz w:val="24"/>
            <w:szCs w:val="24"/>
          </w:rPr>
          <w:t>Meyer v. Parkin,</w:t>
        </w:r>
        <w:r w:rsidRPr="000948A1">
          <w:rPr>
            <w:rStyle w:val="Hyperlink"/>
            <w:rFonts w:ascii="Times New Roman" w:hAnsi="Times New Roman" w:cs="Times New Roman"/>
            <w:sz w:val="24"/>
            <w:szCs w:val="24"/>
          </w:rPr>
          <w:t xml:space="preserve"> 350 N.W.2d 435,437 (Minn. App. 1984)</w:t>
        </w:r>
      </w:hyperlink>
      <w:r w:rsidRPr="000948A1">
        <w:rPr>
          <w:rFonts w:ascii="Times New Roman" w:hAnsi="Times New Roman" w:cs="Times New Roman"/>
          <w:sz w:val="24"/>
          <w:szCs w:val="24"/>
        </w:rPr>
        <w:t xml:space="preserve"> </w:t>
      </w:r>
      <w:r w:rsidRPr="000948A1">
        <w:rPr>
          <w:rFonts w:ascii="Times New Roman" w:hAnsi="Times New Roman" w:cs="Times New Roman"/>
          <w:i/>
          <w:iCs/>
          <w:sz w:val="24"/>
          <w:szCs w:val="24"/>
        </w:rPr>
        <w:t>review denied</w:t>
      </w:r>
      <w:r w:rsidRPr="000948A1">
        <w:rPr>
          <w:rFonts w:ascii="Times New Roman" w:hAnsi="Times New Roman" w:cs="Times New Roman"/>
          <w:sz w:val="24"/>
          <w:szCs w:val="24"/>
        </w:rPr>
        <w:t xml:space="preserve"> (Minn. Sept. 12, 1984).</w:t>
      </w:r>
    </w:p>
    <w:p w:rsidR="00247F96" w:rsidRDefault="00247F96">
      <w:pPr>
        <w:pStyle w:val="FootnoteText"/>
      </w:pPr>
    </w:p>
  </w:footnote>
  <w:footnote w:id="2">
    <w:p w:rsidR="00247F96" w:rsidRPr="00C344E4" w:rsidRDefault="00247F96" w:rsidP="0080723B">
      <w:pPr>
        <w:pStyle w:val="HTMLPreformatted"/>
        <w:rPr>
          <w:rFonts w:ascii="Times New Roman" w:hAnsi="Times New Roman" w:cs="Times New Roman"/>
          <w:sz w:val="24"/>
          <w:szCs w:val="24"/>
        </w:rPr>
      </w:pPr>
      <w:r w:rsidRPr="00C344E4">
        <w:rPr>
          <w:rStyle w:val="FootnoteReference"/>
          <w:rFonts w:ascii="Times New Roman" w:hAnsi="Times New Roman" w:cs="Times New Roman"/>
          <w:sz w:val="24"/>
          <w:szCs w:val="24"/>
        </w:rPr>
        <w:footnoteRef/>
      </w:r>
      <w:r w:rsidRPr="00C344E4">
        <w:rPr>
          <w:rFonts w:ascii="Times New Roman" w:hAnsi="Times New Roman" w:cs="Times New Roman"/>
          <w:sz w:val="24"/>
          <w:szCs w:val="24"/>
        </w:rPr>
        <w:t xml:space="preserve"> </w:t>
      </w:r>
      <w:hyperlink r:id="rId2" w:history="1">
        <w:r w:rsidRPr="00C344E4">
          <w:rPr>
            <w:rStyle w:val="Hyperlink"/>
            <w:rFonts w:ascii="Times New Roman" w:hAnsi="Times New Roman" w:cs="Times New Roman"/>
            <w:sz w:val="24"/>
            <w:szCs w:val="24"/>
          </w:rPr>
          <w:t>Minn. Stat. § 504B.161</w:t>
        </w:r>
      </w:hyperlink>
      <w:r w:rsidRPr="00C344E4">
        <w:rPr>
          <w:rFonts w:ascii="Times New Roman" w:hAnsi="Times New Roman" w:cs="Times New Roman"/>
          <w:sz w:val="24"/>
          <w:szCs w:val="24"/>
        </w:rPr>
        <w:t xml:space="preserve"> was originally ena</w:t>
      </w:r>
      <w:r w:rsidR="00AD7847">
        <w:rPr>
          <w:rFonts w:ascii="Times New Roman" w:hAnsi="Times New Roman" w:cs="Times New Roman"/>
          <w:sz w:val="24"/>
          <w:szCs w:val="24"/>
        </w:rPr>
        <w:t xml:space="preserve">cted as Minn. Stat. § 504.18 </w:t>
      </w:r>
      <w:r w:rsidR="00F2359E">
        <w:rPr>
          <w:rFonts w:ascii="Times New Roman" w:hAnsi="Times New Roman" w:cs="Times New Roman"/>
          <w:sz w:val="24"/>
          <w:szCs w:val="24"/>
        </w:rPr>
        <w:t>by</w:t>
      </w:r>
      <w:r w:rsidRPr="00C344E4">
        <w:rPr>
          <w:rFonts w:ascii="Times New Roman" w:hAnsi="Times New Roman" w:cs="Times New Roman"/>
          <w:sz w:val="24"/>
          <w:szCs w:val="24"/>
        </w:rPr>
        <w:t xml:space="preserve"> </w:t>
      </w:r>
      <w:hyperlink r:id="rId3" w:history="1">
        <w:r w:rsidRPr="00C344E4">
          <w:rPr>
            <w:rStyle w:val="Hyperlink"/>
            <w:rFonts w:ascii="Times New Roman" w:hAnsi="Times New Roman" w:cs="Times New Roman"/>
            <w:sz w:val="24"/>
            <w:szCs w:val="24"/>
          </w:rPr>
          <w:t>1971 Minn. Laws ch. 219</w:t>
        </w:r>
      </w:hyperlink>
      <w:r w:rsidRPr="00C344E4">
        <w:rPr>
          <w:rFonts w:ascii="Times New Roman" w:hAnsi="Times New Roman" w:cs="Times New Roman"/>
          <w:sz w:val="24"/>
          <w:szCs w:val="24"/>
        </w:rPr>
        <w:t xml:space="preserve">. Since then it has remained intact except for changes irrelevant to this essay. </w:t>
      </w:r>
      <w:r>
        <w:rPr>
          <w:rFonts w:ascii="Times New Roman" w:hAnsi="Times New Roman" w:cs="Times New Roman"/>
          <w:sz w:val="24"/>
          <w:szCs w:val="24"/>
        </w:rPr>
        <w:t xml:space="preserve">First, </w:t>
      </w:r>
      <w:r w:rsidRPr="00C344E4">
        <w:rPr>
          <w:rFonts w:ascii="Times New Roman" w:hAnsi="Times New Roman" w:cs="Times New Roman"/>
          <w:sz w:val="24"/>
          <w:szCs w:val="24"/>
        </w:rPr>
        <w:t>the 1971 law did not include the energy-efficiency requirements</w:t>
      </w:r>
      <w:r>
        <w:rPr>
          <w:rFonts w:ascii="Times New Roman" w:hAnsi="Times New Roman" w:cs="Times New Roman"/>
          <w:sz w:val="24"/>
          <w:szCs w:val="24"/>
        </w:rPr>
        <w:t>, which were</w:t>
      </w:r>
      <w:r w:rsidRPr="00C344E4">
        <w:rPr>
          <w:rFonts w:ascii="Times New Roman" w:hAnsi="Times New Roman" w:cs="Times New Roman"/>
          <w:sz w:val="24"/>
          <w:szCs w:val="24"/>
        </w:rPr>
        <w:t xml:space="preserve"> added by</w:t>
      </w:r>
      <w:r>
        <w:rPr>
          <w:rFonts w:ascii="Times New Roman" w:hAnsi="Times New Roman" w:cs="Times New Roman"/>
          <w:sz w:val="24"/>
          <w:szCs w:val="24"/>
        </w:rPr>
        <w:t xml:space="preserve"> </w:t>
      </w:r>
      <w:hyperlink r:id="rId4" w:history="1">
        <w:r w:rsidRPr="00C344E4">
          <w:rPr>
            <w:rStyle w:val="Hyperlink"/>
            <w:rFonts w:ascii="Times New Roman" w:hAnsi="Times New Roman" w:cs="Times New Roman"/>
            <w:sz w:val="24"/>
            <w:szCs w:val="24"/>
          </w:rPr>
          <w:t>1992 Minn. Laws ch. 376 art. 1 s. 3</w:t>
        </w:r>
      </w:hyperlink>
      <w:r w:rsidRPr="00C344E4">
        <w:rPr>
          <w:rFonts w:ascii="Times New Roman" w:hAnsi="Times New Roman" w:cs="Times New Roman"/>
          <w:sz w:val="24"/>
          <w:szCs w:val="24"/>
        </w:rPr>
        <w:t xml:space="preserve"> and </w:t>
      </w:r>
      <w:r>
        <w:rPr>
          <w:rFonts w:ascii="Times New Roman" w:hAnsi="Times New Roman" w:cs="Times New Roman"/>
          <w:sz w:val="24"/>
          <w:szCs w:val="24"/>
        </w:rPr>
        <w:t>later</w:t>
      </w:r>
      <w:r w:rsidRPr="00C344E4">
        <w:rPr>
          <w:rFonts w:ascii="Times New Roman" w:hAnsi="Times New Roman" w:cs="Times New Roman"/>
          <w:sz w:val="24"/>
          <w:szCs w:val="24"/>
        </w:rPr>
        <w:t xml:space="preserve"> amended by </w:t>
      </w:r>
      <w:hyperlink r:id="rId5" w:history="1">
        <w:r w:rsidRPr="00C344E4">
          <w:rPr>
            <w:rStyle w:val="Hyperlink"/>
            <w:rFonts w:ascii="Times New Roman" w:hAnsi="Times New Roman" w:cs="Times New Roman"/>
            <w:sz w:val="24"/>
            <w:szCs w:val="24"/>
          </w:rPr>
          <w:t>2007 Minn. Laws ch. 136 art. 3 s. 5</w:t>
        </w:r>
      </w:hyperlink>
      <w:r w:rsidRPr="00C344E4">
        <w:rPr>
          <w:rFonts w:ascii="Times New Roman" w:hAnsi="Times New Roman" w:cs="Times New Roman"/>
          <w:sz w:val="24"/>
          <w:szCs w:val="24"/>
        </w:rPr>
        <w:t xml:space="preserve">. Second, the 1999 recodification law, </w:t>
      </w:r>
      <w:hyperlink r:id="rId6" w:history="1">
        <w:r w:rsidRPr="00C344E4">
          <w:rPr>
            <w:rStyle w:val="Hyperlink"/>
            <w:rFonts w:ascii="Times New Roman" w:hAnsi="Times New Roman" w:cs="Times New Roman"/>
            <w:sz w:val="24"/>
            <w:szCs w:val="24"/>
          </w:rPr>
          <w:t>1999 Minn. Laws ch. 199</w:t>
        </w:r>
      </w:hyperlink>
      <w:r w:rsidRPr="00C344E4">
        <w:rPr>
          <w:rFonts w:ascii="Times New Roman" w:hAnsi="Times New Roman" w:cs="Times New Roman"/>
          <w:sz w:val="24"/>
          <w:szCs w:val="24"/>
        </w:rPr>
        <w:t>, made a few word</w:t>
      </w:r>
      <w:r>
        <w:rPr>
          <w:rFonts w:ascii="Times New Roman" w:hAnsi="Times New Roman" w:cs="Times New Roman"/>
          <w:sz w:val="24"/>
          <w:szCs w:val="24"/>
        </w:rPr>
        <w:t>ing</w:t>
      </w:r>
      <w:r w:rsidRPr="00C344E4">
        <w:rPr>
          <w:rFonts w:ascii="Times New Roman" w:hAnsi="Times New Roman" w:cs="Times New Roman"/>
          <w:sz w:val="24"/>
          <w:szCs w:val="24"/>
        </w:rPr>
        <w:t xml:space="preserve"> changes (e.g. changing “lessor” to “landlord”). However, th</w:t>
      </w:r>
      <w:r>
        <w:rPr>
          <w:rFonts w:ascii="Times New Roman" w:hAnsi="Times New Roman" w:cs="Times New Roman"/>
          <w:sz w:val="24"/>
          <w:szCs w:val="24"/>
        </w:rPr>
        <w:t>e 1999</w:t>
      </w:r>
      <w:r w:rsidRPr="00C344E4">
        <w:rPr>
          <w:rFonts w:ascii="Times New Roman" w:hAnsi="Times New Roman" w:cs="Times New Roman"/>
          <w:sz w:val="24"/>
          <w:szCs w:val="24"/>
        </w:rPr>
        <w:t xml:space="preserve"> law was explicitly designed only to modernize and streamline language </w:t>
      </w:r>
      <w:r>
        <w:rPr>
          <w:rFonts w:ascii="Times New Roman" w:hAnsi="Times New Roman" w:cs="Times New Roman"/>
          <w:sz w:val="24"/>
          <w:szCs w:val="24"/>
        </w:rPr>
        <w:t xml:space="preserve">in the landlord-tenant statutes </w:t>
      </w:r>
      <w:r w:rsidRPr="00C344E4">
        <w:rPr>
          <w:rFonts w:ascii="Times New Roman" w:hAnsi="Times New Roman" w:cs="Times New Roman"/>
          <w:sz w:val="24"/>
          <w:szCs w:val="24"/>
        </w:rPr>
        <w:t xml:space="preserve">without changing the meaning of any statute. </w:t>
      </w:r>
      <w:hyperlink r:id="rId7" w:history="1">
        <w:r w:rsidRPr="00C344E4">
          <w:rPr>
            <w:rStyle w:val="Hyperlink"/>
            <w:rFonts w:ascii="Times New Roman" w:hAnsi="Times New Roman" w:cs="Times New Roman"/>
            <w:i/>
            <w:sz w:val="24"/>
            <w:szCs w:val="24"/>
          </w:rPr>
          <w:t>Occhino v. Grover</w:t>
        </w:r>
        <w:r w:rsidRPr="00C344E4">
          <w:rPr>
            <w:rStyle w:val="Hyperlink"/>
            <w:rFonts w:ascii="Times New Roman" w:hAnsi="Times New Roman" w:cs="Times New Roman"/>
            <w:sz w:val="24"/>
            <w:szCs w:val="24"/>
          </w:rPr>
          <w:t>, 640 N.W.2d 357,362 (Minn. App. 2002)</w:t>
        </w:r>
      </w:hyperlink>
      <w:r w:rsidRPr="00C344E4">
        <w:rPr>
          <w:rFonts w:ascii="Times New Roman" w:hAnsi="Times New Roman" w:cs="Times New Roman"/>
          <w:color w:val="000000"/>
          <w:sz w:val="24"/>
          <w:szCs w:val="24"/>
        </w:rPr>
        <w:t>.</w:t>
      </w:r>
      <w:r>
        <w:rPr>
          <w:rFonts w:ascii="Times New Roman" w:hAnsi="Times New Roman" w:cs="Times New Roman"/>
          <w:color w:val="000000"/>
          <w:sz w:val="24"/>
          <w:szCs w:val="24"/>
        </w:rPr>
        <w:t xml:space="preserve"> The 1999 law also renumbered all the landlord-tenant statutes.</w:t>
      </w:r>
    </w:p>
  </w:footnote>
  <w:footnote w:id="3">
    <w:p w:rsidR="00841AE0" w:rsidRDefault="00841AE0">
      <w:pPr>
        <w:pStyle w:val="FootnoteText"/>
        <w:rPr>
          <w:rFonts w:ascii="Times New Roman" w:hAnsi="Times New Roman" w:cs="Times New Roman"/>
          <w:sz w:val="24"/>
          <w:szCs w:val="24"/>
        </w:rPr>
      </w:pPr>
      <w:r w:rsidRPr="00841AE0">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MNCIS indicates the testimony part of the trial is over as of May 27.</w:t>
      </w:r>
    </w:p>
    <w:p w:rsidR="00841AE0" w:rsidRDefault="00841AE0">
      <w:pPr>
        <w:pStyle w:val="FootnoteText"/>
      </w:pPr>
    </w:p>
  </w:footnote>
  <w:footnote w:id="4">
    <w:p w:rsidR="00247F96" w:rsidRPr="00A1175E" w:rsidRDefault="00247F96">
      <w:pPr>
        <w:pStyle w:val="FootnoteText"/>
        <w:rPr>
          <w:rFonts w:ascii="Times New Roman" w:hAnsi="Times New Roman" w:cs="Times New Roman"/>
          <w:sz w:val="24"/>
          <w:szCs w:val="24"/>
        </w:rPr>
      </w:pPr>
      <w:r w:rsidRPr="00DF66BE">
        <w:rPr>
          <w:rStyle w:val="FootnoteReference"/>
          <w:rFonts w:ascii="Times New Roman" w:hAnsi="Times New Roman" w:cs="Times New Roman"/>
          <w:sz w:val="24"/>
          <w:szCs w:val="24"/>
        </w:rPr>
        <w:footnoteRef/>
      </w:r>
      <w:r w:rsidRPr="00DF66BE">
        <w:rPr>
          <w:rFonts w:ascii="Times New Roman" w:hAnsi="Times New Roman" w:cs="Times New Roman"/>
          <w:sz w:val="24"/>
          <w:szCs w:val="24"/>
        </w:rPr>
        <w:t xml:space="preserve"> Order on Cross Motions for Summary Judgment, </w:t>
      </w:r>
      <w:r w:rsidR="00B351B0" w:rsidRPr="00B351B0">
        <w:rPr>
          <w:rFonts w:ascii="Times New Roman" w:hAnsi="Times New Roman" w:cs="Times New Roman"/>
          <w:i/>
          <w:sz w:val="24"/>
          <w:szCs w:val="24"/>
        </w:rPr>
        <w:t>State by</w:t>
      </w:r>
      <w:r w:rsidR="00B351B0">
        <w:rPr>
          <w:rFonts w:ascii="Times New Roman" w:hAnsi="Times New Roman" w:cs="Times New Roman"/>
          <w:sz w:val="24"/>
          <w:szCs w:val="24"/>
        </w:rPr>
        <w:t xml:space="preserve"> </w:t>
      </w:r>
      <w:r w:rsidRPr="00DF66BE">
        <w:rPr>
          <w:rFonts w:ascii="Times New Roman" w:hAnsi="Times New Roman" w:cs="Times New Roman"/>
          <w:i/>
          <w:sz w:val="24"/>
          <w:szCs w:val="24"/>
        </w:rPr>
        <w:t>Ellison vs Meldahl</w:t>
      </w:r>
      <w:r w:rsidRPr="00DF66BE">
        <w:rPr>
          <w:rFonts w:ascii="Times New Roman" w:hAnsi="Times New Roman" w:cs="Times New Roman"/>
          <w:sz w:val="24"/>
          <w:szCs w:val="24"/>
        </w:rPr>
        <w:t xml:space="preserve">, Henn. Cty. Dist. Ct. File No. 27-CV-19-16424 at 3. All the pleadings </w:t>
      </w:r>
      <w:r w:rsidR="00B351B0">
        <w:rPr>
          <w:rFonts w:ascii="Times New Roman" w:hAnsi="Times New Roman" w:cs="Times New Roman"/>
          <w:sz w:val="24"/>
          <w:szCs w:val="24"/>
        </w:rPr>
        <w:t xml:space="preserve">in this case </w:t>
      </w:r>
      <w:r w:rsidRPr="00DF66BE">
        <w:rPr>
          <w:rFonts w:ascii="Times New Roman" w:hAnsi="Times New Roman" w:cs="Times New Roman"/>
          <w:sz w:val="24"/>
          <w:szCs w:val="24"/>
        </w:rPr>
        <w:t xml:space="preserve">are on MCRO, available at </w:t>
      </w:r>
      <w:hyperlink r:id="rId8" w:history="1">
        <w:r w:rsidRPr="00CA4AE7">
          <w:rPr>
            <w:rStyle w:val="Hyperlink"/>
            <w:rFonts w:ascii="Times New Roman" w:hAnsi="Times New Roman" w:cs="Times New Roman"/>
            <w:sz w:val="24"/>
            <w:szCs w:val="24"/>
          </w:rPr>
          <w:t>https://www.mncourts.gov/Access-Case-Records/MCRO.aspx</w:t>
        </w:r>
      </w:hyperlink>
      <w:r>
        <w:rPr>
          <w:rFonts w:ascii="Times New Roman" w:hAnsi="Times New Roman" w:cs="Times New Roman"/>
          <w:color w:val="FF0000"/>
          <w:sz w:val="24"/>
          <w:szCs w:val="24"/>
        </w:rPr>
        <w:t xml:space="preserve"> .</w:t>
      </w:r>
    </w:p>
  </w:footnote>
  <w:footnote w:id="5">
    <w:p w:rsidR="00247F96" w:rsidRDefault="00247F96">
      <w:pPr>
        <w:pStyle w:val="FootnoteText"/>
      </w:pPr>
    </w:p>
    <w:p w:rsidR="00247F96" w:rsidRPr="00DF66BE" w:rsidRDefault="00247F96">
      <w:pPr>
        <w:pStyle w:val="FootnoteText"/>
        <w:rPr>
          <w:rFonts w:ascii="Times New Roman" w:hAnsi="Times New Roman" w:cs="Times New Roman"/>
          <w:sz w:val="24"/>
          <w:szCs w:val="24"/>
        </w:rPr>
      </w:pPr>
      <w:r w:rsidRPr="00DF66BE">
        <w:rPr>
          <w:rStyle w:val="FootnoteReference"/>
          <w:rFonts w:ascii="Times New Roman" w:hAnsi="Times New Roman" w:cs="Times New Roman"/>
          <w:sz w:val="24"/>
          <w:szCs w:val="24"/>
        </w:rPr>
        <w:footnoteRef/>
      </w:r>
      <w:r w:rsidRPr="00DF66BE">
        <w:rPr>
          <w:rFonts w:ascii="Times New Roman" w:hAnsi="Times New Roman" w:cs="Times New Roman"/>
          <w:sz w:val="24"/>
          <w:szCs w:val="24"/>
        </w:rPr>
        <w:t xml:space="preserve"> See Exhibit 2,</w:t>
      </w:r>
      <w:r>
        <w:rPr>
          <w:rFonts w:ascii="Times New Roman" w:hAnsi="Times New Roman" w:cs="Times New Roman"/>
          <w:sz w:val="24"/>
          <w:szCs w:val="24"/>
        </w:rPr>
        <w:t xml:space="preserve"> pages </w:t>
      </w:r>
      <w:r w:rsidR="00AD40EF">
        <w:rPr>
          <w:rFonts w:ascii="Times New Roman" w:hAnsi="Times New Roman" w:cs="Times New Roman"/>
          <w:sz w:val="24"/>
          <w:szCs w:val="24"/>
        </w:rPr>
        <w:t>1</w:t>
      </w:r>
      <w:r>
        <w:rPr>
          <w:rFonts w:ascii="Times New Roman" w:hAnsi="Times New Roman" w:cs="Times New Roman"/>
          <w:sz w:val="24"/>
          <w:szCs w:val="24"/>
        </w:rPr>
        <w:t>-4,</w:t>
      </w:r>
      <w:r w:rsidR="00EA6C44" w:rsidRPr="00DF66BE">
        <w:rPr>
          <w:rFonts w:ascii="Times New Roman" w:hAnsi="Times New Roman" w:cs="Times New Roman"/>
          <w:sz w:val="24"/>
          <w:szCs w:val="24"/>
        </w:rPr>
        <w:t xml:space="preserve"> </w:t>
      </w:r>
      <w:r w:rsidRPr="00DF66BE">
        <w:rPr>
          <w:rFonts w:ascii="Times New Roman" w:hAnsi="Times New Roman" w:cs="Times New Roman"/>
          <w:sz w:val="24"/>
          <w:szCs w:val="24"/>
        </w:rPr>
        <w:t xml:space="preserve">Affidavit of Nina Grove, dated Nov 4, 2020, </w:t>
      </w:r>
      <w:r w:rsidRPr="00DF66BE">
        <w:rPr>
          <w:rFonts w:ascii="Times New Roman" w:hAnsi="Times New Roman" w:cs="Times New Roman"/>
          <w:i/>
          <w:sz w:val="24"/>
          <w:szCs w:val="24"/>
        </w:rPr>
        <w:t>State by Ellison vs Meldahl</w:t>
      </w:r>
      <w:r w:rsidRPr="00DF66BE">
        <w:rPr>
          <w:rFonts w:ascii="Times New Roman" w:hAnsi="Times New Roman" w:cs="Times New Roman"/>
          <w:sz w:val="24"/>
          <w:szCs w:val="24"/>
        </w:rPr>
        <w:t>, Henn. Cty. Dist. Ct. File No. 27-CV-19-16424.</w:t>
      </w:r>
    </w:p>
    <w:p w:rsidR="00247F96" w:rsidRDefault="00247F96">
      <w:pPr>
        <w:pStyle w:val="FootnoteText"/>
      </w:pPr>
    </w:p>
  </w:footnote>
  <w:footnote w:id="6">
    <w:p w:rsidR="00247F96" w:rsidRPr="002E4318" w:rsidRDefault="00247F96" w:rsidP="00A1175E">
      <w:pPr>
        <w:widowControl w:val="0"/>
        <w:autoSpaceDE w:val="0"/>
        <w:autoSpaceDN w:val="0"/>
        <w:adjustRightInd w:val="0"/>
        <w:spacing w:after="0" w:line="240" w:lineRule="auto"/>
        <w:rPr>
          <w:rFonts w:ascii="Times New Roman" w:hAnsi="Times New Roman" w:cs="Times New Roman"/>
          <w:sz w:val="24"/>
          <w:szCs w:val="24"/>
        </w:rPr>
      </w:pPr>
      <w:r w:rsidRPr="002E4318">
        <w:rPr>
          <w:rStyle w:val="FootnoteReference"/>
          <w:rFonts w:ascii="Times New Roman" w:hAnsi="Times New Roman" w:cs="Times New Roman"/>
          <w:sz w:val="24"/>
          <w:szCs w:val="24"/>
        </w:rPr>
        <w:footnoteRef/>
      </w:r>
      <w:r w:rsidRPr="002E4318">
        <w:rPr>
          <w:rFonts w:ascii="Times New Roman" w:hAnsi="Times New Roman" w:cs="Times New Roman"/>
          <w:sz w:val="24"/>
          <w:szCs w:val="24"/>
        </w:rPr>
        <w:t xml:space="preserve"> </w:t>
      </w:r>
      <w:r>
        <w:rPr>
          <w:rFonts w:ascii="Georgia" w:hAnsi="Georgia" w:cs="Times New Roman"/>
        </w:rPr>
        <w:t>¶26</w:t>
      </w:r>
      <w:r w:rsidRPr="00873A32">
        <w:rPr>
          <w:rFonts w:ascii="Georgia" w:hAnsi="Georgia" w:cs="Times New Roman"/>
        </w:rPr>
        <w:t xml:space="preserve"> </w:t>
      </w:r>
      <w:r>
        <w:rPr>
          <w:rFonts w:ascii="Times New Roman" w:hAnsi="Times New Roman" w:cs="Times New Roman"/>
          <w:sz w:val="24"/>
          <w:szCs w:val="24"/>
        </w:rPr>
        <w:t xml:space="preserve">makes no sense if the tenant is supposed to buy Service Plus but never use it. </w:t>
      </w:r>
      <w:r w:rsidRPr="002E4318">
        <w:rPr>
          <w:rFonts w:ascii="Times New Roman" w:hAnsi="Times New Roman" w:cs="Times New Roman"/>
          <w:sz w:val="24"/>
          <w:szCs w:val="24"/>
        </w:rPr>
        <w:t>Some leases make this</w:t>
      </w:r>
      <w:r>
        <w:rPr>
          <w:rFonts w:ascii="Times New Roman" w:hAnsi="Times New Roman" w:cs="Times New Roman"/>
          <w:sz w:val="24"/>
          <w:szCs w:val="24"/>
        </w:rPr>
        <w:t xml:space="preserve"> use</w:t>
      </w:r>
      <w:r w:rsidRPr="002E4318">
        <w:rPr>
          <w:rFonts w:ascii="Times New Roman" w:hAnsi="Times New Roman" w:cs="Times New Roman"/>
          <w:sz w:val="24"/>
          <w:szCs w:val="24"/>
        </w:rPr>
        <w:t xml:space="preserve"> explicit. E.g. this clause</w:t>
      </w:r>
      <w:r w:rsidR="00404F72">
        <w:rPr>
          <w:rFonts w:ascii="Times New Roman" w:hAnsi="Times New Roman" w:cs="Times New Roman"/>
          <w:sz w:val="24"/>
          <w:szCs w:val="24"/>
        </w:rPr>
        <w:t xml:space="preserve"> in another landlord’s lease</w:t>
      </w:r>
      <w:r w:rsidRPr="002E4318">
        <w:rPr>
          <w:rFonts w:ascii="Times New Roman" w:hAnsi="Times New Roman" w:cs="Times New Roman"/>
          <w:sz w:val="24"/>
          <w:szCs w:val="24"/>
        </w:rPr>
        <w:t>, “Tenant is required to pay for and maintain at all times the Center</w:t>
      </w:r>
      <w:r>
        <w:rPr>
          <w:rFonts w:ascii="Times New Roman" w:hAnsi="Times New Roman" w:cs="Times New Roman"/>
          <w:sz w:val="24"/>
          <w:szCs w:val="24"/>
        </w:rPr>
        <w:t>P</w:t>
      </w:r>
      <w:r w:rsidRPr="002E4318">
        <w:rPr>
          <w:rFonts w:ascii="Times New Roman" w:hAnsi="Times New Roman" w:cs="Times New Roman"/>
          <w:sz w:val="24"/>
          <w:szCs w:val="24"/>
        </w:rPr>
        <w:t>oint Energy Home Service Plus repair plan. Tenant will put repair plan in their name and have the ability/power to call Center</w:t>
      </w:r>
      <w:r>
        <w:rPr>
          <w:rFonts w:ascii="Times New Roman" w:hAnsi="Times New Roman" w:cs="Times New Roman"/>
          <w:sz w:val="24"/>
          <w:szCs w:val="24"/>
        </w:rPr>
        <w:t>P</w:t>
      </w:r>
      <w:r w:rsidRPr="002E4318">
        <w:rPr>
          <w:rFonts w:ascii="Times New Roman" w:hAnsi="Times New Roman" w:cs="Times New Roman"/>
          <w:sz w:val="24"/>
          <w:szCs w:val="24"/>
        </w:rPr>
        <w:t>oint directly should any issue arise with a covered item/appliance. Appliances required to be covered are Fridge, Water Heater, Furnace, Stove, W/D. Maintenance of appliances (excluding catastrophic failure unable to be repaire</w:t>
      </w:r>
      <w:r w:rsidR="00421B3E">
        <w:rPr>
          <w:rFonts w:ascii="Times New Roman" w:hAnsi="Times New Roman" w:cs="Times New Roman"/>
          <w:sz w:val="24"/>
          <w:szCs w:val="24"/>
        </w:rPr>
        <w:t>d) is Tenants’ responsibility.”</w:t>
      </w:r>
    </w:p>
    <w:p w:rsidR="00247F96" w:rsidRDefault="00247F96" w:rsidP="00A1175E">
      <w:pPr>
        <w:pStyle w:val="FootnoteText"/>
      </w:pPr>
    </w:p>
  </w:footnote>
  <w:footnote w:id="7">
    <w:p w:rsidR="00247F96" w:rsidRPr="00DF66BE" w:rsidRDefault="00247F96" w:rsidP="00A1175E">
      <w:pPr>
        <w:pStyle w:val="FootnoteText"/>
        <w:rPr>
          <w:rFonts w:ascii="Times New Roman" w:hAnsi="Times New Roman" w:cs="Times New Roman"/>
          <w:sz w:val="24"/>
          <w:szCs w:val="24"/>
        </w:rPr>
      </w:pPr>
      <w:r w:rsidRPr="00DF66BE">
        <w:rPr>
          <w:rStyle w:val="FootnoteReference"/>
          <w:rFonts w:ascii="Times New Roman" w:hAnsi="Times New Roman" w:cs="Times New Roman"/>
          <w:sz w:val="24"/>
          <w:szCs w:val="24"/>
        </w:rPr>
        <w:footnoteRef/>
      </w:r>
      <w:r w:rsidRPr="00DF66BE">
        <w:rPr>
          <w:rFonts w:ascii="Times New Roman" w:hAnsi="Times New Roman" w:cs="Times New Roman"/>
          <w:sz w:val="24"/>
          <w:szCs w:val="24"/>
        </w:rPr>
        <w:t xml:space="preserve"> Order on Cross Motions for Summary Judgment, </w:t>
      </w:r>
      <w:r w:rsidRPr="00DF66BE">
        <w:rPr>
          <w:rFonts w:ascii="Times New Roman" w:hAnsi="Times New Roman" w:cs="Times New Roman"/>
          <w:i/>
          <w:sz w:val="24"/>
          <w:szCs w:val="24"/>
        </w:rPr>
        <w:t>Ellison vs Meldahl</w:t>
      </w:r>
      <w:r w:rsidRPr="00DF66BE">
        <w:rPr>
          <w:rFonts w:ascii="Times New Roman" w:hAnsi="Times New Roman" w:cs="Times New Roman"/>
          <w:sz w:val="24"/>
          <w:szCs w:val="24"/>
        </w:rPr>
        <w:t>, Henn. Cty. Dist. Ct. File No. 27-CV-19-16424 at 13.</w:t>
      </w:r>
    </w:p>
    <w:p w:rsidR="00247F96" w:rsidRPr="00A1175E" w:rsidRDefault="00247F96" w:rsidP="00A1175E">
      <w:pPr>
        <w:pStyle w:val="FootnoteText"/>
        <w:rPr>
          <w:rFonts w:ascii="Times New Roman" w:hAnsi="Times New Roman" w:cs="Times New Roman"/>
          <w:sz w:val="24"/>
          <w:szCs w:val="24"/>
        </w:rPr>
      </w:pPr>
    </w:p>
  </w:footnote>
  <w:footnote w:id="8">
    <w:p w:rsidR="00247F96" w:rsidRDefault="00247F96" w:rsidP="009768ED">
      <w:pPr>
        <w:pStyle w:val="FootnoteText"/>
      </w:pPr>
    </w:p>
    <w:p w:rsidR="00247F96" w:rsidRPr="00DF66BE" w:rsidRDefault="00247F96" w:rsidP="009768ED">
      <w:pPr>
        <w:pStyle w:val="FootnoteText"/>
        <w:rPr>
          <w:rFonts w:ascii="Times New Roman" w:hAnsi="Times New Roman" w:cs="Times New Roman"/>
          <w:sz w:val="24"/>
          <w:szCs w:val="24"/>
        </w:rPr>
      </w:pPr>
      <w:r w:rsidRPr="00DF66BE">
        <w:rPr>
          <w:rStyle w:val="FootnoteReference"/>
          <w:rFonts w:ascii="Times New Roman" w:hAnsi="Times New Roman" w:cs="Times New Roman"/>
          <w:sz w:val="24"/>
          <w:szCs w:val="24"/>
        </w:rPr>
        <w:footnoteRef/>
      </w:r>
      <w:r w:rsidRPr="00DF66BE">
        <w:rPr>
          <w:rFonts w:ascii="Times New Roman" w:hAnsi="Times New Roman" w:cs="Times New Roman"/>
          <w:sz w:val="24"/>
          <w:szCs w:val="24"/>
        </w:rPr>
        <w:t xml:space="preserve"> See</w:t>
      </w:r>
      <w:r>
        <w:rPr>
          <w:rFonts w:ascii="Times New Roman" w:hAnsi="Times New Roman" w:cs="Times New Roman"/>
          <w:sz w:val="24"/>
          <w:szCs w:val="24"/>
        </w:rPr>
        <w:t xml:space="preserve"> </w:t>
      </w:r>
      <w:r w:rsidRPr="00DF66BE">
        <w:rPr>
          <w:rFonts w:ascii="Times New Roman" w:hAnsi="Times New Roman" w:cs="Times New Roman"/>
          <w:sz w:val="24"/>
          <w:szCs w:val="24"/>
        </w:rPr>
        <w:t xml:space="preserve">Exhibit 2, </w:t>
      </w:r>
      <w:r w:rsidR="00160A02">
        <w:rPr>
          <w:rFonts w:ascii="Times New Roman" w:hAnsi="Times New Roman" w:cs="Times New Roman"/>
          <w:sz w:val="24"/>
          <w:szCs w:val="24"/>
        </w:rPr>
        <w:t xml:space="preserve">page 8, </w:t>
      </w:r>
      <w:r w:rsidRPr="00DF66BE">
        <w:rPr>
          <w:rFonts w:ascii="Times New Roman" w:hAnsi="Times New Roman" w:cs="Times New Roman"/>
          <w:sz w:val="24"/>
          <w:szCs w:val="24"/>
        </w:rPr>
        <w:t xml:space="preserve">Affidavit of Nina Grove, dated Nov 4, 2020, </w:t>
      </w:r>
      <w:r w:rsidRPr="00DF66BE">
        <w:rPr>
          <w:rFonts w:ascii="Times New Roman" w:hAnsi="Times New Roman" w:cs="Times New Roman"/>
          <w:i/>
          <w:sz w:val="24"/>
          <w:szCs w:val="24"/>
        </w:rPr>
        <w:t>State by Ellison vs Meldahl</w:t>
      </w:r>
      <w:r w:rsidRPr="00DF66BE">
        <w:rPr>
          <w:rFonts w:ascii="Times New Roman" w:hAnsi="Times New Roman" w:cs="Times New Roman"/>
          <w:sz w:val="24"/>
          <w:szCs w:val="24"/>
        </w:rPr>
        <w:t>, Henn. Cty. Dist. Ct. File No. 27-CV-19-16424.</w:t>
      </w:r>
    </w:p>
    <w:p w:rsidR="00247F96" w:rsidRDefault="00247F96" w:rsidP="009768ED">
      <w:pPr>
        <w:pStyle w:val="FootnoteText"/>
      </w:pPr>
    </w:p>
  </w:footnote>
  <w:footnote w:id="9">
    <w:p w:rsidR="00247F96" w:rsidRPr="00CB47C5" w:rsidRDefault="00247F96">
      <w:pPr>
        <w:pStyle w:val="FootnoteText"/>
        <w:rPr>
          <w:rFonts w:ascii="Times New Roman" w:hAnsi="Times New Roman" w:cs="Times New Roman"/>
          <w:sz w:val="24"/>
          <w:szCs w:val="24"/>
        </w:rPr>
      </w:pPr>
      <w:r w:rsidRPr="00CB47C5">
        <w:rPr>
          <w:rStyle w:val="FootnoteReference"/>
          <w:rFonts w:ascii="Times New Roman" w:hAnsi="Times New Roman" w:cs="Times New Roman"/>
          <w:sz w:val="24"/>
          <w:szCs w:val="24"/>
        </w:rPr>
        <w:footnoteRef/>
      </w:r>
      <w:r w:rsidRPr="00CB47C5">
        <w:rPr>
          <w:rFonts w:ascii="Times New Roman" w:hAnsi="Times New Roman" w:cs="Times New Roman"/>
          <w:sz w:val="24"/>
          <w:szCs w:val="24"/>
        </w:rPr>
        <w:t xml:space="preserve"> In some of the leases, “¶26</w:t>
      </w:r>
      <w:r>
        <w:rPr>
          <w:rFonts w:ascii="Times New Roman" w:hAnsi="Times New Roman" w:cs="Times New Roman"/>
          <w:sz w:val="24"/>
          <w:szCs w:val="24"/>
        </w:rPr>
        <w:t xml:space="preserve">” </w:t>
      </w:r>
      <w:r w:rsidRPr="00CB47C5">
        <w:rPr>
          <w:rFonts w:ascii="Times New Roman" w:hAnsi="Times New Roman" w:cs="Times New Roman"/>
          <w:sz w:val="24"/>
          <w:szCs w:val="24"/>
        </w:rPr>
        <w:t>is numbered as paragraph 27 but is still the last paragraph.</w:t>
      </w:r>
    </w:p>
    <w:p w:rsidR="00247F96" w:rsidRDefault="00247F96">
      <w:pPr>
        <w:pStyle w:val="FootnoteText"/>
      </w:pPr>
    </w:p>
  </w:footnote>
  <w:footnote w:id="10">
    <w:p w:rsidR="007A078C" w:rsidRPr="0029675D" w:rsidRDefault="00247F96">
      <w:pPr>
        <w:pStyle w:val="FootnoteText"/>
        <w:rPr>
          <w:rFonts w:ascii="Times New Roman" w:hAnsi="Times New Roman" w:cs="Times New Roman"/>
          <w:color w:val="FF0000"/>
          <w:sz w:val="24"/>
          <w:szCs w:val="24"/>
        </w:rPr>
      </w:pPr>
      <w:r w:rsidRPr="0029675D">
        <w:rPr>
          <w:rStyle w:val="FootnoteReference"/>
          <w:rFonts w:ascii="Times New Roman" w:hAnsi="Times New Roman" w:cs="Times New Roman"/>
          <w:sz w:val="24"/>
          <w:szCs w:val="24"/>
        </w:rPr>
        <w:footnoteRef/>
      </w:r>
      <w:r w:rsidRPr="0029675D">
        <w:rPr>
          <w:rFonts w:ascii="Times New Roman" w:hAnsi="Times New Roman" w:cs="Times New Roman"/>
          <w:sz w:val="24"/>
          <w:szCs w:val="24"/>
        </w:rPr>
        <w:t xml:space="preserve"> Compiled </w:t>
      </w:r>
      <w:r>
        <w:rPr>
          <w:rFonts w:ascii="Times New Roman" w:hAnsi="Times New Roman" w:cs="Times New Roman"/>
          <w:sz w:val="24"/>
          <w:szCs w:val="24"/>
        </w:rPr>
        <w:t>at</w:t>
      </w:r>
      <w:r w:rsidRPr="0029675D">
        <w:rPr>
          <w:rFonts w:ascii="Times New Roman" w:hAnsi="Times New Roman" w:cs="Times New Roman"/>
          <w:sz w:val="24"/>
          <w:szCs w:val="24"/>
        </w:rPr>
        <w:t xml:space="preserve"> </w:t>
      </w:r>
      <w:hyperlink r:id="rId9" w:history="1">
        <w:r w:rsidR="007A078C" w:rsidRPr="00B43186">
          <w:rPr>
            <w:rStyle w:val="Hyperlink"/>
            <w:rFonts w:ascii="Times New Roman" w:hAnsi="Times New Roman" w:cs="Times New Roman"/>
            <w:sz w:val="24"/>
            <w:szCs w:val="24"/>
          </w:rPr>
          <w:t>https://birnberglegalwebsite.files.wordpress.com/2021/06/tm-appendix-4-legislative-history-of-1971-minn-laws-ch-219-504.18-.pdf</w:t>
        </w:r>
      </w:hyperlink>
      <w:r w:rsidR="007A078C">
        <w:rPr>
          <w:rFonts w:ascii="Times New Roman" w:hAnsi="Times New Roman" w:cs="Times New Roman"/>
          <w:sz w:val="24"/>
          <w:szCs w:val="24"/>
        </w:rPr>
        <w:t>, Appendix 4</w:t>
      </w:r>
    </w:p>
  </w:footnote>
  <w:footnote w:id="11">
    <w:p w:rsidR="00247F96" w:rsidRDefault="00247F96" w:rsidP="009D2343">
      <w:pPr>
        <w:pStyle w:val="NormalWeb"/>
      </w:pPr>
      <w:r>
        <w:rPr>
          <w:rStyle w:val="FootnoteReference"/>
        </w:rPr>
        <w:footnoteRef/>
      </w:r>
      <w:r>
        <w:t xml:space="preserve"> “Valid” meant “</w:t>
      </w:r>
      <w:r w:rsidRPr="00857992">
        <w:t xml:space="preserve">Of </w:t>
      </w:r>
      <w:r>
        <w:t>binding fo</w:t>
      </w:r>
      <w:r w:rsidRPr="00857992">
        <w:t>rce; legally sufficient or efficacious; authorized</w:t>
      </w:r>
      <w:r>
        <w:t xml:space="preserve"> </w:t>
      </w:r>
      <w:r w:rsidRPr="00857992">
        <w:t>by law. Good or sufficient in point of law</w:t>
      </w:r>
      <w:r>
        <w:t xml:space="preserve">.” </w:t>
      </w:r>
      <w:hyperlink r:id="rId10" w:history="1">
        <w:r w:rsidRPr="001064AB">
          <w:rPr>
            <w:rStyle w:val="Hyperlink"/>
          </w:rPr>
          <w:t>Black’s Law Dictionary (Rev. 4</w:t>
        </w:r>
        <w:r w:rsidRPr="001064AB">
          <w:rPr>
            <w:rStyle w:val="Hyperlink"/>
            <w:vertAlign w:val="superscript"/>
          </w:rPr>
          <w:t>th</w:t>
        </w:r>
        <w:r w:rsidRPr="001064AB">
          <w:rPr>
            <w:rStyle w:val="Hyperlink"/>
          </w:rPr>
          <w:t xml:space="preserve"> ed. 1968) (citations omitted)</w:t>
        </w:r>
      </w:hyperlink>
      <w:r>
        <w:rPr>
          <w:rStyle w:val="Hyperlink"/>
        </w:rPr>
        <w:t>.</w:t>
      </w:r>
      <w:r>
        <w:t xml:space="preserve"> So “valid consideration” meant just that the consideration was enough to form a contract, “something which the law regards as of value." </w:t>
      </w:r>
      <w:hyperlink r:id="rId11" w:history="1">
        <w:r w:rsidRPr="002374FD">
          <w:rPr>
            <w:rStyle w:val="Hyperlink"/>
            <w:i/>
            <w:iCs/>
          </w:rPr>
          <w:t>Estrada v. Hanson,</w:t>
        </w:r>
        <w:r w:rsidRPr="002374FD">
          <w:rPr>
            <w:rStyle w:val="Hyperlink"/>
          </w:rPr>
          <w:t xml:space="preserve"> 215 Minn. 353</w:t>
        </w:r>
        <w:r>
          <w:rPr>
            <w:rStyle w:val="Hyperlink"/>
          </w:rPr>
          <w:t>,356</w:t>
        </w:r>
        <w:r w:rsidRPr="002374FD">
          <w:rPr>
            <w:rStyle w:val="Hyperlink"/>
          </w:rPr>
          <w:t>, 10 N.W.2d 223, 225 (1943)</w:t>
        </w:r>
      </w:hyperlink>
      <w:r>
        <w:t>.</w:t>
      </w:r>
    </w:p>
    <w:p w:rsidR="00247F96" w:rsidRDefault="00247F96">
      <w:pPr>
        <w:pStyle w:val="FootnoteText"/>
      </w:pPr>
    </w:p>
  </w:footnote>
  <w:footnote w:id="12">
    <w:p w:rsidR="00247F96" w:rsidRPr="0038261F" w:rsidRDefault="00247F96" w:rsidP="00B00274">
      <w:pPr>
        <w:rPr>
          <w:rFonts w:ascii="Times New Roman" w:eastAsia="Times New Roman" w:hAnsi="Times New Roman" w:cs="Times New Roman"/>
          <w:sz w:val="24"/>
          <w:szCs w:val="24"/>
        </w:rPr>
      </w:pPr>
      <w:r w:rsidRPr="001064AB">
        <w:rPr>
          <w:rStyle w:val="FootnoteReference"/>
          <w:rFonts w:ascii="Times New Roman" w:hAnsi="Times New Roman" w:cs="Times New Roman"/>
          <w:sz w:val="24"/>
          <w:szCs w:val="24"/>
        </w:rPr>
        <w:footnoteRef/>
      </w:r>
      <w:r w:rsidRPr="001064AB">
        <w:rPr>
          <w:rFonts w:ascii="Times New Roman" w:hAnsi="Times New Roman" w:cs="Times New Roman"/>
          <w:sz w:val="24"/>
          <w:szCs w:val="24"/>
        </w:rPr>
        <w:t xml:space="preserve"> Complaint in </w:t>
      </w:r>
      <w:r w:rsidRPr="00B351B0">
        <w:rPr>
          <w:rFonts w:ascii="Times New Roman" w:hAnsi="Times New Roman" w:cs="Times New Roman"/>
          <w:i/>
          <w:sz w:val="24"/>
          <w:szCs w:val="24"/>
        </w:rPr>
        <w:t>State by Ellison</w:t>
      </w:r>
      <w:r w:rsidRPr="001064AB">
        <w:rPr>
          <w:rFonts w:ascii="Times New Roman" w:hAnsi="Times New Roman" w:cs="Times New Roman"/>
          <w:i/>
          <w:sz w:val="24"/>
          <w:szCs w:val="24"/>
        </w:rPr>
        <w:t xml:space="preserve"> vs Meldahl</w:t>
      </w:r>
      <w:r w:rsidRPr="001064AB">
        <w:rPr>
          <w:rFonts w:ascii="Times New Roman" w:hAnsi="Times New Roman" w:cs="Times New Roman"/>
          <w:sz w:val="24"/>
          <w:szCs w:val="24"/>
        </w:rPr>
        <w:t xml:space="preserve">, Henn. Cty. Dist. Ct. File No. 27-CV-19-16424, at 5.  </w:t>
      </w:r>
      <w:r w:rsidRPr="0038261F">
        <w:rPr>
          <w:rFonts w:ascii="Times New Roman" w:hAnsi="Times New Roman" w:cs="Times New Roman"/>
          <w:sz w:val="24"/>
          <w:szCs w:val="24"/>
        </w:rPr>
        <w:t xml:space="preserve">The CenterPoint </w:t>
      </w:r>
      <w:r>
        <w:rPr>
          <w:rFonts w:ascii="Times New Roman" w:hAnsi="Times New Roman" w:cs="Times New Roman"/>
          <w:sz w:val="24"/>
          <w:szCs w:val="24"/>
        </w:rPr>
        <w:t>Service Plus</w:t>
      </w:r>
      <w:r w:rsidRPr="0038261F">
        <w:rPr>
          <w:rFonts w:ascii="Times New Roman" w:hAnsi="Times New Roman" w:cs="Times New Roman"/>
          <w:sz w:val="24"/>
          <w:szCs w:val="24"/>
        </w:rPr>
        <w:t xml:space="preserve"> website lists the cost of the cost of the Total Repair plan as </w:t>
      </w:r>
      <w:r w:rsidRPr="0038261F">
        <w:rPr>
          <w:rFonts w:ascii="Times New Roman" w:eastAsia="Times New Roman" w:hAnsi="Times New Roman" w:cs="Times New Roman"/>
          <w:sz w:val="24"/>
          <w:szCs w:val="24"/>
        </w:rPr>
        <w:t>$46.95</w:t>
      </w:r>
      <w:r>
        <w:rPr>
          <w:rFonts w:ascii="Times New Roman" w:eastAsia="Times New Roman" w:hAnsi="Times New Roman" w:cs="Times New Roman"/>
          <w:sz w:val="24"/>
          <w:szCs w:val="24"/>
        </w:rPr>
        <w:t>/month</w:t>
      </w:r>
      <w:r w:rsidRPr="0038261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Pr="0038261F">
        <w:rPr>
          <w:rFonts w:ascii="Times New Roman" w:hAnsi="Times New Roman" w:cs="Times New Roman"/>
          <w:sz w:val="24"/>
          <w:szCs w:val="24"/>
        </w:rPr>
        <w:t>the sewer-line add-on as $7.95</w:t>
      </w:r>
      <w:r>
        <w:rPr>
          <w:rFonts w:ascii="Times New Roman" w:hAnsi="Times New Roman" w:cs="Times New Roman"/>
          <w:sz w:val="24"/>
          <w:szCs w:val="24"/>
        </w:rPr>
        <w:t>/month</w:t>
      </w:r>
      <w:r w:rsidRPr="0038261F">
        <w:rPr>
          <w:rFonts w:ascii="Times New Roman" w:hAnsi="Times New Roman" w:cs="Times New Roman"/>
          <w:sz w:val="24"/>
          <w:szCs w:val="24"/>
        </w:rPr>
        <w:t xml:space="preserve"> for a total of $54.90</w:t>
      </w:r>
      <w:r>
        <w:rPr>
          <w:rFonts w:ascii="Times New Roman" w:hAnsi="Times New Roman" w:cs="Times New Roman"/>
          <w:sz w:val="24"/>
          <w:szCs w:val="24"/>
        </w:rPr>
        <w:t>/month</w:t>
      </w:r>
      <w:r w:rsidRPr="0038261F">
        <w:rPr>
          <w:rFonts w:ascii="Times New Roman" w:hAnsi="Times New Roman" w:cs="Times New Roman"/>
          <w:sz w:val="24"/>
          <w:szCs w:val="24"/>
        </w:rPr>
        <w:t>, See</w:t>
      </w:r>
      <w:r w:rsidRPr="0038261F">
        <w:rPr>
          <w:rFonts w:ascii="Times New Roman" w:hAnsi="Times New Roman" w:cs="Times New Roman"/>
          <w:color w:val="FF0000"/>
          <w:sz w:val="24"/>
          <w:szCs w:val="24"/>
        </w:rPr>
        <w:t xml:space="preserve"> </w:t>
      </w:r>
      <w:hyperlink r:id="rId12" w:history="1">
        <w:r w:rsidRPr="0038261F">
          <w:rPr>
            <w:rStyle w:val="Hyperlink"/>
            <w:rFonts w:ascii="Times New Roman" w:hAnsi="Times New Roman" w:cs="Times New Roman"/>
            <w:sz w:val="24"/>
            <w:szCs w:val="24"/>
          </w:rPr>
          <w:t>https://www.centerpointenergy.com/en-us/home-service-plus/plans/total-repair-plan</w:t>
        </w:r>
      </w:hyperlink>
      <w:r w:rsidRPr="0038261F">
        <w:rPr>
          <w:rFonts w:ascii="Times New Roman" w:hAnsi="Times New Roman" w:cs="Times New Roman"/>
          <w:color w:val="FF0000"/>
          <w:sz w:val="24"/>
          <w:szCs w:val="24"/>
        </w:rPr>
        <w:t xml:space="preserve"> </w:t>
      </w:r>
      <w:r w:rsidRPr="006C0B7F">
        <w:rPr>
          <w:rFonts w:ascii="Times New Roman" w:hAnsi="Times New Roman" w:cs="Times New Roman"/>
          <w:sz w:val="24"/>
          <w:szCs w:val="24"/>
        </w:rPr>
        <w:t xml:space="preserve">and </w:t>
      </w:r>
      <w:hyperlink r:id="rId13" w:history="1">
        <w:r w:rsidRPr="0038261F">
          <w:rPr>
            <w:rStyle w:val="Hyperlink"/>
            <w:rFonts w:ascii="Times New Roman" w:hAnsi="Times New Roman" w:cs="Times New Roman"/>
            <w:sz w:val="24"/>
            <w:szCs w:val="24"/>
          </w:rPr>
          <w:t>https://www.centerpointenergy.com/en-us/home-service-plus/plans/main-drain-emergency-cleaning-plan</w:t>
        </w:r>
      </w:hyperlink>
      <w:r w:rsidRPr="0038261F">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 </w:t>
      </w:r>
      <w:r w:rsidRPr="007366E8">
        <w:rPr>
          <w:rFonts w:ascii="Times New Roman" w:hAnsi="Times New Roman" w:cs="Times New Roman"/>
          <w:sz w:val="24"/>
          <w:szCs w:val="24"/>
        </w:rPr>
        <w:t>The AG’s complaint was filed in 2019 so the difference between $53.90 and $54.90 probably reflects CenterPoint’s raising its price to account for inflation.</w:t>
      </w:r>
    </w:p>
    <w:p w:rsidR="00247F96" w:rsidRPr="00F306D6" w:rsidRDefault="00247F96">
      <w:pPr>
        <w:pStyle w:val="FootnoteText"/>
        <w:rPr>
          <w:color w:val="FF0000"/>
        </w:rPr>
      </w:pPr>
      <w:r>
        <w:rPr>
          <w:color w:val="FF0000"/>
        </w:rPr>
        <w:t xml:space="preserve"> </w:t>
      </w:r>
    </w:p>
  </w:footnote>
  <w:footnote w:id="13">
    <w:p w:rsidR="00EA53D1" w:rsidRPr="005523CF" w:rsidRDefault="00EA53D1" w:rsidP="00EA53D1">
      <w:pPr>
        <w:pStyle w:val="FootnoteText"/>
        <w:rPr>
          <w:rFonts w:ascii="Times New Roman" w:hAnsi="Times New Roman" w:cs="Times New Roman"/>
          <w:sz w:val="24"/>
          <w:szCs w:val="24"/>
        </w:rPr>
      </w:pPr>
      <w:r w:rsidRPr="005523CF">
        <w:rPr>
          <w:rStyle w:val="FootnoteReference"/>
          <w:rFonts w:ascii="Times New Roman" w:hAnsi="Times New Roman" w:cs="Times New Roman"/>
          <w:sz w:val="24"/>
          <w:szCs w:val="24"/>
        </w:rPr>
        <w:footnoteRef/>
      </w:r>
      <w:r w:rsidRPr="005523CF">
        <w:rPr>
          <w:rFonts w:ascii="Times New Roman" w:hAnsi="Times New Roman" w:cs="Times New Roman"/>
          <w:sz w:val="24"/>
          <w:szCs w:val="24"/>
        </w:rPr>
        <w:t xml:space="preserve"> The full definition is available via the indicated link on page 89.</w:t>
      </w:r>
    </w:p>
  </w:footnote>
  <w:footnote w:id="14">
    <w:p w:rsidR="00C77007" w:rsidRPr="00C21768" w:rsidRDefault="00C77007" w:rsidP="00C77007">
      <w:pPr>
        <w:pStyle w:val="FootnoteText"/>
        <w:rPr>
          <w:rFonts w:ascii="Times New Roman" w:hAnsi="Times New Roman" w:cs="Times New Roman"/>
          <w:sz w:val="24"/>
          <w:szCs w:val="24"/>
        </w:rPr>
      </w:pPr>
      <w:r w:rsidRPr="00C21768">
        <w:rPr>
          <w:rStyle w:val="FootnoteReference"/>
          <w:rFonts w:ascii="Times New Roman" w:hAnsi="Times New Roman" w:cs="Times New Roman"/>
          <w:sz w:val="24"/>
          <w:szCs w:val="24"/>
        </w:rPr>
        <w:footnoteRef/>
      </w:r>
      <w:r w:rsidRPr="00C21768">
        <w:rPr>
          <w:rFonts w:ascii="Times New Roman" w:hAnsi="Times New Roman" w:cs="Times New Roman"/>
          <w:sz w:val="24"/>
          <w:szCs w:val="24"/>
        </w:rPr>
        <w:t xml:space="preserve">This seems pretty obvious but I also </w:t>
      </w:r>
      <w:r w:rsidRPr="002E1656">
        <w:rPr>
          <w:rFonts w:ascii="Times New Roman" w:hAnsi="Times New Roman" w:cs="Times New Roman"/>
          <w:sz w:val="24"/>
          <w:szCs w:val="24"/>
        </w:rPr>
        <w:t>note the following: A consumer is someone “who buys goods or services for personal, family, or household use, with no intention of resale</w:t>
      </w:r>
      <w:r w:rsidRPr="00944D4A">
        <w:rPr>
          <w:rFonts w:ascii="Times New Roman" w:hAnsi="Times New Roman" w:cs="Times New Roman"/>
          <w:i/>
          <w:sz w:val="24"/>
          <w:szCs w:val="24"/>
        </w:rPr>
        <w:t xml:space="preserve">.” </w:t>
      </w:r>
      <w:hyperlink r:id="rId14" w:history="1">
        <w:r w:rsidRPr="00944D4A">
          <w:rPr>
            <w:rStyle w:val="Hyperlink"/>
            <w:rFonts w:ascii="Times New Roman" w:hAnsi="Times New Roman" w:cs="Times New Roman"/>
            <w:i/>
            <w:sz w:val="24"/>
            <w:szCs w:val="24"/>
          </w:rPr>
          <w:t>Black’s Law Dictionary</w:t>
        </w:r>
        <w:r w:rsidRPr="00944D4A">
          <w:rPr>
            <w:rStyle w:val="Hyperlink"/>
            <w:rFonts w:ascii="Times New Roman" w:hAnsi="Times New Roman" w:cs="Times New Roman"/>
            <w:sz w:val="24"/>
            <w:szCs w:val="24"/>
          </w:rPr>
          <w:t xml:space="preserve"> 395 (11</w:t>
        </w:r>
        <w:r w:rsidRPr="00944D4A">
          <w:rPr>
            <w:rStyle w:val="Hyperlink"/>
            <w:rFonts w:ascii="Times New Roman" w:hAnsi="Times New Roman" w:cs="Times New Roman"/>
            <w:sz w:val="24"/>
            <w:szCs w:val="24"/>
            <w:vertAlign w:val="superscript"/>
          </w:rPr>
          <w:t>th</w:t>
        </w:r>
        <w:r w:rsidRPr="00944D4A">
          <w:rPr>
            <w:rStyle w:val="Hyperlink"/>
            <w:rFonts w:ascii="Times New Roman" w:hAnsi="Times New Roman" w:cs="Times New Roman"/>
            <w:sz w:val="24"/>
            <w:szCs w:val="24"/>
          </w:rPr>
          <w:t xml:space="preserve"> Ed. 2019)</w:t>
        </w:r>
      </w:hyperlink>
      <w:r w:rsidRPr="00944D4A">
        <w:rPr>
          <w:rFonts w:ascii="Times New Roman" w:hAnsi="Times New Roman" w:cs="Times New Roman"/>
          <w:sz w:val="24"/>
          <w:szCs w:val="24"/>
        </w:rPr>
        <w:t xml:space="preserve">. </w:t>
      </w:r>
      <w:r w:rsidRPr="002E1656">
        <w:rPr>
          <w:rFonts w:ascii="Times New Roman" w:hAnsi="Times New Roman" w:cs="Times New Roman"/>
          <w:sz w:val="24"/>
          <w:szCs w:val="24"/>
        </w:rPr>
        <w:t xml:space="preserve">The whole </w:t>
      </w:r>
      <w:r>
        <w:rPr>
          <w:rFonts w:ascii="Times New Roman" w:hAnsi="Times New Roman" w:cs="Times New Roman"/>
          <w:sz w:val="24"/>
          <w:szCs w:val="24"/>
        </w:rPr>
        <w:t>point of section 504B.161 i</w:t>
      </w:r>
      <w:r w:rsidRPr="00C21768">
        <w:rPr>
          <w:rFonts w:ascii="Times New Roman" w:hAnsi="Times New Roman" w:cs="Times New Roman"/>
          <w:sz w:val="24"/>
          <w:szCs w:val="24"/>
        </w:rPr>
        <w:t xml:space="preserve">s that the tenant is buying repair services; </w:t>
      </w:r>
      <w:r w:rsidRPr="004C4C6D">
        <w:rPr>
          <w:rFonts w:ascii="Times New Roman" w:hAnsi="Times New Roman" w:cs="Times New Roman"/>
          <w:i/>
          <w:sz w:val="24"/>
          <w:szCs w:val="24"/>
        </w:rPr>
        <w:t>accord</w:t>
      </w:r>
      <w:r w:rsidRPr="00C21768">
        <w:rPr>
          <w:rFonts w:ascii="Times New Roman" w:hAnsi="Times New Roman" w:cs="Times New Roman"/>
          <w:sz w:val="24"/>
          <w:szCs w:val="24"/>
        </w:rPr>
        <w:t xml:space="preserve">, </w:t>
      </w:r>
      <w:hyperlink r:id="rId15" w:history="1">
        <w:r w:rsidRPr="00C21768">
          <w:rPr>
            <w:rStyle w:val="Hyperlink"/>
            <w:rFonts w:ascii="Times New Roman" w:hAnsi="Times New Roman" w:cs="Times New Roman"/>
            <w:i/>
            <w:iCs/>
            <w:color w:val="1A0DAB"/>
            <w:sz w:val="24"/>
            <w:szCs w:val="24"/>
            <w:shd w:val="clear" w:color="auto" w:fill="F1F1F1"/>
          </w:rPr>
          <w:t>Love v. Amsler,</w:t>
        </w:r>
        <w:r w:rsidRPr="00C21768">
          <w:rPr>
            <w:rStyle w:val="Hyperlink"/>
            <w:rFonts w:ascii="Times New Roman" w:hAnsi="Times New Roman" w:cs="Times New Roman"/>
            <w:color w:val="1A0DAB"/>
            <w:sz w:val="24"/>
            <w:szCs w:val="24"/>
            <w:shd w:val="clear" w:color="auto" w:fill="F1F1F1"/>
          </w:rPr>
          <w:t> 441 N.W.2d 555 (Minn.App.1989)</w:t>
        </w:r>
      </w:hyperlink>
      <w:r w:rsidRPr="00C21768">
        <w:rPr>
          <w:rFonts w:ascii="Times New Roman" w:hAnsi="Times New Roman" w:cs="Times New Roman"/>
          <w:sz w:val="24"/>
          <w:szCs w:val="24"/>
        </w:rPr>
        <w:t xml:space="preserve"> (a residential tenant’s lease was a sale of real estate services). Thus the residential tenant is a consumer. A “consumer-protection” statute is a law “designed to protect consumers against faulty and dangerous goods.” </w:t>
      </w:r>
      <w:hyperlink r:id="rId16" w:history="1">
        <w:r w:rsidRPr="00944D4A">
          <w:rPr>
            <w:rStyle w:val="Hyperlink"/>
            <w:rFonts w:ascii="Times New Roman" w:hAnsi="Times New Roman" w:cs="Times New Roman"/>
            <w:i/>
            <w:sz w:val="24"/>
            <w:szCs w:val="24"/>
          </w:rPr>
          <w:t>Black’s Law Dictionary</w:t>
        </w:r>
        <w:r w:rsidRPr="00944D4A">
          <w:rPr>
            <w:rStyle w:val="Hyperlink"/>
            <w:rFonts w:ascii="Times New Roman" w:hAnsi="Times New Roman" w:cs="Times New Roman"/>
            <w:sz w:val="24"/>
            <w:szCs w:val="24"/>
          </w:rPr>
          <w:t xml:space="preserve"> 396 (11</w:t>
        </w:r>
        <w:r w:rsidRPr="00944D4A">
          <w:rPr>
            <w:rStyle w:val="Hyperlink"/>
            <w:rFonts w:ascii="Times New Roman" w:hAnsi="Times New Roman" w:cs="Times New Roman"/>
            <w:sz w:val="24"/>
            <w:szCs w:val="24"/>
            <w:vertAlign w:val="superscript"/>
          </w:rPr>
          <w:t>th</w:t>
        </w:r>
        <w:r w:rsidRPr="00944D4A">
          <w:rPr>
            <w:rStyle w:val="Hyperlink"/>
            <w:rFonts w:ascii="Times New Roman" w:hAnsi="Times New Roman" w:cs="Times New Roman"/>
            <w:sz w:val="24"/>
            <w:szCs w:val="24"/>
          </w:rPr>
          <w:t xml:space="preserve"> </w:t>
        </w:r>
        <w:r w:rsidR="00FB2202" w:rsidRPr="00944D4A">
          <w:rPr>
            <w:rStyle w:val="Hyperlink"/>
            <w:rFonts w:ascii="Times New Roman" w:hAnsi="Times New Roman" w:cs="Times New Roman"/>
            <w:sz w:val="24"/>
            <w:szCs w:val="24"/>
          </w:rPr>
          <w:t>Ed. 2019)</w:t>
        </w:r>
      </w:hyperlink>
      <w:r w:rsidR="00944D4A">
        <w:rPr>
          <w:rFonts w:ascii="Times New Roman" w:hAnsi="Times New Roman" w:cs="Times New Roman"/>
          <w:sz w:val="24"/>
          <w:szCs w:val="24"/>
        </w:rPr>
        <w:t xml:space="preserve"> </w:t>
      </w:r>
      <w:r w:rsidR="00FB2202" w:rsidRPr="00944D4A">
        <w:rPr>
          <w:rFonts w:ascii="Times New Roman" w:hAnsi="Times New Roman" w:cs="Times New Roman"/>
          <w:sz w:val="24"/>
          <w:szCs w:val="24"/>
        </w:rPr>
        <w:t>.</w:t>
      </w:r>
      <w:r w:rsidRPr="00944D4A">
        <w:rPr>
          <w:rFonts w:ascii="Times New Roman" w:hAnsi="Times New Roman" w:cs="Times New Roman"/>
          <w:sz w:val="24"/>
          <w:szCs w:val="24"/>
        </w:rPr>
        <w:t xml:space="preserve"> </w:t>
      </w:r>
      <w:r>
        <w:rPr>
          <w:rFonts w:ascii="Times New Roman" w:hAnsi="Times New Roman" w:cs="Times New Roman"/>
          <w:sz w:val="24"/>
          <w:szCs w:val="24"/>
        </w:rPr>
        <w:t>S</w:t>
      </w:r>
      <w:r w:rsidRPr="00C21768">
        <w:rPr>
          <w:rFonts w:ascii="Times New Roman" w:hAnsi="Times New Roman" w:cs="Times New Roman"/>
          <w:sz w:val="24"/>
          <w:szCs w:val="24"/>
        </w:rPr>
        <w:t xml:space="preserve">ince section 504B.161 protects the tenant from faulty goods such </w:t>
      </w:r>
      <w:r w:rsidR="00944D4A">
        <w:rPr>
          <w:rFonts w:ascii="Times New Roman" w:hAnsi="Times New Roman" w:cs="Times New Roman"/>
          <w:sz w:val="24"/>
          <w:szCs w:val="24"/>
        </w:rPr>
        <w:t xml:space="preserve">as </w:t>
      </w:r>
      <w:r>
        <w:rPr>
          <w:rFonts w:ascii="Times New Roman" w:hAnsi="Times New Roman" w:cs="Times New Roman"/>
          <w:sz w:val="24"/>
          <w:szCs w:val="24"/>
        </w:rPr>
        <w:t>broken</w:t>
      </w:r>
      <w:r w:rsidRPr="00C21768">
        <w:rPr>
          <w:rFonts w:ascii="Times New Roman" w:hAnsi="Times New Roman" w:cs="Times New Roman"/>
          <w:sz w:val="24"/>
          <w:szCs w:val="24"/>
        </w:rPr>
        <w:t xml:space="preserve"> appliance</w:t>
      </w:r>
      <w:r>
        <w:rPr>
          <w:rFonts w:ascii="Times New Roman" w:hAnsi="Times New Roman" w:cs="Times New Roman"/>
          <w:sz w:val="24"/>
          <w:szCs w:val="24"/>
        </w:rPr>
        <w:t xml:space="preserve">s </w:t>
      </w:r>
      <w:r w:rsidRPr="00C21768">
        <w:rPr>
          <w:rFonts w:ascii="Times New Roman" w:hAnsi="Times New Roman" w:cs="Times New Roman"/>
          <w:sz w:val="24"/>
          <w:szCs w:val="24"/>
        </w:rPr>
        <w:t xml:space="preserve">it is a consumer-protection statute. </w:t>
      </w:r>
      <w:r w:rsidRPr="00C21768">
        <w:rPr>
          <w:rFonts w:ascii="Times New Roman" w:hAnsi="Times New Roman" w:cs="Times New Roman"/>
          <w:i/>
          <w:sz w:val="24"/>
          <w:szCs w:val="24"/>
        </w:rPr>
        <w:t xml:space="preserve">Accord, </w:t>
      </w:r>
      <w:hyperlink r:id="rId17" w:history="1">
        <w:r w:rsidRPr="00944D4A">
          <w:rPr>
            <w:rStyle w:val="Hyperlink"/>
            <w:rFonts w:ascii="Times New Roman" w:hAnsi="Times New Roman" w:cs="Times New Roman"/>
            <w:i/>
            <w:sz w:val="24"/>
            <w:szCs w:val="24"/>
          </w:rPr>
          <w:t>Love v. Amsler</w:t>
        </w:r>
        <w:r w:rsidRPr="00944D4A">
          <w:rPr>
            <w:rStyle w:val="Hyperlink"/>
            <w:rFonts w:ascii="Times New Roman" w:hAnsi="Times New Roman" w:cs="Times New Roman"/>
            <w:sz w:val="24"/>
            <w:szCs w:val="24"/>
          </w:rPr>
          <w:t>, fn. 1</w:t>
        </w:r>
      </w:hyperlink>
      <w:r w:rsidRPr="00C21768">
        <w:rPr>
          <w:rFonts w:ascii="Times New Roman" w:hAnsi="Times New Roman" w:cs="Times New Roman"/>
          <w:sz w:val="24"/>
          <w:szCs w:val="24"/>
        </w:rPr>
        <w:t>.</w:t>
      </w:r>
      <w:r w:rsidR="002E1656">
        <w:rPr>
          <w:rFonts w:ascii="Times New Roman" w:hAnsi="Times New Roman" w:cs="Times New Roman"/>
          <w:sz w:val="24"/>
          <w:szCs w:val="24"/>
        </w:rPr>
        <w:t xml:space="preserve"> (The current version of Black’s rather than the 1968 version is used because thes</w:t>
      </w:r>
      <w:r w:rsidR="00944D4A">
        <w:rPr>
          <w:rFonts w:ascii="Times New Roman" w:hAnsi="Times New Roman" w:cs="Times New Roman"/>
          <w:sz w:val="24"/>
          <w:szCs w:val="24"/>
        </w:rPr>
        <w:t>e are not definitions of words withi</w:t>
      </w:r>
      <w:r w:rsidR="002E1656">
        <w:rPr>
          <w:rFonts w:ascii="Times New Roman" w:hAnsi="Times New Roman" w:cs="Times New Roman"/>
          <w:sz w:val="24"/>
          <w:szCs w:val="24"/>
        </w:rPr>
        <w:t>n Minn. Stat. § 504B.16</w:t>
      </w:r>
      <w:r w:rsidR="00FB2202">
        <w:rPr>
          <w:rFonts w:ascii="Times New Roman" w:hAnsi="Times New Roman" w:cs="Times New Roman"/>
          <w:sz w:val="24"/>
          <w:szCs w:val="24"/>
        </w:rPr>
        <w:t>1</w:t>
      </w:r>
      <w:r w:rsidR="002E1656">
        <w:rPr>
          <w:rFonts w:ascii="Times New Roman" w:hAnsi="Times New Roman" w:cs="Times New Roman"/>
          <w:sz w:val="24"/>
          <w:szCs w:val="24"/>
        </w:rPr>
        <w:t>.)</w:t>
      </w:r>
    </w:p>
    <w:p w:rsidR="00C77007" w:rsidRDefault="00C77007" w:rsidP="00C77007">
      <w:pPr>
        <w:pStyle w:val="FootnoteText"/>
      </w:pPr>
    </w:p>
  </w:footnote>
  <w:footnote w:id="15">
    <w:p w:rsidR="00C77007" w:rsidRPr="00F8406F" w:rsidRDefault="00C77007" w:rsidP="00C77007">
      <w:pPr>
        <w:pStyle w:val="FootnoteText"/>
        <w:rPr>
          <w:rFonts w:ascii="Times New Roman" w:hAnsi="Times New Roman" w:cs="Times New Roman"/>
          <w:color w:val="FF0000"/>
          <w:sz w:val="24"/>
          <w:szCs w:val="24"/>
        </w:rPr>
      </w:pPr>
      <w:r w:rsidRPr="00AE331B">
        <w:rPr>
          <w:rStyle w:val="FootnoteReference"/>
          <w:rFonts w:ascii="Times New Roman" w:hAnsi="Times New Roman" w:cs="Times New Roman"/>
          <w:sz w:val="24"/>
          <w:szCs w:val="24"/>
        </w:rPr>
        <w:footnoteRef/>
      </w:r>
      <w:hyperlink r:id="rId18" w:history="1">
        <w:r w:rsidR="0094326E" w:rsidRPr="00944D4A">
          <w:rPr>
            <w:rStyle w:val="Hyperlink"/>
            <w:rFonts w:ascii="Times New Roman" w:hAnsi="Times New Roman" w:cs="Times New Roman"/>
            <w:i/>
            <w:sz w:val="24"/>
            <w:szCs w:val="24"/>
          </w:rPr>
          <w:t>Black’s Law Dictionary</w:t>
        </w:r>
        <w:r w:rsidR="0094326E" w:rsidRPr="00944D4A">
          <w:rPr>
            <w:rStyle w:val="Hyperlink"/>
            <w:rFonts w:ascii="Times New Roman" w:hAnsi="Times New Roman" w:cs="Times New Roman"/>
            <w:sz w:val="24"/>
            <w:szCs w:val="24"/>
          </w:rPr>
          <w:t xml:space="preserve"> 1705 (11</w:t>
        </w:r>
        <w:r w:rsidR="0094326E" w:rsidRPr="00944D4A">
          <w:rPr>
            <w:rStyle w:val="Hyperlink"/>
            <w:rFonts w:ascii="Times New Roman" w:hAnsi="Times New Roman" w:cs="Times New Roman"/>
            <w:sz w:val="24"/>
            <w:szCs w:val="24"/>
            <w:vertAlign w:val="superscript"/>
          </w:rPr>
          <w:t>th</w:t>
        </w:r>
        <w:r w:rsidR="0094326E" w:rsidRPr="00944D4A">
          <w:rPr>
            <w:rStyle w:val="Hyperlink"/>
            <w:rFonts w:ascii="Times New Roman" w:hAnsi="Times New Roman" w:cs="Times New Roman"/>
            <w:sz w:val="24"/>
            <w:szCs w:val="24"/>
          </w:rPr>
          <w:t xml:space="preserve"> Ed.</w:t>
        </w:r>
        <w:r w:rsidR="00E12E85" w:rsidRPr="00944D4A">
          <w:rPr>
            <w:rStyle w:val="Hyperlink"/>
            <w:rFonts w:ascii="Times New Roman" w:hAnsi="Times New Roman" w:cs="Times New Roman"/>
            <w:sz w:val="24"/>
            <w:szCs w:val="24"/>
          </w:rPr>
          <w:t xml:space="preserve"> 2019); </w:t>
        </w:r>
        <w:r w:rsidR="0094326E" w:rsidRPr="00944D4A">
          <w:rPr>
            <w:rStyle w:val="Hyperlink"/>
            <w:rFonts w:ascii="Times New Roman" w:hAnsi="Times New Roman" w:cs="Times New Roman"/>
            <w:i/>
            <w:sz w:val="24"/>
            <w:szCs w:val="24"/>
            <w:shd w:val="clear" w:color="auto" w:fill="FFFFFF"/>
          </w:rPr>
          <w:t>50 American Jurisprudence</w:t>
        </w:r>
        <w:r w:rsidR="0094326E" w:rsidRPr="00944D4A">
          <w:rPr>
            <w:rStyle w:val="Hyperlink"/>
            <w:rFonts w:ascii="Times New Roman" w:hAnsi="Times New Roman" w:cs="Times New Roman"/>
            <w:sz w:val="24"/>
            <w:szCs w:val="24"/>
            <w:shd w:val="clear" w:color="auto" w:fill="FFFFFF"/>
          </w:rPr>
          <w:t xml:space="preserve">, </w:t>
        </w:r>
        <w:r w:rsidR="0094326E" w:rsidRPr="00944D4A">
          <w:rPr>
            <w:rStyle w:val="Hyperlink"/>
            <w:rFonts w:ascii="Times New Roman" w:hAnsi="Times New Roman" w:cs="Times New Roman"/>
            <w:i/>
            <w:sz w:val="24"/>
            <w:szCs w:val="24"/>
            <w:shd w:val="clear" w:color="auto" w:fill="FFFFFF"/>
          </w:rPr>
          <w:t>Statutes</w:t>
        </w:r>
        <w:r w:rsidR="0094326E" w:rsidRPr="00944D4A">
          <w:rPr>
            <w:rStyle w:val="Hyperlink"/>
            <w:rFonts w:ascii="Times New Roman" w:hAnsi="Times New Roman" w:cs="Times New Roman"/>
            <w:sz w:val="24"/>
            <w:szCs w:val="24"/>
            <w:shd w:val="clear" w:color="auto" w:fill="FFFFFF"/>
          </w:rPr>
          <w:t>, Sec. 15</w:t>
        </w:r>
      </w:hyperlink>
      <w:r w:rsidR="0094326E" w:rsidRPr="00AE331B">
        <w:rPr>
          <w:rFonts w:ascii="Times New Roman" w:hAnsi="Times New Roman" w:cs="Times New Roman"/>
          <w:sz w:val="24"/>
          <w:szCs w:val="24"/>
          <w:shd w:val="clear" w:color="auto" w:fill="FFFFFF"/>
        </w:rPr>
        <w:t>.</w:t>
      </w:r>
      <w:r w:rsidR="0094326E" w:rsidRPr="00AE331B">
        <w:rPr>
          <w:rFonts w:ascii="Times New Roman" w:hAnsi="Times New Roman" w:cs="Times New Roman"/>
          <w:sz w:val="24"/>
          <w:szCs w:val="24"/>
          <w:u w:val="single"/>
          <w:shd w:val="clear" w:color="auto" w:fill="FFFFFF"/>
        </w:rPr>
        <w:t xml:space="preserve"> </w:t>
      </w:r>
      <w:r w:rsidR="004C4C6D">
        <w:rPr>
          <w:rFonts w:ascii="Times New Roman" w:hAnsi="Times New Roman" w:cs="Times New Roman"/>
          <w:sz w:val="24"/>
          <w:szCs w:val="24"/>
          <w:shd w:val="clear" w:color="auto" w:fill="FFFFFF"/>
        </w:rPr>
        <w:t>A Minnesota</w:t>
      </w:r>
      <w:r w:rsidR="00AE331B">
        <w:rPr>
          <w:rFonts w:ascii="Times New Roman" w:hAnsi="Times New Roman" w:cs="Times New Roman"/>
          <w:sz w:val="24"/>
          <w:szCs w:val="24"/>
          <w:shd w:val="clear" w:color="auto" w:fill="FFFFFF"/>
        </w:rPr>
        <w:t xml:space="preserve"> e</w:t>
      </w:r>
      <w:r w:rsidR="0094326E" w:rsidRPr="00AE331B">
        <w:rPr>
          <w:rFonts w:ascii="Times New Roman" w:hAnsi="Times New Roman" w:cs="Times New Roman"/>
          <w:sz w:val="24"/>
          <w:szCs w:val="24"/>
          <w:shd w:val="clear" w:color="auto" w:fill="FFFFFF"/>
        </w:rPr>
        <w:t>xample</w:t>
      </w:r>
      <w:r w:rsidR="00AE331B">
        <w:rPr>
          <w:rFonts w:ascii="Times New Roman" w:hAnsi="Times New Roman" w:cs="Times New Roman"/>
          <w:sz w:val="24"/>
          <w:szCs w:val="24"/>
          <w:shd w:val="clear" w:color="auto" w:fill="FFFFFF"/>
        </w:rPr>
        <w:t xml:space="preserve"> is</w:t>
      </w:r>
      <w:r w:rsidR="0094326E" w:rsidRPr="00AE331B">
        <w:rPr>
          <w:rFonts w:ascii="Times New Roman" w:hAnsi="Times New Roman" w:cs="Times New Roman"/>
          <w:sz w:val="24"/>
          <w:szCs w:val="24"/>
          <w:u w:val="single"/>
          <w:shd w:val="clear" w:color="auto" w:fill="FFFFFF"/>
        </w:rPr>
        <w:t xml:space="preserve"> </w:t>
      </w:r>
      <w:hyperlink r:id="rId19" w:history="1">
        <w:r w:rsidR="0094326E" w:rsidRPr="001936A2">
          <w:rPr>
            <w:rStyle w:val="Hyperlink"/>
            <w:rFonts w:ascii="Times New Roman" w:hAnsi="Times New Roman" w:cs="Times New Roman"/>
            <w:i/>
            <w:sz w:val="24"/>
            <w:szCs w:val="24"/>
            <w:shd w:val="clear" w:color="auto" w:fill="FAFAFA"/>
          </w:rPr>
          <w:t>Blankholm v. Fearing</w:t>
        </w:r>
        <w:r w:rsidR="0094326E" w:rsidRPr="001936A2">
          <w:rPr>
            <w:rStyle w:val="Hyperlink"/>
            <w:rFonts w:ascii="Times New Roman" w:hAnsi="Times New Roman" w:cs="Times New Roman"/>
            <w:sz w:val="24"/>
            <w:szCs w:val="24"/>
            <w:shd w:val="clear" w:color="auto" w:fill="FAFAFA"/>
          </w:rPr>
          <w:t>, 222 Minn. 51, 22 N.W.2d 853 (1946</w:t>
        </w:r>
        <w:r w:rsidR="0094326E">
          <w:rPr>
            <w:rStyle w:val="Hyperlink"/>
            <w:rFonts w:ascii="Times New Roman" w:hAnsi="Times New Roman" w:cs="Times New Roman"/>
            <w:sz w:val="24"/>
            <w:szCs w:val="24"/>
            <w:shd w:val="clear" w:color="auto" w:fill="FAFAFA"/>
          </w:rPr>
          <w:t>) (statute governing venue of lawsuit</w:t>
        </w:r>
        <w:r w:rsidR="0094326E" w:rsidRPr="001936A2">
          <w:rPr>
            <w:rStyle w:val="Hyperlink"/>
            <w:rFonts w:ascii="Times New Roman" w:hAnsi="Times New Roman" w:cs="Times New Roman"/>
            <w:sz w:val="24"/>
            <w:szCs w:val="24"/>
            <w:shd w:val="clear" w:color="auto" w:fill="FAFAFA"/>
          </w:rPr>
          <w:t>)</w:t>
        </w:r>
      </w:hyperlink>
      <w:r w:rsidR="0094326E" w:rsidRPr="001936A2">
        <w:rPr>
          <w:rFonts w:ascii="Times New Roman" w:hAnsi="Times New Roman" w:cs="Times New Roman"/>
          <w:color w:val="212529"/>
          <w:sz w:val="24"/>
          <w:szCs w:val="24"/>
          <w:shd w:val="clear" w:color="auto" w:fill="FAFAFA"/>
        </w:rPr>
        <w:t>.</w:t>
      </w:r>
    </w:p>
    <w:p w:rsidR="00C77007" w:rsidRDefault="00F8406F" w:rsidP="00F8406F">
      <w:pPr>
        <w:pStyle w:val="FootnoteText"/>
        <w:tabs>
          <w:tab w:val="left" w:pos="5745"/>
        </w:tabs>
      </w:pPr>
      <w:r>
        <w:tab/>
      </w:r>
    </w:p>
  </w:footnote>
  <w:footnote w:id="16">
    <w:p w:rsidR="00145349" w:rsidRPr="002E1656" w:rsidRDefault="00140248" w:rsidP="00145349">
      <w:pPr>
        <w:shd w:val="clear" w:color="auto" w:fill="FFFFFF"/>
        <w:spacing w:after="0" w:line="273" w:lineRule="atLeast"/>
        <w:rPr>
          <w:rFonts w:ascii="Times New Roman" w:eastAsia="Times New Roman" w:hAnsi="Times New Roman" w:cs="Times New Roman"/>
          <w:sz w:val="24"/>
          <w:szCs w:val="24"/>
        </w:rPr>
      </w:pPr>
      <w:r w:rsidRPr="002E1656">
        <w:rPr>
          <w:rStyle w:val="FootnoteReference"/>
          <w:rFonts w:ascii="Times New Roman" w:hAnsi="Times New Roman" w:cs="Times New Roman"/>
          <w:sz w:val="24"/>
          <w:szCs w:val="24"/>
        </w:rPr>
        <w:footnoteRef/>
      </w:r>
      <w:hyperlink r:id="rId20" w:history="1">
        <w:r w:rsidRPr="00944D4A">
          <w:rPr>
            <w:rStyle w:val="Hyperlink"/>
            <w:rFonts w:ascii="Times New Roman" w:hAnsi="Times New Roman" w:cs="Times New Roman"/>
            <w:i/>
            <w:sz w:val="24"/>
            <w:szCs w:val="24"/>
          </w:rPr>
          <w:t>Black’s Law Dictionary</w:t>
        </w:r>
        <w:r w:rsidRPr="00944D4A">
          <w:rPr>
            <w:rStyle w:val="Hyperlink"/>
            <w:rFonts w:ascii="Times New Roman" w:hAnsi="Times New Roman" w:cs="Times New Roman"/>
            <w:sz w:val="24"/>
            <w:szCs w:val="24"/>
          </w:rPr>
          <w:t xml:space="preserve"> 1705 (11</w:t>
        </w:r>
        <w:r w:rsidRPr="00944D4A">
          <w:rPr>
            <w:rStyle w:val="Hyperlink"/>
            <w:rFonts w:ascii="Times New Roman" w:hAnsi="Times New Roman" w:cs="Times New Roman"/>
            <w:sz w:val="24"/>
            <w:szCs w:val="24"/>
            <w:vertAlign w:val="superscript"/>
          </w:rPr>
          <w:t>th</w:t>
        </w:r>
        <w:r w:rsidRPr="00944D4A">
          <w:rPr>
            <w:rStyle w:val="Hyperlink"/>
            <w:rFonts w:ascii="Times New Roman" w:hAnsi="Times New Roman" w:cs="Times New Roman"/>
            <w:sz w:val="24"/>
            <w:szCs w:val="24"/>
          </w:rPr>
          <w:t xml:space="preserve"> Ed. 2019)</w:t>
        </w:r>
        <w:r w:rsidR="00E12E85" w:rsidRPr="00944D4A">
          <w:rPr>
            <w:rStyle w:val="Hyperlink"/>
            <w:rFonts w:ascii="Times New Roman" w:hAnsi="Times New Roman" w:cs="Times New Roman"/>
            <w:sz w:val="24"/>
            <w:szCs w:val="24"/>
          </w:rPr>
          <w:t>;</w:t>
        </w:r>
        <w:r w:rsidRPr="00944D4A">
          <w:rPr>
            <w:rStyle w:val="Hyperlink"/>
            <w:rFonts w:ascii="Times New Roman" w:hAnsi="Times New Roman" w:cs="Times New Roman"/>
            <w:sz w:val="24"/>
            <w:szCs w:val="24"/>
          </w:rPr>
          <w:t xml:space="preserve"> </w:t>
        </w:r>
        <w:r w:rsidRPr="00944D4A">
          <w:rPr>
            <w:rStyle w:val="Hyperlink"/>
            <w:rFonts w:ascii="Times New Roman" w:hAnsi="Times New Roman" w:cs="Times New Roman"/>
            <w:sz w:val="24"/>
            <w:szCs w:val="24"/>
            <w:shd w:val="clear" w:color="auto" w:fill="FFFFFF"/>
          </w:rPr>
          <w:t xml:space="preserve">50 </w:t>
        </w:r>
        <w:r w:rsidRPr="00944D4A">
          <w:rPr>
            <w:rStyle w:val="Hyperlink"/>
            <w:rFonts w:ascii="Times New Roman" w:hAnsi="Times New Roman" w:cs="Times New Roman"/>
            <w:i/>
            <w:sz w:val="24"/>
            <w:szCs w:val="24"/>
            <w:shd w:val="clear" w:color="auto" w:fill="FFFFFF"/>
          </w:rPr>
          <w:t>American Jurisprudence</w:t>
        </w:r>
        <w:r w:rsidRPr="00944D4A">
          <w:rPr>
            <w:rStyle w:val="Hyperlink"/>
            <w:rFonts w:ascii="Times New Roman" w:hAnsi="Times New Roman" w:cs="Times New Roman"/>
            <w:sz w:val="24"/>
            <w:szCs w:val="24"/>
            <w:shd w:val="clear" w:color="auto" w:fill="FFFFFF"/>
          </w:rPr>
          <w:t>, Statutes, Sec. 15</w:t>
        </w:r>
      </w:hyperlink>
      <w:r w:rsidR="004C4C6D">
        <w:rPr>
          <w:rFonts w:ascii="Times New Roman" w:hAnsi="Times New Roman" w:cs="Times New Roman"/>
          <w:sz w:val="24"/>
          <w:szCs w:val="24"/>
          <w:shd w:val="clear" w:color="auto" w:fill="FFFFFF"/>
        </w:rPr>
        <w:t xml:space="preserve">. Minnesota </w:t>
      </w:r>
      <w:r w:rsidR="003E4D66">
        <w:rPr>
          <w:rFonts w:ascii="Times New Roman" w:hAnsi="Times New Roman" w:cs="Times New Roman"/>
          <w:sz w:val="24"/>
          <w:szCs w:val="24"/>
          <w:shd w:val="clear" w:color="auto" w:fill="FFFFFF"/>
        </w:rPr>
        <w:t>e</w:t>
      </w:r>
      <w:r w:rsidRPr="002E1656">
        <w:rPr>
          <w:rFonts w:ascii="Times New Roman" w:hAnsi="Times New Roman" w:cs="Times New Roman"/>
          <w:sz w:val="24"/>
          <w:szCs w:val="24"/>
          <w:shd w:val="clear" w:color="auto" w:fill="FFFFFF"/>
        </w:rPr>
        <w:t>xamples are</w:t>
      </w:r>
      <w:r w:rsidR="00145349" w:rsidRPr="002E1656">
        <w:rPr>
          <w:rFonts w:ascii="Times New Roman" w:hAnsi="Times New Roman" w:cs="Times New Roman"/>
          <w:sz w:val="24"/>
          <w:szCs w:val="24"/>
          <w:shd w:val="clear" w:color="auto" w:fill="FFFFFF"/>
        </w:rPr>
        <w:t xml:space="preserve"> </w:t>
      </w:r>
      <w:hyperlink r:id="rId21" w:history="1">
        <w:r w:rsidR="00145349" w:rsidRPr="002E1656">
          <w:rPr>
            <w:rStyle w:val="Hyperlink"/>
            <w:rFonts w:ascii="Times New Roman" w:hAnsi="Times New Roman" w:cs="Times New Roman"/>
            <w:i/>
            <w:sz w:val="24"/>
            <w:szCs w:val="24"/>
          </w:rPr>
          <w:t>Radermacher v. St. Paul City Ry. Co</w:t>
        </w:r>
        <w:r w:rsidR="00145349" w:rsidRPr="002E1656">
          <w:rPr>
            <w:rStyle w:val="Hyperlink"/>
            <w:rFonts w:ascii="Times New Roman" w:hAnsi="Times New Roman" w:cs="Times New Roman"/>
            <w:sz w:val="24"/>
            <w:szCs w:val="24"/>
          </w:rPr>
          <w:t xml:space="preserve">, </w:t>
        </w:r>
        <w:r w:rsidR="00145349" w:rsidRPr="002E1656">
          <w:rPr>
            <w:rStyle w:val="Hyperlink"/>
            <w:rFonts w:ascii="Times New Roman" w:eastAsia="Times New Roman" w:hAnsi="Times New Roman" w:cs="Times New Roman"/>
            <w:sz w:val="24"/>
            <w:szCs w:val="24"/>
          </w:rPr>
          <w:t>214 Minn. 427, 8 N.W.2d 466 (1943)</w:t>
        </w:r>
        <w:r w:rsidR="002E1656" w:rsidRPr="002E1656">
          <w:rPr>
            <w:rStyle w:val="Hyperlink"/>
            <w:rFonts w:ascii="Times New Roman" w:eastAsia="Times New Roman" w:hAnsi="Times New Roman" w:cs="Times New Roman"/>
            <w:sz w:val="24"/>
            <w:szCs w:val="24"/>
          </w:rPr>
          <w:t xml:space="preserve"> (statute extends workers’ compensation coverage)</w:t>
        </w:r>
      </w:hyperlink>
      <w:r w:rsidR="002E1656" w:rsidRPr="002E1656">
        <w:rPr>
          <w:rFonts w:ascii="Times New Roman" w:eastAsia="Times New Roman" w:hAnsi="Times New Roman" w:cs="Times New Roman"/>
          <w:sz w:val="24"/>
          <w:szCs w:val="24"/>
        </w:rPr>
        <w:t xml:space="preserve"> </w:t>
      </w:r>
      <w:r w:rsidR="00145349" w:rsidRPr="002E1656">
        <w:rPr>
          <w:rFonts w:ascii="Times New Roman" w:eastAsia="Times New Roman" w:hAnsi="Times New Roman" w:cs="Times New Roman"/>
          <w:sz w:val="24"/>
          <w:szCs w:val="24"/>
        </w:rPr>
        <w:t xml:space="preserve">and </w:t>
      </w:r>
      <w:hyperlink r:id="rId22" w:history="1">
        <w:r w:rsidR="002E1656" w:rsidRPr="002E1656">
          <w:rPr>
            <w:rStyle w:val="Hyperlink"/>
            <w:rFonts w:ascii="Times New Roman" w:hAnsi="Times New Roman" w:cs="Times New Roman"/>
            <w:i/>
            <w:sz w:val="24"/>
            <w:szCs w:val="24"/>
            <w:shd w:val="clear" w:color="auto" w:fill="FAFAFA"/>
          </w:rPr>
          <w:t>Christensen v. Hennepin Transportation Co. Inc.,</w:t>
        </w:r>
        <w:r w:rsidR="002E1656" w:rsidRPr="002E1656">
          <w:rPr>
            <w:rStyle w:val="Hyperlink"/>
            <w:sz w:val="27"/>
            <w:szCs w:val="27"/>
            <w:shd w:val="clear" w:color="auto" w:fill="FAFAFA"/>
          </w:rPr>
          <w:t xml:space="preserve"> </w:t>
        </w:r>
        <w:r w:rsidR="00145349" w:rsidRPr="002E1656">
          <w:rPr>
            <w:rStyle w:val="Hyperlink"/>
            <w:rFonts w:ascii="Times New Roman" w:eastAsia="Times New Roman" w:hAnsi="Times New Roman" w:cs="Times New Roman"/>
            <w:sz w:val="24"/>
            <w:szCs w:val="24"/>
          </w:rPr>
          <w:t>215 Minn. 394, 10 N.W.2d 406 (Minn. 1943)</w:t>
        </w:r>
        <w:r w:rsidR="002E1656" w:rsidRPr="002E1656">
          <w:rPr>
            <w:rStyle w:val="Hyperlink"/>
            <w:rFonts w:ascii="Times New Roman" w:eastAsia="Times New Roman" w:hAnsi="Times New Roman" w:cs="Times New Roman"/>
            <w:sz w:val="24"/>
            <w:szCs w:val="24"/>
          </w:rPr>
          <w:t>(statute extends liability to owner for negligence of driver who borrowed car).</w:t>
        </w:r>
      </w:hyperlink>
    </w:p>
    <w:p w:rsidR="00140248" w:rsidRDefault="00140248" w:rsidP="00140248">
      <w:pPr>
        <w:pStyle w:val="FootnoteText"/>
        <w:tabs>
          <w:tab w:val="left" w:pos="5745"/>
        </w:tabs>
      </w:pPr>
    </w:p>
  </w:footnote>
  <w:footnote w:id="17">
    <w:p w:rsidR="003850EE" w:rsidRPr="004C4C6D" w:rsidRDefault="003850EE">
      <w:pPr>
        <w:pStyle w:val="FootnoteText"/>
        <w:rPr>
          <w:rFonts w:ascii="Times New Roman" w:hAnsi="Times New Roman" w:cs="Times New Roman"/>
          <w:sz w:val="24"/>
          <w:szCs w:val="24"/>
        </w:rPr>
      </w:pPr>
      <w:r w:rsidRPr="000624E4">
        <w:rPr>
          <w:rStyle w:val="FootnoteReference"/>
          <w:rFonts w:ascii="Times New Roman" w:hAnsi="Times New Roman" w:cs="Times New Roman"/>
          <w:sz w:val="24"/>
          <w:szCs w:val="24"/>
        </w:rPr>
        <w:footnoteRef/>
      </w:r>
      <w:r w:rsidRPr="000624E4">
        <w:rPr>
          <w:rFonts w:ascii="Times New Roman" w:hAnsi="Times New Roman" w:cs="Times New Roman"/>
          <w:sz w:val="24"/>
          <w:szCs w:val="24"/>
        </w:rPr>
        <w:t xml:space="preserve"> </w:t>
      </w:r>
      <w:hyperlink r:id="rId23" w:tgtFrame="_blank" w:history="1">
        <w:r w:rsidR="00524339" w:rsidRPr="000624E4">
          <w:rPr>
            <w:rStyle w:val="Hyperlink"/>
            <w:rFonts w:ascii="Times New Roman" w:hAnsi="Times New Roman" w:cs="Times New Roman"/>
            <w:i/>
            <w:iCs/>
            <w:color w:val="1A0DAB"/>
            <w:sz w:val="24"/>
            <w:szCs w:val="24"/>
            <w:shd w:val="clear" w:color="auto" w:fill="FFFFFF"/>
          </w:rPr>
          <w:t>Lacks v City of New York</w:t>
        </w:r>
        <w:r w:rsidR="00524339" w:rsidRPr="000624E4">
          <w:rPr>
            <w:rStyle w:val="Hyperlink"/>
            <w:rFonts w:ascii="Times New Roman" w:hAnsi="Times New Roman" w:cs="Times New Roman"/>
            <w:color w:val="1A0DAB"/>
            <w:sz w:val="24"/>
            <w:szCs w:val="24"/>
            <w:shd w:val="clear" w:color="auto" w:fill="FFFFFF"/>
          </w:rPr>
          <w:t>, 156 Misc 2d 749, 751-752 (N.Y. Cty</w:t>
        </w:r>
        <w:r w:rsidR="000624E4" w:rsidRPr="000624E4">
          <w:rPr>
            <w:rStyle w:val="Hyperlink"/>
            <w:rFonts w:ascii="Times New Roman" w:hAnsi="Times New Roman" w:cs="Times New Roman"/>
            <w:color w:val="1A0DAB"/>
            <w:sz w:val="24"/>
            <w:szCs w:val="24"/>
            <w:shd w:val="clear" w:color="auto" w:fill="FFFFFF"/>
          </w:rPr>
          <w:t>.</w:t>
        </w:r>
        <w:r w:rsidR="00524339" w:rsidRPr="000624E4">
          <w:rPr>
            <w:rStyle w:val="Hyperlink"/>
            <w:rFonts w:ascii="Times New Roman" w:hAnsi="Times New Roman" w:cs="Times New Roman"/>
            <w:color w:val="1A0DAB"/>
            <w:sz w:val="24"/>
            <w:szCs w:val="24"/>
            <w:shd w:val="clear" w:color="auto" w:fill="FFFFFF"/>
          </w:rPr>
          <w:t xml:space="preserve"> Sup. Ct. 1992)</w:t>
        </w:r>
      </w:hyperlink>
      <w:r w:rsidR="000624E4" w:rsidRPr="000624E4">
        <w:rPr>
          <w:rFonts w:ascii="Times New Roman" w:hAnsi="Times New Roman" w:cs="Times New Roman"/>
          <w:sz w:val="24"/>
          <w:szCs w:val="24"/>
        </w:rPr>
        <w:t xml:space="preserve">; </w:t>
      </w:r>
      <w:hyperlink r:id="rId24" w:history="1">
        <w:r w:rsidR="000624E4" w:rsidRPr="000624E4">
          <w:rPr>
            <w:rStyle w:val="Hyperlink"/>
            <w:rFonts w:ascii="Times New Roman" w:hAnsi="Times New Roman" w:cs="Times New Roman"/>
            <w:i/>
            <w:iCs/>
            <w:sz w:val="24"/>
            <w:szCs w:val="24"/>
            <w:shd w:val="clear" w:color="auto" w:fill="FFFFFF"/>
          </w:rPr>
          <w:t>Leris Realty Corp. v Robbins</w:t>
        </w:r>
        <w:r w:rsidR="000624E4" w:rsidRPr="000624E4">
          <w:rPr>
            <w:rStyle w:val="Hyperlink"/>
            <w:rFonts w:ascii="Times New Roman" w:hAnsi="Times New Roman" w:cs="Times New Roman"/>
            <w:sz w:val="24"/>
            <w:szCs w:val="24"/>
            <w:shd w:val="clear" w:color="auto" w:fill="FFFFFF"/>
          </w:rPr>
          <w:t>, 95 Misc 2d 712,714-715 (N.Y. Cty Civ. Ct. 1978)</w:t>
        </w:r>
      </w:hyperlink>
      <w:r w:rsidR="000624E4" w:rsidRPr="000624E4">
        <w:rPr>
          <w:rFonts w:ascii="Times New Roman" w:hAnsi="Times New Roman" w:cs="Times New Roman"/>
          <w:color w:val="222222"/>
          <w:sz w:val="24"/>
          <w:szCs w:val="24"/>
          <w:shd w:val="clear" w:color="auto" w:fill="FFFFFF"/>
        </w:rPr>
        <w:t>; and</w:t>
      </w:r>
      <w:r w:rsidR="000624E4" w:rsidRPr="000624E4">
        <w:rPr>
          <w:rFonts w:ascii="Times New Roman" w:hAnsi="Times New Roman" w:cs="Times New Roman"/>
          <w:sz w:val="24"/>
          <w:szCs w:val="24"/>
        </w:rPr>
        <w:t xml:space="preserve"> </w:t>
      </w:r>
      <w:hyperlink r:id="rId25" w:history="1">
        <w:r w:rsidR="000624E4" w:rsidRPr="000624E4">
          <w:rPr>
            <w:rStyle w:val="Hyperlink"/>
            <w:rFonts w:ascii="Times New Roman" w:hAnsi="Times New Roman" w:cs="Times New Roman"/>
            <w:i/>
            <w:iCs/>
            <w:sz w:val="24"/>
            <w:szCs w:val="24"/>
            <w:shd w:val="clear" w:color="auto" w:fill="FFFFFF"/>
          </w:rPr>
          <w:t>Anderson v.</w:t>
        </w:r>
        <w:r w:rsidR="000624E4" w:rsidRPr="000624E4">
          <w:rPr>
            <w:rStyle w:val="Hyperlink"/>
            <w:rFonts w:ascii="Times New Roman" w:hAnsi="Times New Roman" w:cs="Times New Roman"/>
            <w:sz w:val="24"/>
            <w:szCs w:val="24"/>
            <w:shd w:val="clear" w:color="auto" w:fill="FFFFFF"/>
          </w:rPr>
          <w:t> </w:t>
        </w:r>
        <w:r w:rsidR="000624E4" w:rsidRPr="000624E4">
          <w:rPr>
            <w:rStyle w:val="Hyperlink"/>
            <w:rFonts w:ascii="Times New Roman" w:hAnsi="Times New Roman" w:cs="Times New Roman"/>
            <w:i/>
            <w:iCs/>
            <w:sz w:val="24"/>
            <w:szCs w:val="24"/>
            <w:shd w:val="clear" w:color="auto" w:fill="FFFFFF"/>
          </w:rPr>
          <w:t>Ballard,</w:t>
        </w:r>
        <w:r w:rsidR="000624E4" w:rsidRPr="000624E4">
          <w:rPr>
            <w:rStyle w:val="Hyperlink"/>
            <w:rFonts w:ascii="Times New Roman" w:hAnsi="Times New Roman" w:cs="Times New Roman"/>
            <w:sz w:val="24"/>
            <w:szCs w:val="24"/>
            <w:shd w:val="clear" w:color="auto" w:fill="FFFFFF"/>
          </w:rPr>
          <w:t> 6th Dist. Lucas No. L-10-007, 2010-Ohio-3926, ¶39</w:t>
        </w:r>
      </w:hyperlink>
      <w:r w:rsidR="000624E4" w:rsidRPr="000624E4">
        <w:rPr>
          <w:rFonts w:ascii="Times New Roman" w:hAnsi="Times New Roman" w:cs="Times New Roman"/>
          <w:color w:val="222222"/>
          <w:sz w:val="24"/>
          <w:szCs w:val="24"/>
          <w:shd w:val="clear" w:color="auto" w:fill="FFFFFF"/>
        </w:rPr>
        <w:t>.</w:t>
      </w:r>
    </w:p>
    <w:p w:rsidR="000624E4" w:rsidRDefault="000624E4">
      <w:pPr>
        <w:pStyle w:val="FootnoteText"/>
      </w:pPr>
    </w:p>
  </w:footnote>
  <w:footnote w:id="18">
    <w:p w:rsidR="006801BA" w:rsidRDefault="006801BA" w:rsidP="006801BA">
      <w:pPr>
        <w:pStyle w:val="FootnoteText"/>
        <w:rPr>
          <w:rFonts w:ascii="Times New Roman" w:hAnsi="Times New Roman" w:cs="Times New Roman"/>
          <w:sz w:val="24"/>
          <w:szCs w:val="24"/>
        </w:rPr>
      </w:pPr>
      <w:r w:rsidRPr="0029675D">
        <w:rPr>
          <w:rStyle w:val="FootnoteReference"/>
          <w:rFonts w:ascii="Times New Roman" w:hAnsi="Times New Roman" w:cs="Times New Roman"/>
          <w:sz w:val="24"/>
          <w:szCs w:val="24"/>
        </w:rPr>
        <w:footnoteRef/>
      </w:r>
      <w:r w:rsidRPr="0029675D">
        <w:rPr>
          <w:rFonts w:ascii="Times New Roman" w:hAnsi="Times New Roman" w:cs="Times New Roman"/>
          <w:sz w:val="24"/>
          <w:szCs w:val="24"/>
        </w:rPr>
        <w:t xml:space="preserve"> Compiled </w:t>
      </w:r>
      <w:r w:rsidR="00C57019">
        <w:rPr>
          <w:rFonts w:ascii="Times New Roman" w:hAnsi="Times New Roman" w:cs="Times New Roman"/>
          <w:sz w:val="24"/>
          <w:szCs w:val="24"/>
        </w:rPr>
        <w:t>at</w:t>
      </w:r>
      <w:r w:rsidR="00C57019" w:rsidRPr="0029675D">
        <w:rPr>
          <w:rFonts w:ascii="Times New Roman" w:hAnsi="Times New Roman" w:cs="Times New Roman"/>
          <w:sz w:val="24"/>
          <w:szCs w:val="24"/>
        </w:rPr>
        <w:t xml:space="preserve"> </w:t>
      </w:r>
      <w:hyperlink r:id="rId26" w:history="1">
        <w:r w:rsidR="00C57019" w:rsidRPr="00B43186">
          <w:rPr>
            <w:rStyle w:val="Hyperlink"/>
            <w:rFonts w:ascii="Times New Roman" w:hAnsi="Times New Roman" w:cs="Times New Roman"/>
            <w:sz w:val="24"/>
            <w:szCs w:val="24"/>
          </w:rPr>
          <w:t>https://birnberglegalwebsite.files.wordpress.com/2021/06/tm-appendix-4-legislative-history-of-1971-minn-laws-ch-219-504.18-.pdf</w:t>
        </w:r>
      </w:hyperlink>
      <w:r w:rsidR="00C57019">
        <w:rPr>
          <w:rFonts w:ascii="Times New Roman" w:hAnsi="Times New Roman" w:cs="Times New Roman"/>
          <w:sz w:val="24"/>
          <w:szCs w:val="24"/>
        </w:rPr>
        <w:t>, Appendix 4</w:t>
      </w:r>
    </w:p>
    <w:p w:rsidR="006801BA" w:rsidRPr="0029675D" w:rsidRDefault="006801BA" w:rsidP="006801BA">
      <w:pPr>
        <w:pStyle w:val="FootnoteText"/>
        <w:rPr>
          <w:rFonts w:ascii="Times New Roman" w:hAnsi="Times New Roman" w:cs="Times New Roman"/>
          <w:color w:val="FF0000"/>
          <w:sz w:val="24"/>
          <w:szCs w:val="24"/>
        </w:rPr>
      </w:pPr>
    </w:p>
  </w:footnote>
  <w:footnote w:id="19">
    <w:p w:rsidR="00247F96" w:rsidRDefault="00247F96">
      <w:pPr>
        <w:pStyle w:val="FootnoteText"/>
        <w:rPr>
          <w:rFonts w:ascii="Times New Roman" w:hAnsi="Times New Roman" w:cs="Times New Roman"/>
          <w:sz w:val="24"/>
          <w:szCs w:val="24"/>
        </w:rPr>
      </w:pPr>
      <w:r w:rsidRPr="00B84506">
        <w:rPr>
          <w:rStyle w:val="FootnoteReference"/>
          <w:rFonts w:ascii="Times New Roman" w:hAnsi="Times New Roman" w:cs="Times New Roman"/>
          <w:sz w:val="24"/>
          <w:szCs w:val="24"/>
        </w:rPr>
        <w:footnoteRef/>
      </w:r>
      <w:r w:rsidRPr="00B84506">
        <w:rPr>
          <w:rFonts w:ascii="Times New Roman" w:hAnsi="Times New Roman" w:cs="Times New Roman"/>
          <w:sz w:val="24"/>
          <w:szCs w:val="24"/>
        </w:rPr>
        <w:t xml:space="preserve"> </w:t>
      </w:r>
      <w:r w:rsidR="00384BDE">
        <w:rPr>
          <w:rFonts w:ascii="Times New Roman" w:hAnsi="Times New Roman" w:cs="Times New Roman"/>
          <w:sz w:val="24"/>
          <w:szCs w:val="24"/>
        </w:rPr>
        <w:t>Footnote 13 in the prior version of this essay said that there were</w:t>
      </w:r>
      <w:r w:rsidRPr="00B84506">
        <w:rPr>
          <w:rFonts w:ascii="Times New Roman" w:hAnsi="Times New Roman" w:cs="Times New Roman"/>
          <w:sz w:val="24"/>
          <w:szCs w:val="24"/>
        </w:rPr>
        <w:t xml:space="preserve"> still two items I plan</w:t>
      </w:r>
      <w:r w:rsidR="00384BDE">
        <w:rPr>
          <w:rFonts w:ascii="Times New Roman" w:hAnsi="Times New Roman" w:cs="Times New Roman"/>
          <w:sz w:val="24"/>
          <w:szCs w:val="24"/>
        </w:rPr>
        <w:t>ned</w:t>
      </w:r>
      <w:r w:rsidRPr="00B84506">
        <w:rPr>
          <w:rFonts w:ascii="Times New Roman" w:hAnsi="Times New Roman" w:cs="Times New Roman"/>
          <w:sz w:val="24"/>
          <w:szCs w:val="24"/>
        </w:rPr>
        <w:t xml:space="preserve"> to look at once I can get an appointment at the Gale Library </w:t>
      </w:r>
      <w:r w:rsidR="00384BDE">
        <w:rPr>
          <w:rFonts w:ascii="Times New Roman" w:hAnsi="Times New Roman" w:cs="Times New Roman"/>
          <w:sz w:val="24"/>
          <w:szCs w:val="24"/>
        </w:rPr>
        <w:t xml:space="preserve">of the Minnesota History Museum. I did so on June 4, 2021. </w:t>
      </w:r>
      <w:r w:rsidR="002459F0">
        <w:rPr>
          <w:rFonts w:ascii="Times New Roman" w:hAnsi="Times New Roman" w:cs="Times New Roman"/>
          <w:sz w:val="24"/>
          <w:szCs w:val="24"/>
        </w:rPr>
        <w:t xml:space="preserve">Box 151.F.11.7B, the </w:t>
      </w:r>
      <w:r w:rsidR="00384BDE">
        <w:rPr>
          <w:rFonts w:ascii="Times New Roman" w:hAnsi="Times New Roman" w:cs="Times New Roman"/>
          <w:sz w:val="24"/>
          <w:szCs w:val="24"/>
        </w:rPr>
        <w:t xml:space="preserve">one possible hopeful box </w:t>
      </w:r>
      <w:r w:rsidR="00384BDE" w:rsidRPr="00B84506">
        <w:rPr>
          <w:rFonts w:ascii="Times New Roman" w:hAnsi="Times New Roman" w:cs="Times New Roman"/>
          <w:sz w:val="24"/>
          <w:szCs w:val="24"/>
        </w:rPr>
        <w:t xml:space="preserve">of Senator </w:t>
      </w:r>
      <w:r w:rsidR="00384BDE">
        <w:rPr>
          <w:rFonts w:ascii="Times New Roman" w:hAnsi="Times New Roman" w:cs="Times New Roman"/>
          <w:sz w:val="24"/>
          <w:szCs w:val="24"/>
        </w:rPr>
        <w:t>Nick Coleman’s files</w:t>
      </w:r>
      <w:r w:rsidR="002459F0">
        <w:rPr>
          <w:rFonts w:ascii="Times New Roman" w:hAnsi="Times New Roman" w:cs="Times New Roman"/>
          <w:sz w:val="24"/>
          <w:szCs w:val="24"/>
        </w:rPr>
        <w:t xml:space="preserve"> (f</w:t>
      </w:r>
      <w:r w:rsidR="00384BDE">
        <w:rPr>
          <w:rFonts w:ascii="Times New Roman" w:hAnsi="Times New Roman" w:cs="Times New Roman"/>
          <w:sz w:val="24"/>
          <w:szCs w:val="24"/>
        </w:rPr>
        <w:t>rom the right years and with a file labeled “Housing”</w:t>
      </w:r>
      <w:r w:rsidR="002459F0">
        <w:rPr>
          <w:rFonts w:ascii="Times New Roman" w:hAnsi="Times New Roman" w:cs="Times New Roman"/>
          <w:sz w:val="24"/>
          <w:szCs w:val="24"/>
        </w:rPr>
        <w:t xml:space="preserve">) </w:t>
      </w:r>
      <w:r w:rsidR="00384BDE">
        <w:rPr>
          <w:rFonts w:ascii="Times New Roman" w:hAnsi="Times New Roman" w:cs="Times New Roman"/>
          <w:sz w:val="24"/>
          <w:szCs w:val="24"/>
        </w:rPr>
        <w:t xml:space="preserve">had nothing re 1971 SF 502. Box </w:t>
      </w:r>
      <w:r w:rsidR="00384BDE" w:rsidRPr="00384BDE">
        <w:rPr>
          <w:rFonts w:ascii="Times New Roman" w:hAnsi="Times New Roman" w:cs="Times New Roman"/>
          <w:bCs/>
          <w:color w:val="222222"/>
          <w:sz w:val="24"/>
          <w:szCs w:val="24"/>
          <w:shd w:val="clear" w:color="auto" w:fill="FFFFFF"/>
        </w:rPr>
        <w:t>129.C.1.9B</w:t>
      </w:r>
      <w:r w:rsidR="00384BDE">
        <w:rPr>
          <w:rFonts w:ascii="Helvetica" w:hAnsi="Helvetica" w:cs="Helvetica"/>
          <w:b/>
          <w:bCs/>
          <w:color w:val="222222"/>
          <w:shd w:val="clear" w:color="auto" w:fill="FFFFFF"/>
        </w:rPr>
        <w:t> </w:t>
      </w:r>
      <w:r w:rsidR="00384BDE">
        <w:rPr>
          <w:rFonts w:ascii="Times New Roman" w:hAnsi="Times New Roman" w:cs="Times New Roman"/>
          <w:sz w:val="24"/>
          <w:szCs w:val="24"/>
        </w:rPr>
        <w:t xml:space="preserve">did have </w:t>
      </w:r>
      <w:r w:rsidRPr="00B84506">
        <w:rPr>
          <w:rFonts w:ascii="Times New Roman" w:hAnsi="Times New Roman" w:cs="Times New Roman"/>
          <w:sz w:val="24"/>
          <w:szCs w:val="24"/>
        </w:rPr>
        <w:t>committee minutes</w:t>
      </w:r>
      <w:r w:rsidR="00384BDE">
        <w:rPr>
          <w:rFonts w:ascii="Times New Roman" w:hAnsi="Times New Roman" w:cs="Times New Roman"/>
          <w:sz w:val="24"/>
          <w:szCs w:val="24"/>
        </w:rPr>
        <w:t xml:space="preserve"> and other committee materials for the </w:t>
      </w:r>
      <w:r w:rsidRPr="00B84506">
        <w:rPr>
          <w:rFonts w:ascii="Times New Roman" w:hAnsi="Times New Roman" w:cs="Times New Roman"/>
          <w:sz w:val="24"/>
          <w:szCs w:val="24"/>
        </w:rPr>
        <w:t xml:space="preserve">Senate </w:t>
      </w:r>
      <w:r w:rsidR="00384BDE">
        <w:rPr>
          <w:rFonts w:ascii="Times New Roman" w:hAnsi="Times New Roman" w:cs="Times New Roman"/>
          <w:sz w:val="24"/>
          <w:szCs w:val="24"/>
        </w:rPr>
        <w:t xml:space="preserve">Judiciary Committee for the relevant period. However, there was no mention of </w:t>
      </w:r>
      <w:r w:rsidRPr="00B84506">
        <w:rPr>
          <w:rFonts w:ascii="Times New Roman" w:hAnsi="Times New Roman" w:cs="Times New Roman"/>
          <w:sz w:val="24"/>
          <w:szCs w:val="24"/>
        </w:rPr>
        <w:t>1971 SF 502</w:t>
      </w:r>
      <w:r w:rsidR="00384BDE">
        <w:rPr>
          <w:rFonts w:ascii="Times New Roman" w:hAnsi="Times New Roman" w:cs="Times New Roman"/>
          <w:sz w:val="24"/>
          <w:szCs w:val="24"/>
        </w:rPr>
        <w:t xml:space="preserve">. </w:t>
      </w:r>
      <w:r w:rsidR="00384BDE" w:rsidRPr="00384BDE">
        <w:rPr>
          <w:rFonts w:ascii="Times New Roman" w:hAnsi="Times New Roman" w:cs="Times New Roman"/>
          <w:sz w:val="24"/>
          <w:szCs w:val="24"/>
          <w:u w:val="single"/>
        </w:rPr>
        <w:t>And</w:t>
      </w:r>
      <w:r w:rsidR="00384BDE">
        <w:rPr>
          <w:rFonts w:ascii="Times New Roman" w:hAnsi="Times New Roman" w:cs="Times New Roman"/>
          <w:sz w:val="24"/>
          <w:szCs w:val="24"/>
        </w:rPr>
        <w:t>, there were indeed no materials from any of the subcommittee meetings. Since Rep. Berg stated in the House Judiciary Committee hearing that his amendment conformed to the amendment made to the companion file in the Senate “</w:t>
      </w:r>
      <w:r w:rsidR="00384BDE" w:rsidRPr="00384BDE">
        <w:rPr>
          <w:rFonts w:ascii="Times New Roman" w:hAnsi="Times New Roman" w:cs="Times New Roman"/>
          <w:sz w:val="24"/>
          <w:szCs w:val="24"/>
          <w:u w:val="single"/>
        </w:rPr>
        <w:t>sub</w:t>
      </w:r>
      <w:r w:rsidR="00384BDE">
        <w:rPr>
          <w:rFonts w:ascii="Times New Roman" w:hAnsi="Times New Roman" w:cs="Times New Roman"/>
          <w:sz w:val="24"/>
          <w:szCs w:val="24"/>
        </w:rPr>
        <w:t>committee”, it seem likely that any paper record of that subcommittee’s hearing of 1971 SF 502 are no longer available.</w:t>
      </w:r>
      <w:r w:rsidRPr="00B84506">
        <w:rPr>
          <w:rFonts w:ascii="Times New Roman" w:hAnsi="Times New Roman" w:cs="Times New Roman"/>
          <w:sz w:val="24"/>
          <w:szCs w:val="24"/>
        </w:rPr>
        <w:t>.</w:t>
      </w:r>
    </w:p>
    <w:p w:rsidR="00247F96" w:rsidRPr="00B84506" w:rsidRDefault="00247F96">
      <w:pPr>
        <w:pStyle w:val="FootnoteText"/>
        <w:rPr>
          <w:rFonts w:ascii="Times New Roman" w:hAnsi="Times New Roman" w:cs="Times New Roman"/>
          <w:sz w:val="24"/>
          <w:szCs w:val="24"/>
        </w:rPr>
      </w:pPr>
    </w:p>
  </w:footnote>
  <w:footnote w:id="20">
    <w:p w:rsidR="00247F96" w:rsidRPr="00A1175E" w:rsidRDefault="00247F96" w:rsidP="00F02C60">
      <w:pPr>
        <w:pStyle w:val="FootnoteText"/>
        <w:rPr>
          <w:rFonts w:ascii="Times New Roman" w:hAnsi="Times New Roman" w:cs="Times New Roman"/>
          <w:sz w:val="24"/>
          <w:szCs w:val="24"/>
        </w:rPr>
      </w:pPr>
      <w:r w:rsidRPr="00DF66BE">
        <w:rPr>
          <w:rStyle w:val="FootnoteReference"/>
          <w:rFonts w:ascii="Times New Roman" w:hAnsi="Times New Roman" w:cs="Times New Roman"/>
          <w:sz w:val="24"/>
          <w:szCs w:val="24"/>
        </w:rPr>
        <w:footnoteRef/>
      </w:r>
      <w:r w:rsidRPr="00DF66BE">
        <w:rPr>
          <w:rFonts w:ascii="Times New Roman" w:hAnsi="Times New Roman" w:cs="Times New Roman"/>
          <w:sz w:val="24"/>
          <w:szCs w:val="24"/>
        </w:rPr>
        <w:t xml:space="preserve"> Order on Cross Motions for Summary Judgment, </w:t>
      </w:r>
      <w:r w:rsidRPr="00DF66BE">
        <w:rPr>
          <w:rFonts w:ascii="Times New Roman" w:hAnsi="Times New Roman" w:cs="Times New Roman"/>
          <w:i/>
          <w:sz w:val="24"/>
          <w:szCs w:val="24"/>
        </w:rPr>
        <w:t>Ellison vs Meldahl</w:t>
      </w:r>
      <w:r w:rsidRPr="00DF66BE">
        <w:rPr>
          <w:rFonts w:ascii="Times New Roman" w:hAnsi="Times New Roman" w:cs="Times New Roman"/>
          <w:sz w:val="24"/>
          <w:szCs w:val="24"/>
        </w:rPr>
        <w:t>, Henn. Cty. Dist. Ct. File No. 27-CV-19-16424 at 3</w:t>
      </w:r>
      <w:r w:rsidR="00650132">
        <w:rPr>
          <w:rFonts w:ascii="Times New Roman" w:hAnsi="Times New Roman" w:cs="Times New Roman"/>
          <w:sz w:val="24"/>
          <w:szCs w:val="24"/>
        </w:rPr>
        <w:t>-4, footnote 4</w:t>
      </w:r>
      <w:r w:rsidRPr="00DF66BE">
        <w:rPr>
          <w:rFonts w:ascii="Times New Roman" w:hAnsi="Times New Roman" w:cs="Times New Roman"/>
          <w:sz w:val="24"/>
          <w:szCs w:val="24"/>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90CA1316"/>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B6F"/>
    <w:rsid w:val="00003596"/>
    <w:rsid w:val="000222C2"/>
    <w:rsid w:val="00035246"/>
    <w:rsid w:val="0004598E"/>
    <w:rsid w:val="000624E4"/>
    <w:rsid w:val="0008579F"/>
    <w:rsid w:val="00091E95"/>
    <w:rsid w:val="000948A1"/>
    <w:rsid w:val="000B18B0"/>
    <w:rsid w:val="000B2B21"/>
    <w:rsid w:val="000B2D69"/>
    <w:rsid w:val="000C140A"/>
    <w:rsid w:val="000C779F"/>
    <w:rsid w:val="000D604D"/>
    <w:rsid w:val="000E6370"/>
    <w:rsid w:val="000F2193"/>
    <w:rsid w:val="000F5366"/>
    <w:rsid w:val="001064AB"/>
    <w:rsid w:val="00132ADC"/>
    <w:rsid w:val="00140248"/>
    <w:rsid w:val="00145349"/>
    <w:rsid w:val="00160A02"/>
    <w:rsid w:val="001719AE"/>
    <w:rsid w:val="00177CDE"/>
    <w:rsid w:val="001936A2"/>
    <w:rsid w:val="001B305D"/>
    <w:rsid w:val="001B7A45"/>
    <w:rsid w:val="001C5D25"/>
    <w:rsid w:val="001D1A39"/>
    <w:rsid w:val="001D3FC3"/>
    <w:rsid w:val="001E2322"/>
    <w:rsid w:val="001F2332"/>
    <w:rsid w:val="001F7029"/>
    <w:rsid w:val="00204131"/>
    <w:rsid w:val="00205B17"/>
    <w:rsid w:val="00215B1B"/>
    <w:rsid w:val="002165F6"/>
    <w:rsid w:val="00222829"/>
    <w:rsid w:val="002237D5"/>
    <w:rsid w:val="00231E4E"/>
    <w:rsid w:val="0024510A"/>
    <w:rsid w:val="002459F0"/>
    <w:rsid w:val="00247F96"/>
    <w:rsid w:val="00253AB6"/>
    <w:rsid w:val="00264D50"/>
    <w:rsid w:val="002700BE"/>
    <w:rsid w:val="002722DC"/>
    <w:rsid w:val="0029101B"/>
    <w:rsid w:val="00292C63"/>
    <w:rsid w:val="0029675D"/>
    <w:rsid w:val="002A501B"/>
    <w:rsid w:val="002E115B"/>
    <w:rsid w:val="002E1656"/>
    <w:rsid w:val="002E4318"/>
    <w:rsid w:val="002F4F7D"/>
    <w:rsid w:val="00311248"/>
    <w:rsid w:val="0036195B"/>
    <w:rsid w:val="0038261F"/>
    <w:rsid w:val="00384BDE"/>
    <w:rsid w:val="003850EE"/>
    <w:rsid w:val="00393B7A"/>
    <w:rsid w:val="003A1170"/>
    <w:rsid w:val="003A5A12"/>
    <w:rsid w:val="003B0327"/>
    <w:rsid w:val="003B5D94"/>
    <w:rsid w:val="003D2F5C"/>
    <w:rsid w:val="003E36FA"/>
    <w:rsid w:val="003E4D66"/>
    <w:rsid w:val="003E7D7A"/>
    <w:rsid w:val="00402614"/>
    <w:rsid w:val="00404F72"/>
    <w:rsid w:val="00416876"/>
    <w:rsid w:val="00421B3E"/>
    <w:rsid w:val="00426BE5"/>
    <w:rsid w:val="00443D41"/>
    <w:rsid w:val="00446C43"/>
    <w:rsid w:val="00461FCC"/>
    <w:rsid w:val="00492E6C"/>
    <w:rsid w:val="0049624C"/>
    <w:rsid w:val="004C4C6D"/>
    <w:rsid w:val="004E5D01"/>
    <w:rsid w:val="004F0C50"/>
    <w:rsid w:val="00500D9A"/>
    <w:rsid w:val="00524339"/>
    <w:rsid w:val="00532164"/>
    <w:rsid w:val="00535AA2"/>
    <w:rsid w:val="00542BCF"/>
    <w:rsid w:val="00544B93"/>
    <w:rsid w:val="005523CF"/>
    <w:rsid w:val="005559D0"/>
    <w:rsid w:val="0057445F"/>
    <w:rsid w:val="005749B4"/>
    <w:rsid w:val="005A1313"/>
    <w:rsid w:val="005A3210"/>
    <w:rsid w:val="005A6D28"/>
    <w:rsid w:val="005B474F"/>
    <w:rsid w:val="005D0F9E"/>
    <w:rsid w:val="005D1B1E"/>
    <w:rsid w:val="005D2D2C"/>
    <w:rsid w:val="005D47B6"/>
    <w:rsid w:val="005D4B6E"/>
    <w:rsid w:val="005E263B"/>
    <w:rsid w:val="005F5E21"/>
    <w:rsid w:val="00631A72"/>
    <w:rsid w:val="006428D6"/>
    <w:rsid w:val="00650132"/>
    <w:rsid w:val="0066496E"/>
    <w:rsid w:val="00677752"/>
    <w:rsid w:val="006801BA"/>
    <w:rsid w:val="00683BCC"/>
    <w:rsid w:val="00686FC1"/>
    <w:rsid w:val="00695ED0"/>
    <w:rsid w:val="006A1543"/>
    <w:rsid w:val="006A2DFE"/>
    <w:rsid w:val="006A4FCB"/>
    <w:rsid w:val="006A537A"/>
    <w:rsid w:val="006A656C"/>
    <w:rsid w:val="006C0B7F"/>
    <w:rsid w:val="00724598"/>
    <w:rsid w:val="00734258"/>
    <w:rsid w:val="007366E8"/>
    <w:rsid w:val="0075147A"/>
    <w:rsid w:val="007530F3"/>
    <w:rsid w:val="00775C29"/>
    <w:rsid w:val="00777FC7"/>
    <w:rsid w:val="00796314"/>
    <w:rsid w:val="007A078C"/>
    <w:rsid w:val="007B2605"/>
    <w:rsid w:val="007C2637"/>
    <w:rsid w:val="007D66AB"/>
    <w:rsid w:val="007E07C9"/>
    <w:rsid w:val="007E156A"/>
    <w:rsid w:val="007E5452"/>
    <w:rsid w:val="007E6D34"/>
    <w:rsid w:val="007F1B8F"/>
    <w:rsid w:val="007F229A"/>
    <w:rsid w:val="007F2638"/>
    <w:rsid w:val="00800E96"/>
    <w:rsid w:val="0080723B"/>
    <w:rsid w:val="00807F93"/>
    <w:rsid w:val="00820583"/>
    <w:rsid w:val="008219D8"/>
    <w:rsid w:val="00824CE9"/>
    <w:rsid w:val="00827CA4"/>
    <w:rsid w:val="00831CAA"/>
    <w:rsid w:val="00833D42"/>
    <w:rsid w:val="00841AE0"/>
    <w:rsid w:val="00873A32"/>
    <w:rsid w:val="0087495A"/>
    <w:rsid w:val="00881172"/>
    <w:rsid w:val="008974C6"/>
    <w:rsid w:val="008A5BCF"/>
    <w:rsid w:val="008C0071"/>
    <w:rsid w:val="008D0AB2"/>
    <w:rsid w:val="008D5DA7"/>
    <w:rsid w:val="008D69B3"/>
    <w:rsid w:val="008F03CD"/>
    <w:rsid w:val="00926264"/>
    <w:rsid w:val="0093018A"/>
    <w:rsid w:val="00942D75"/>
    <w:rsid w:val="0094326E"/>
    <w:rsid w:val="00944D4A"/>
    <w:rsid w:val="0094704A"/>
    <w:rsid w:val="00954CAE"/>
    <w:rsid w:val="009618E9"/>
    <w:rsid w:val="00974306"/>
    <w:rsid w:val="009768ED"/>
    <w:rsid w:val="009A15E6"/>
    <w:rsid w:val="009B0F67"/>
    <w:rsid w:val="009C7E58"/>
    <w:rsid w:val="009D2040"/>
    <w:rsid w:val="009D2343"/>
    <w:rsid w:val="009D3A45"/>
    <w:rsid w:val="009E6B6F"/>
    <w:rsid w:val="009F1AC1"/>
    <w:rsid w:val="009F74D8"/>
    <w:rsid w:val="009F7D8B"/>
    <w:rsid w:val="00A05DBE"/>
    <w:rsid w:val="00A10491"/>
    <w:rsid w:val="00A1175E"/>
    <w:rsid w:val="00A318FB"/>
    <w:rsid w:val="00A31D0E"/>
    <w:rsid w:val="00A403A3"/>
    <w:rsid w:val="00A44864"/>
    <w:rsid w:val="00A4794E"/>
    <w:rsid w:val="00A714BE"/>
    <w:rsid w:val="00A84F88"/>
    <w:rsid w:val="00A9207D"/>
    <w:rsid w:val="00A97B0B"/>
    <w:rsid w:val="00AA086A"/>
    <w:rsid w:val="00AA620B"/>
    <w:rsid w:val="00AB2E12"/>
    <w:rsid w:val="00AB3BBC"/>
    <w:rsid w:val="00AB64C4"/>
    <w:rsid w:val="00AD40EF"/>
    <w:rsid w:val="00AD7847"/>
    <w:rsid w:val="00AE331B"/>
    <w:rsid w:val="00AF4827"/>
    <w:rsid w:val="00B00274"/>
    <w:rsid w:val="00B03136"/>
    <w:rsid w:val="00B06011"/>
    <w:rsid w:val="00B079AB"/>
    <w:rsid w:val="00B229B1"/>
    <w:rsid w:val="00B32D8A"/>
    <w:rsid w:val="00B34821"/>
    <w:rsid w:val="00B351B0"/>
    <w:rsid w:val="00B377E4"/>
    <w:rsid w:val="00B565CF"/>
    <w:rsid w:val="00B56B9B"/>
    <w:rsid w:val="00B64CEF"/>
    <w:rsid w:val="00B754D0"/>
    <w:rsid w:val="00B84506"/>
    <w:rsid w:val="00BA01E0"/>
    <w:rsid w:val="00BB1CE2"/>
    <w:rsid w:val="00BB6D70"/>
    <w:rsid w:val="00BC62AB"/>
    <w:rsid w:val="00BD408A"/>
    <w:rsid w:val="00BE1261"/>
    <w:rsid w:val="00BF7176"/>
    <w:rsid w:val="00C043BC"/>
    <w:rsid w:val="00C049EF"/>
    <w:rsid w:val="00C1249F"/>
    <w:rsid w:val="00C21768"/>
    <w:rsid w:val="00C246D1"/>
    <w:rsid w:val="00C344E4"/>
    <w:rsid w:val="00C35982"/>
    <w:rsid w:val="00C459B7"/>
    <w:rsid w:val="00C55821"/>
    <w:rsid w:val="00C57019"/>
    <w:rsid w:val="00C57276"/>
    <w:rsid w:val="00C653A2"/>
    <w:rsid w:val="00C6578C"/>
    <w:rsid w:val="00C77007"/>
    <w:rsid w:val="00C81BD4"/>
    <w:rsid w:val="00C8302F"/>
    <w:rsid w:val="00C92908"/>
    <w:rsid w:val="00C92D0B"/>
    <w:rsid w:val="00CA3125"/>
    <w:rsid w:val="00CB47C5"/>
    <w:rsid w:val="00CD02D2"/>
    <w:rsid w:val="00CD221C"/>
    <w:rsid w:val="00CD3B5E"/>
    <w:rsid w:val="00CD3FAC"/>
    <w:rsid w:val="00CE3D9F"/>
    <w:rsid w:val="00CE5BC6"/>
    <w:rsid w:val="00D15E30"/>
    <w:rsid w:val="00D20278"/>
    <w:rsid w:val="00D24938"/>
    <w:rsid w:val="00D565F1"/>
    <w:rsid w:val="00D5695F"/>
    <w:rsid w:val="00D658BA"/>
    <w:rsid w:val="00D66E45"/>
    <w:rsid w:val="00D768B2"/>
    <w:rsid w:val="00D8051E"/>
    <w:rsid w:val="00D94007"/>
    <w:rsid w:val="00DA30F1"/>
    <w:rsid w:val="00DA3D97"/>
    <w:rsid w:val="00DC0826"/>
    <w:rsid w:val="00DC2D02"/>
    <w:rsid w:val="00DD37C3"/>
    <w:rsid w:val="00DD3991"/>
    <w:rsid w:val="00DF66BE"/>
    <w:rsid w:val="00E12E85"/>
    <w:rsid w:val="00E21D8E"/>
    <w:rsid w:val="00E24E99"/>
    <w:rsid w:val="00E25BD4"/>
    <w:rsid w:val="00E26C56"/>
    <w:rsid w:val="00E271D8"/>
    <w:rsid w:val="00E5758E"/>
    <w:rsid w:val="00E619D4"/>
    <w:rsid w:val="00E83347"/>
    <w:rsid w:val="00E847DD"/>
    <w:rsid w:val="00E94F64"/>
    <w:rsid w:val="00E97DE9"/>
    <w:rsid w:val="00EA53D1"/>
    <w:rsid w:val="00EA6C44"/>
    <w:rsid w:val="00EB0340"/>
    <w:rsid w:val="00EB0664"/>
    <w:rsid w:val="00EC0C7A"/>
    <w:rsid w:val="00EC31DF"/>
    <w:rsid w:val="00F02C60"/>
    <w:rsid w:val="00F22A29"/>
    <w:rsid w:val="00F2359E"/>
    <w:rsid w:val="00F23CB3"/>
    <w:rsid w:val="00F306D6"/>
    <w:rsid w:val="00F32927"/>
    <w:rsid w:val="00F37157"/>
    <w:rsid w:val="00F4445A"/>
    <w:rsid w:val="00F60A26"/>
    <w:rsid w:val="00F62322"/>
    <w:rsid w:val="00F75FB4"/>
    <w:rsid w:val="00F8406F"/>
    <w:rsid w:val="00F85710"/>
    <w:rsid w:val="00F85C3A"/>
    <w:rsid w:val="00F867A7"/>
    <w:rsid w:val="00F918B8"/>
    <w:rsid w:val="00F92862"/>
    <w:rsid w:val="00F94F0A"/>
    <w:rsid w:val="00FB2202"/>
    <w:rsid w:val="00FB626B"/>
    <w:rsid w:val="00FF3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ED4AB5-226B-47DA-A3DA-5A170B412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4534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0948A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1313"/>
    <w:rPr>
      <w:color w:val="0000FF"/>
      <w:u w:val="single"/>
    </w:rPr>
  </w:style>
  <w:style w:type="character" w:customStyle="1" w:styleId="Heading2Char">
    <w:name w:val="Heading 2 Char"/>
    <w:basedOn w:val="DefaultParagraphFont"/>
    <w:link w:val="Heading2"/>
    <w:uiPriority w:val="9"/>
    <w:rsid w:val="000948A1"/>
    <w:rPr>
      <w:rFonts w:ascii="Times New Roman" w:eastAsia="Times New Roman" w:hAnsi="Times New Roman" w:cs="Times New Roman"/>
      <w:b/>
      <w:bCs/>
      <w:sz w:val="36"/>
      <w:szCs w:val="36"/>
    </w:rPr>
  </w:style>
  <w:style w:type="character" w:customStyle="1" w:styleId="headnote">
    <w:name w:val="headnote"/>
    <w:basedOn w:val="DefaultParagraphFont"/>
    <w:rsid w:val="000948A1"/>
  </w:style>
  <w:style w:type="paragraph" w:customStyle="1" w:styleId="in">
    <w:name w:val="in"/>
    <w:basedOn w:val="Normal"/>
    <w:rsid w:val="000948A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0948A1"/>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2E4318"/>
    <w:pPr>
      <w:spacing w:after="0" w:line="240" w:lineRule="auto"/>
    </w:pPr>
    <w:rPr>
      <w:sz w:val="20"/>
      <w:szCs w:val="20"/>
    </w:rPr>
  </w:style>
  <w:style w:type="character" w:customStyle="1" w:styleId="FootnoteTextChar">
    <w:name w:val="Footnote Text Char"/>
    <w:basedOn w:val="DefaultParagraphFont"/>
    <w:link w:val="FootnoteText"/>
    <w:uiPriority w:val="99"/>
    <w:rsid w:val="002E4318"/>
    <w:rPr>
      <w:sz w:val="20"/>
      <w:szCs w:val="20"/>
    </w:rPr>
  </w:style>
  <w:style w:type="character" w:styleId="FootnoteReference">
    <w:name w:val="footnote reference"/>
    <w:basedOn w:val="DefaultParagraphFont"/>
    <w:uiPriority w:val="99"/>
    <w:semiHidden/>
    <w:unhideWhenUsed/>
    <w:rsid w:val="002E4318"/>
    <w:rPr>
      <w:vertAlign w:val="superscript"/>
    </w:rPr>
  </w:style>
  <w:style w:type="character" w:customStyle="1" w:styleId="luna-example">
    <w:name w:val="luna-example"/>
    <w:basedOn w:val="DefaultParagraphFont"/>
    <w:rsid w:val="00F22A29"/>
  </w:style>
  <w:style w:type="character" w:customStyle="1" w:styleId="highlight">
    <w:name w:val="highlight"/>
    <w:basedOn w:val="DefaultParagraphFont"/>
    <w:rsid w:val="00CD3FAC"/>
  </w:style>
  <w:style w:type="paragraph" w:styleId="HTMLPreformatted">
    <w:name w:val="HTML Preformatted"/>
    <w:basedOn w:val="Normal"/>
    <w:link w:val="HTMLPreformattedChar"/>
    <w:uiPriority w:val="99"/>
    <w:unhideWhenUsed/>
    <w:rsid w:val="008072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0723B"/>
    <w:rPr>
      <w:rFonts w:ascii="Courier New" w:eastAsia="Times New Roman" w:hAnsi="Courier New" w:cs="Courier New"/>
      <w:sz w:val="20"/>
      <w:szCs w:val="20"/>
    </w:rPr>
  </w:style>
  <w:style w:type="paragraph" w:styleId="Header">
    <w:name w:val="header"/>
    <w:basedOn w:val="Normal"/>
    <w:link w:val="HeaderChar"/>
    <w:uiPriority w:val="99"/>
    <w:unhideWhenUsed/>
    <w:rsid w:val="00833D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D42"/>
  </w:style>
  <w:style w:type="paragraph" w:styleId="Footer">
    <w:name w:val="footer"/>
    <w:basedOn w:val="Normal"/>
    <w:link w:val="FooterChar"/>
    <w:uiPriority w:val="99"/>
    <w:unhideWhenUsed/>
    <w:rsid w:val="00833D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D42"/>
  </w:style>
  <w:style w:type="character" w:customStyle="1" w:styleId="il">
    <w:name w:val="il"/>
    <w:basedOn w:val="DefaultParagraphFont"/>
    <w:rsid w:val="002F4F7D"/>
  </w:style>
  <w:style w:type="paragraph" w:styleId="BalloonText">
    <w:name w:val="Balloon Text"/>
    <w:basedOn w:val="Normal"/>
    <w:link w:val="BalloonTextChar"/>
    <w:uiPriority w:val="99"/>
    <w:semiHidden/>
    <w:unhideWhenUsed/>
    <w:rsid w:val="00EA6C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6C44"/>
    <w:rPr>
      <w:rFonts w:ascii="Segoe UI" w:hAnsi="Segoe UI" w:cs="Segoe UI"/>
      <w:sz w:val="18"/>
      <w:szCs w:val="18"/>
    </w:rPr>
  </w:style>
  <w:style w:type="character" w:customStyle="1" w:styleId="Heading1Char">
    <w:name w:val="Heading 1 Char"/>
    <w:basedOn w:val="DefaultParagraphFont"/>
    <w:link w:val="Heading1"/>
    <w:uiPriority w:val="9"/>
    <w:rsid w:val="0014534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201009">
      <w:bodyDiv w:val="1"/>
      <w:marLeft w:val="0"/>
      <w:marRight w:val="0"/>
      <w:marTop w:val="0"/>
      <w:marBottom w:val="0"/>
      <w:divBdr>
        <w:top w:val="none" w:sz="0" w:space="0" w:color="auto"/>
        <w:left w:val="none" w:sz="0" w:space="0" w:color="auto"/>
        <w:bottom w:val="none" w:sz="0" w:space="0" w:color="auto"/>
        <w:right w:val="none" w:sz="0" w:space="0" w:color="auto"/>
      </w:divBdr>
      <w:divsChild>
        <w:div w:id="49693422">
          <w:marLeft w:val="0"/>
          <w:marRight w:val="0"/>
          <w:marTop w:val="240"/>
          <w:marBottom w:val="0"/>
          <w:divBdr>
            <w:top w:val="none" w:sz="0" w:space="0" w:color="auto"/>
            <w:left w:val="none" w:sz="0" w:space="0" w:color="auto"/>
            <w:bottom w:val="none" w:sz="0" w:space="0" w:color="auto"/>
            <w:right w:val="none" w:sz="0" w:space="0" w:color="auto"/>
          </w:divBdr>
        </w:div>
        <w:div w:id="1303583132">
          <w:marLeft w:val="0"/>
          <w:marRight w:val="0"/>
          <w:marTop w:val="240"/>
          <w:marBottom w:val="0"/>
          <w:divBdr>
            <w:top w:val="none" w:sz="0" w:space="0" w:color="auto"/>
            <w:left w:val="none" w:sz="0" w:space="0" w:color="auto"/>
            <w:bottom w:val="none" w:sz="0" w:space="0" w:color="auto"/>
            <w:right w:val="none" w:sz="0" w:space="0" w:color="auto"/>
          </w:divBdr>
        </w:div>
      </w:divsChild>
    </w:div>
    <w:div w:id="802381160">
      <w:bodyDiv w:val="1"/>
      <w:marLeft w:val="0"/>
      <w:marRight w:val="0"/>
      <w:marTop w:val="0"/>
      <w:marBottom w:val="0"/>
      <w:divBdr>
        <w:top w:val="none" w:sz="0" w:space="0" w:color="auto"/>
        <w:left w:val="none" w:sz="0" w:space="0" w:color="auto"/>
        <w:bottom w:val="none" w:sz="0" w:space="0" w:color="auto"/>
        <w:right w:val="none" w:sz="0" w:space="0" w:color="auto"/>
      </w:divBdr>
    </w:div>
    <w:div w:id="809902075">
      <w:bodyDiv w:val="1"/>
      <w:marLeft w:val="0"/>
      <w:marRight w:val="0"/>
      <w:marTop w:val="0"/>
      <w:marBottom w:val="0"/>
      <w:divBdr>
        <w:top w:val="none" w:sz="0" w:space="0" w:color="auto"/>
        <w:left w:val="none" w:sz="0" w:space="0" w:color="auto"/>
        <w:bottom w:val="none" w:sz="0" w:space="0" w:color="auto"/>
        <w:right w:val="none" w:sz="0" w:space="0" w:color="auto"/>
      </w:divBdr>
    </w:div>
    <w:div w:id="875433099">
      <w:bodyDiv w:val="1"/>
      <w:marLeft w:val="0"/>
      <w:marRight w:val="0"/>
      <w:marTop w:val="0"/>
      <w:marBottom w:val="0"/>
      <w:divBdr>
        <w:top w:val="none" w:sz="0" w:space="0" w:color="auto"/>
        <w:left w:val="none" w:sz="0" w:space="0" w:color="auto"/>
        <w:bottom w:val="none" w:sz="0" w:space="0" w:color="auto"/>
        <w:right w:val="none" w:sz="0" w:space="0" w:color="auto"/>
      </w:divBdr>
      <w:divsChild>
        <w:div w:id="2144275548">
          <w:marLeft w:val="0"/>
          <w:marRight w:val="0"/>
          <w:marTop w:val="0"/>
          <w:marBottom w:val="0"/>
          <w:divBdr>
            <w:top w:val="none" w:sz="0" w:space="0" w:color="auto"/>
            <w:left w:val="none" w:sz="0" w:space="0" w:color="auto"/>
            <w:bottom w:val="none" w:sz="0" w:space="0" w:color="auto"/>
            <w:right w:val="none" w:sz="0" w:space="0" w:color="auto"/>
          </w:divBdr>
        </w:div>
      </w:divsChild>
    </w:div>
    <w:div w:id="1219054944">
      <w:bodyDiv w:val="1"/>
      <w:marLeft w:val="0"/>
      <w:marRight w:val="0"/>
      <w:marTop w:val="0"/>
      <w:marBottom w:val="0"/>
      <w:divBdr>
        <w:top w:val="none" w:sz="0" w:space="0" w:color="auto"/>
        <w:left w:val="none" w:sz="0" w:space="0" w:color="auto"/>
        <w:bottom w:val="none" w:sz="0" w:space="0" w:color="auto"/>
        <w:right w:val="none" w:sz="0" w:space="0" w:color="auto"/>
      </w:divBdr>
    </w:div>
    <w:div w:id="1505633448">
      <w:bodyDiv w:val="1"/>
      <w:marLeft w:val="0"/>
      <w:marRight w:val="0"/>
      <w:marTop w:val="0"/>
      <w:marBottom w:val="0"/>
      <w:divBdr>
        <w:top w:val="none" w:sz="0" w:space="0" w:color="auto"/>
        <w:left w:val="none" w:sz="0" w:space="0" w:color="auto"/>
        <w:bottom w:val="none" w:sz="0" w:space="0" w:color="auto"/>
        <w:right w:val="none" w:sz="0" w:space="0" w:color="auto"/>
      </w:divBdr>
    </w:div>
    <w:div w:id="1992831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statutes/cite/504B.161" TargetMode="External"/><Relationship Id="rId13" Type="http://schemas.openxmlformats.org/officeDocument/2006/relationships/hyperlink" Target="https://dictionary.thelaw.com/conspicuous/" TargetMode="External"/><Relationship Id="rId18" Type="http://schemas.openxmlformats.org/officeDocument/2006/relationships/hyperlink" Target="http://heimatundrecht.de/sites/default/files/dokumente/Black%27sLaw4th.pdf" TargetMode="External"/><Relationship Id="rId26" Type="http://schemas.openxmlformats.org/officeDocument/2006/relationships/hyperlink" Target="https://scholar.google.com/scholar_case?case=9718480409342438389&amp;hl=en&amp;as_sdt=6,24" TargetMode="External"/><Relationship Id="rId3" Type="http://schemas.openxmlformats.org/officeDocument/2006/relationships/styles" Target="styles.xml"/><Relationship Id="rId21" Type="http://schemas.openxmlformats.org/officeDocument/2006/relationships/hyperlink" Target="https://scholar.google.com/scholar_case?case=12697913347078313374&amp;q=%22manifested+by+reciprocal+bargaining+or+negotiation%22+cederstrand&amp;hl=en&amp;as_sdt=4,24"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scholar.google.com/scholar_case?case=8599738856400952205&amp;hl=en&amp;as_sdt=6,24" TargetMode="External"/><Relationship Id="rId17" Type="http://schemas.openxmlformats.org/officeDocument/2006/relationships/hyperlink" Target="https://scholar.google.com/scholar_case?case=14892701999604585216&amp;hl=en&amp;as_sdt=6,24" TargetMode="External"/><Relationship Id="rId25" Type="http://schemas.openxmlformats.org/officeDocument/2006/relationships/hyperlink" Target="https://scholar.google.com/scholar_case?case=10005071456963461480&amp;q=48+n.w.2d+318&amp;hl=en&amp;as_sdt=4,24"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scholar.google.com/scholar_case?case=10116576451940244418&amp;hl=en&amp;as_sdt=6,24" TargetMode="External"/><Relationship Id="rId20" Type="http://schemas.openxmlformats.org/officeDocument/2006/relationships/hyperlink" Target="https://www.revisor.mn.gov/statutes/cite/290A.04" TargetMode="External"/><Relationship Id="rId29" Type="http://schemas.openxmlformats.org/officeDocument/2006/relationships/hyperlink" Target="https://birnberglegalwebsite.files.wordpress.com/2021/05/tm-appendix-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visor.mn.gov/statutes/cite/645" TargetMode="External"/><Relationship Id="rId24" Type="http://schemas.openxmlformats.org/officeDocument/2006/relationships/hyperlink" Target="https://scholar.google.com/scholar_case?case=9382154582312964587&amp;q=%22agreement%22+contract+synonymous&amp;hl=en&amp;as_sdt=4,24" TargetMode="External"/><Relationship Id="rId32" Type="http://schemas.openxmlformats.org/officeDocument/2006/relationships/hyperlink" Target="http://homelinemn.org/wp-content/uploads/American%20Land%20Real%20Estate%20Investment%20Corporation%20vs%20Pokorny.pdf" TargetMode="External"/><Relationship Id="rId5" Type="http://schemas.openxmlformats.org/officeDocument/2006/relationships/webSettings" Target="webSettings.xml"/><Relationship Id="rId15" Type="http://schemas.openxmlformats.org/officeDocument/2006/relationships/hyperlink" Target="https://mn.gov/law-library-stat/archive/ctapun/9808/2245.htm" TargetMode="External"/><Relationship Id="rId23" Type="http://schemas.openxmlformats.org/officeDocument/2006/relationships/hyperlink" Target="http://heimatundrecht.de/sites/default/files/dokumente/Black%27sLaw4th.pdf" TargetMode="External"/><Relationship Id="rId28" Type="http://schemas.openxmlformats.org/officeDocument/2006/relationships/hyperlink" Target="https://birnberglegalwebsite.files.wordpress.com/2021/05/tm-appendix-2-model-code-sec-2-203-plus-text.pdf" TargetMode="External"/><Relationship Id="rId10" Type="http://schemas.openxmlformats.org/officeDocument/2006/relationships/hyperlink" Target="https://www.revisor.mn.gov/statutes/cite/504B" TargetMode="External"/><Relationship Id="rId19" Type="http://schemas.openxmlformats.org/officeDocument/2006/relationships/hyperlink" Target="https://scholar.google.com/scholar_case?case=11875750132822280839&amp;q=%22adequate+consideration%22&amp;hl=en&amp;as_sdt=4,24" TargetMode="External"/><Relationship Id="rId31" Type="http://schemas.openxmlformats.org/officeDocument/2006/relationships/hyperlink" Target="https://www.revisor.mn.gov/statutes/cite/504B.178" TargetMode="External"/><Relationship Id="rId4" Type="http://schemas.openxmlformats.org/officeDocument/2006/relationships/settings" Target="settings.xml"/><Relationship Id="rId9" Type="http://schemas.openxmlformats.org/officeDocument/2006/relationships/hyperlink" Target="https://birnberglegalwebsite.files.wordpress.com/2021/05/tm-appendix-1-meldahl-martin-lease.pdf" TargetMode="External"/><Relationship Id="rId14" Type="http://schemas.openxmlformats.org/officeDocument/2006/relationships/hyperlink" Target="https://scholar.google.com/scholar_case?case=10116576451940244418&amp;hl=en&amp;as_sdt=6,24" TargetMode="External"/><Relationship Id="rId22" Type="http://schemas.openxmlformats.org/officeDocument/2006/relationships/hyperlink" Target="https://scholar.google.com/scholar_case?case=16911886349190392482&amp;q=%22consideration+means%22&amp;hl=en&amp;as_sdt=4,24" TargetMode="External"/><Relationship Id="rId27" Type="http://schemas.openxmlformats.org/officeDocument/2006/relationships/hyperlink" Target="https://scholar.google.com/scholar_case?case=17509528065475349872&amp;q=remedial+statutes+liberal+construction&amp;hl=en&amp;as_sdt=4,24" TargetMode="External"/><Relationship Id="rId30" Type="http://schemas.openxmlformats.org/officeDocument/2006/relationships/hyperlink" Target="https://scholar.google.com/scholar_case?case=11073576944785028342&amp;q=related:9vTdmo8_rZkJ:scholar.google.com/&amp;hl=en&amp;as_sdt=4,24"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mncourts.gov/Access-Case-Records/MCRO.aspx" TargetMode="External"/><Relationship Id="rId13" Type="http://schemas.openxmlformats.org/officeDocument/2006/relationships/hyperlink" Target="https://www.centerpointenergy.com/en-us/home-service-plus/plans/main-drain-emergency-cleaning-plan" TargetMode="External"/><Relationship Id="rId18" Type="http://schemas.openxmlformats.org/officeDocument/2006/relationships/hyperlink" Target="https://birnberglegalwebsite.files.wordpress.com/2021/06/blacks-11th-and-am-jur.pdf" TargetMode="External"/><Relationship Id="rId26" Type="http://schemas.openxmlformats.org/officeDocument/2006/relationships/hyperlink" Target="https://birnberglegalwebsite.files.wordpress.com/2021/06/tm-appendix-4-legislative-history-of-1971-minn-laws-ch-219-504.18-.pdf" TargetMode="External"/><Relationship Id="rId3" Type="http://schemas.openxmlformats.org/officeDocument/2006/relationships/hyperlink" Target="https://www.revisor.mn.gov/laws/1971/0/Session+Law/Chapter/219/pdf/" TargetMode="External"/><Relationship Id="rId21" Type="http://schemas.openxmlformats.org/officeDocument/2006/relationships/hyperlink" Target="https://casetext.com/case/radermacher-v-st-paul-city-ry-co" TargetMode="External"/><Relationship Id="rId7" Type="http://schemas.openxmlformats.org/officeDocument/2006/relationships/hyperlink" Target="https://scholar.google.com/scholar_case?case=7995007659523373036&amp;hl=en&amp;as_sdt=6,24" TargetMode="External"/><Relationship Id="rId12" Type="http://schemas.openxmlformats.org/officeDocument/2006/relationships/hyperlink" Target="https://www.centerpointenergy.com/en-us/home-service-plus/plans/total-repair-plan" TargetMode="External"/><Relationship Id="rId17" Type="http://schemas.openxmlformats.org/officeDocument/2006/relationships/hyperlink" Target="https://scholar.google.com/scholar_case?case=6444074229171039279&amp;hl=en&amp;as_sdt=6,24" TargetMode="External"/><Relationship Id="rId25" Type="http://schemas.openxmlformats.org/officeDocument/2006/relationships/hyperlink" Target="https://scholar.google.com/scholar_case?case=10022593669485787842&amp;q=%22remedial+statute%22+%22warranty+of+habitability%22&amp;hl=en&amp;as_sdt=6,24" TargetMode="External"/><Relationship Id="rId2" Type="http://schemas.openxmlformats.org/officeDocument/2006/relationships/hyperlink" Target="https://www.revisor.mn.gov/statutes/cite/504B.161" TargetMode="External"/><Relationship Id="rId16" Type="http://schemas.openxmlformats.org/officeDocument/2006/relationships/hyperlink" Target="https://birnberglegalwebsite.files.wordpress.com/2021/06/blacks-11th-and-am-jur.pdf" TargetMode="External"/><Relationship Id="rId20" Type="http://schemas.openxmlformats.org/officeDocument/2006/relationships/hyperlink" Target="https://birnberglegalwebsite.files.wordpress.com/2021/06/blacks-11th-and-am-jur.pdf" TargetMode="External"/><Relationship Id="rId1" Type="http://schemas.openxmlformats.org/officeDocument/2006/relationships/hyperlink" Target="https://scholar.google.com/scholar_case?case=3106163155780735482&amp;q=504b.161+commercial&amp;hl=en&amp;as_sdt=4,24" TargetMode="External"/><Relationship Id="rId6" Type="http://schemas.openxmlformats.org/officeDocument/2006/relationships/hyperlink" Target="https://www.revisor.mn.gov/laws/1999/0/Session+Law/Chapter/199/" TargetMode="External"/><Relationship Id="rId11" Type="http://schemas.openxmlformats.org/officeDocument/2006/relationships/hyperlink" Target="https://casetext.com/case/estrada-v-hanson" TargetMode="External"/><Relationship Id="rId24" Type="http://schemas.openxmlformats.org/officeDocument/2006/relationships/hyperlink" Target="https://scholar.google.com/scholar_case?case=16271473728264517538&amp;q=%22remedial+statute%22+%22warranty+of+habitability%22&amp;hl=en&amp;as_sdt=6,24" TargetMode="External"/><Relationship Id="rId5" Type="http://schemas.openxmlformats.org/officeDocument/2006/relationships/hyperlink" Target="https://www.revisor.mn.gov/laws/?id=136&amp;year=2007&amp;type=0" TargetMode="External"/><Relationship Id="rId15" Type="http://schemas.openxmlformats.org/officeDocument/2006/relationships/hyperlink" Target="https://scholar.google.com/scholar_case?case=6444074229171039279&amp;hl=en&amp;as_sdt=6,24" TargetMode="External"/><Relationship Id="rId23" Type="http://schemas.openxmlformats.org/officeDocument/2006/relationships/hyperlink" Target="https://scholar.google.com/scholar_case?case=2716328620651289104&amp;q=%22remedial+statute%22+%22warranty+of+habitability%22&amp;hl=en&amp;as_sdt=6,24" TargetMode="External"/><Relationship Id="rId10" Type="http://schemas.openxmlformats.org/officeDocument/2006/relationships/hyperlink" Target="http://heimatundrecht.de/sites/default/files/dokumente/Black%27sLaw4th.pdf" TargetMode="External"/><Relationship Id="rId19" Type="http://schemas.openxmlformats.org/officeDocument/2006/relationships/hyperlink" Target="https://casetext.com/case/blankholm-v-fearing" TargetMode="External"/><Relationship Id="rId4" Type="http://schemas.openxmlformats.org/officeDocument/2006/relationships/hyperlink" Target="https://www.revisor.mn.gov/laws/?doctype=Chapter&amp;year=1992&amp;type=0&amp;id=376" TargetMode="External"/><Relationship Id="rId9" Type="http://schemas.openxmlformats.org/officeDocument/2006/relationships/hyperlink" Target="https://birnberglegalwebsite.files.wordpress.com/2021/06/tm-appendix-4-legislative-history-of-1971-minn-laws-ch-219-504.18-.pdf" TargetMode="External"/><Relationship Id="rId14" Type="http://schemas.openxmlformats.org/officeDocument/2006/relationships/hyperlink" Target="https://birnberglegalwebsite.files.wordpress.com/2021/06/blacks-11th-and-am-jur.pdf" TargetMode="External"/><Relationship Id="rId22" Type="http://schemas.openxmlformats.org/officeDocument/2006/relationships/hyperlink" Target="https://casetext.com/case/christensen-v-hennepin-transportation-co-i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702D0C-1C1F-4172-824A-D421C5956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12</Pages>
  <Words>4597</Words>
  <Characters>26205</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Eric Hauge</cp:lastModifiedBy>
  <cp:revision>19</cp:revision>
  <cp:lastPrinted>2021-06-05T14:48:00Z</cp:lastPrinted>
  <dcterms:created xsi:type="dcterms:W3CDTF">2021-05-24T19:49:00Z</dcterms:created>
  <dcterms:modified xsi:type="dcterms:W3CDTF">2021-06-05T14:51:00Z</dcterms:modified>
</cp:coreProperties>
</file>