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F2449" w14:textId="77777777" w:rsidR="001D6CA4" w:rsidRDefault="005B757A" w:rsidP="005B757A">
      <w:pPr>
        <w:widowControl w:val="0"/>
        <w:jc w:val="center"/>
        <w:rPr>
          <w:rFonts w:asciiTheme="minorHAnsi" w:hAnsiTheme="minorHAnsi" w:cstheme="minorHAnsi"/>
          <w:b/>
          <w:bCs/>
          <w:color w:val="000000" w:themeColor="text1"/>
          <w:sz w:val="28"/>
          <w:szCs w:val="28"/>
        </w:rPr>
      </w:pPr>
      <w:r w:rsidRPr="005B757A">
        <w:rPr>
          <w:rFonts w:asciiTheme="minorHAnsi" w:hAnsiTheme="minorHAnsi" w:cstheme="minorHAnsi"/>
          <w:b/>
          <w:bCs/>
          <w:color w:val="000000" w:themeColor="text1"/>
          <w:sz w:val="28"/>
          <w:szCs w:val="28"/>
        </w:rPr>
        <w:t xml:space="preserve">MINN. STAT. § 504B.321 AND </w:t>
      </w:r>
      <w:r w:rsidRPr="005B757A">
        <w:rPr>
          <w:rFonts w:asciiTheme="minorHAnsi" w:hAnsiTheme="minorHAnsi" w:cstheme="minorHAnsi"/>
          <w:b/>
          <w:bCs/>
          <w:color w:val="000000" w:themeColor="text1"/>
          <w:sz w:val="28"/>
          <w:szCs w:val="28"/>
          <w:u w:val="single"/>
        </w:rPr>
        <w:t>LEWIS v. STEELE</w:t>
      </w:r>
      <w:r w:rsidRPr="005B757A">
        <w:rPr>
          <w:rFonts w:asciiTheme="minorHAnsi" w:hAnsiTheme="minorHAnsi" w:cstheme="minorHAnsi"/>
          <w:b/>
          <w:bCs/>
          <w:color w:val="000000" w:themeColor="text1"/>
          <w:sz w:val="28"/>
          <w:szCs w:val="28"/>
        </w:rPr>
        <w:t xml:space="preserve"> </w:t>
      </w:r>
    </w:p>
    <w:p w14:paraId="3FD77A0E" w14:textId="77777777" w:rsidR="001D6CA4" w:rsidRDefault="005B757A" w:rsidP="005B757A">
      <w:pPr>
        <w:widowControl w:val="0"/>
        <w:jc w:val="center"/>
        <w:rPr>
          <w:rFonts w:asciiTheme="minorHAnsi" w:hAnsiTheme="minorHAnsi" w:cstheme="minorHAnsi"/>
          <w:b/>
          <w:bCs/>
          <w:color w:val="000000" w:themeColor="text1"/>
          <w:sz w:val="28"/>
          <w:szCs w:val="28"/>
        </w:rPr>
      </w:pPr>
      <w:r w:rsidRPr="005B757A">
        <w:rPr>
          <w:rFonts w:asciiTheme="minorHAnsi" w:hAnsiTheme="minorHAnsi" w:cstheme="minorHAnsi"/>
          <w:b/>
          <w:bCs/>
          <w:color w:val="000000" w:themeColor="text1"/>
          <w:sz w:val="28"/>
          <w:szCs w:val="28"/>
        </w:rPr>
        <w:t xml:space="preserve">REQUIRE THE COMPLAINT IN AN EVICTION ACTION TO </w:t>
      </w:r>
    </w:p>
    <w:p w14:paraId="44C3DCDE" w14:textId="4C6BD7D8" w:rsidR="005B757A" w:rsidRPr="005B757A" w:rsidRDefault="001D6CA4" w:rsidP="005B757A">
      <w:pPr>
        <w:widowControl w:val="0"/>
        <w:jc w:val="center"/>
        <w:rPr>
          <w:rFonts w:asciiTheme="minorHAnsi" w:hAnsiTheme="minorHAnsi" w:cstheme="minorHAnsi"/>
          <w:b/>
          <w:bCs/>
          <w:color w:val="000000" w:themeColor="text1"/>
          <w:sz w:val="28"/>
          <w:szCs w:val="28"/>
        </w:rPr>
      </w:pPr>
      <w:r>
        <w:rPr>
          <w:rFonts w:asciiTheme="minorHAnsi" w:hAnsiTheme="minorHAnsi" w:cstheme="minorHAnsi"/>
          <w:b/>
          <w:bCs/>
          <w:color w:val="000000" w:themeColor="text1"/>
          <w:sz w:val="28"/>
          <w:szCs w:val="28"/>
        </w:rPr>
        <w:t>DEFINITIVELY</w:t>
      </w:r>
      <w:r w:rsidR="005B757A" w:rsidRPr="005B757A">
        <w:rPr>
          <w:rFonts w:asciiTheme="minorHAnsi" w:hAnsiTheme="minorHAnsi" w:cstheme="minorHAnsi"/>
          <w:b/>
          <w:bCs/>
          <w:color w:val="000000" w:themeColor="text1"/>
          <w:sz w:val="28"/>
          <w:szCs w:val="28"/>
        </w:rPr>
        <w:t xml:space="preserve"> DESCRIBE THE PREMISES ON THE FACE OF THE COMPLAINT.</w:t>
      </w:r>
    </w:p>
    <w:p w14:paraId="22201B4B" w14:textId="77777777" w:rsidR="005B757A" w:rsidRDefault="005B757A">
      <w:pPr>
        <w:widowControl w:val="0"/>
        <w:rPr>
          <w:b/>
        </w:rPr>
      </w:pPr>
    </w:p>
    <w:p w14:paraId="3ABC68CF" w14:textId="752F7539" w:rsidR="00AF6A88" w:rsidRPr="00CF6E3B" w:rsidRDefault="00000000">
      <w:pPr>
        <w:widowControl w:val="0"/>
        <w:rPr>
          <w:b/>
        </w:rPr>
      </w:pPr>
      <w:r w:rsidRPr="00CF6E3B">
        <w:rPr>
          <w:b/>
        </w:rPr>
        <w:fldChar w:fldCharType="begin"/>
      </w:r>
      <w:r w:rsidRPr="00CF6E3B">
        <w:instrText xml:space="preserve"> SEQ CHAPTER \h \r 1</w:instrText>
      </w:r>
      <w:r w:rsidRPr="00CF6E3B">
        <w:fldChar w:fldCharType="end"/>
      </w:r>
      <w:r w:rsidRPr="00CF6E3B">
        <w:rPr>
          <w:b/>
        </w:rPr>
        <w:t>MINN. STAT. § 504B.321 REQUIRES AN EVICTION-ACTION COMPLAINT TO DESCRIBE THE PREMISES</w:t>
      </w:r>
    </w:p>
    <w:p w14:paraId="690DA038" w14:textId="77777777" w:rsidR="00AF6A88" w:rsidRPr="00CF6E3B" w:rsidRDefault="00AF6A88">
      <w:pPr>
        <w:widowControl w:val="0"/>
      </w:pPr>
    </w:p>
    <w:p w14:paraId="4AC86813" w14:textId="4A175BBC" w:rsidR="00AF6A88" w:rsidRPr="00CF6E3B" w:rsidRDefault="00000000">
      <w:pPr>
        <w:widowControl w:val="0"/>
      </w:pPr>
      <w:r w:rsidRPr="00CF6E3B">
        <w:t xml:space="preserve">An Eviction Action, what used to be called an Unlawful Detainer Action, is well named. It is a lawsuit designed to remove a person, a household, or a business from a place. Logically, the Complaint that starts the case should say what the place in question is. In fact, the relevant statute, </w:t>
      </w:r>
      <w:hyperlink r:id="rId7" w:history="1">
        <w:r w:rsidRPr="00CF6E3B">
          <w:rPr>
            <w:color w:val="0000FF"/>
          </w:rPr>
          <w:t>Minn. Stat. § 504B.32</w:t>
        </w:r>
        <w:r w:rsidR="00013E16">
          <w:rPr>
            <w:color w:val="0000FF"/>
          </w:rPr>
          <w:t>1(a)</w:t>
        </w:r>
      </w:hyperlink>
      <w:r w:rsidR="00013E16">
        <w:rPr>
          <w:color w:val="0000FF"/>
        </w:rPr>
        <w:t>,</w:t>
      </w:r>
      <w:r w:rsidRPr="00CF6E3B">
        <w:t xml:space="preserve"> does exactly that. </w:t>
      </w:r>
      <w:r w:rsidR="00013E16">
        <w:t xml:space="preserve">It </w:t>
      </w:r>
      <w:r w:rsidRPr="00CF6E3B">
        <w:t>says:</w:t>
      </w:r>
    </w:p>
    <w:p w14:paraId="054D71AE" w14:textId="77777777" w:rsidR="00AF6A88" w:rsidRPr="00CF6E3B" w:rsidRDefault="00AF6A88">
      <w:pPr>
        <w:widowControl w:val="0"/>
      </w:pPr>
    </w:p>
    <w:p w14:paraId="070ECC59" w14:textId="77777777" w:rsidR="00AF6A88" w:rsidRPr="00CF6E3B" w:rsidRDefault="00000000">
      <w:pPr>
        <w:widowControl w:val="0"/>
        <w:ind w:left="720"/>
      </w:pPr>
      <w:r w:rsidRPr="00CF6E3B">
        <w:t xml:space="preserve">(a) To bring an eviction action, the person complaining shall file a complaint with the court, stating the full name and date of birth of the person against whom the complaint is made, unless it is not known, </w:t>
      </w:r>
      <w:r w:rsidRPr="00996F42">
        <w:rPr>
          <w:u w:val="single"/>
        </w:rPr>
        <w:t>describing the premises of which possession is claimed</w:t>
      </w:r>
      <w:r w:rsidRPr="00CF6E3B">
        <w:t>, stating the facts which authorize the recovery of possession, and asking for recovery thereof. [emphasis added]</w:t>
      </w:r>
    </w:p>
    <w:p w14:paraId="5DC22548" w14:textId="77777777" w:rsidR="00AF6A88" w:rsidRPr="00CF6E3B" w:rsidRDefault="00AF6A88">
      <w:pPr>
        <w:widowControl w:val="0"/>
      </w:pPr>
    </w:p>
    <w:p w14:paraId="7C1D28C6" w14:textId="77777777" w:rsidR="00AF6A88" w:rsidRPr="00CF6E3B" w:rsidRDefault="00000000">
      <w:pPr>
        <w:widowControl w:val="0"/>
      </w:pPr>
      <w:r w:rsidRPr="00CF6E3B">
        <w:t>How specific must the description be? What is the consequence if the plaintiff does not meet the requirement?</w:t>
      </w:r>
    </w:p>
    <w:p w14:paraId="05B22A2C" w14:textId="77777777" w:rsidR="00AF6A88" w:rsidRPr="00CF6E3B" w:rsidRDefault="00AF6A88">
      <w:pPr>
        <w:widowControl w:val="0"/>
      </w:pPr>
    </w:p>
    <w:p w14:paraId="1F087F60" w14:textId="77777777" w:rsidR="00AF6A88" w:rsidRPr="00CF6E3B" w:rsidRDefault="00000000">
      <w:pPr>
        <w:widowControl w:val="0"/>
        <w:rPr>
          <w:b/>
        </w:rPr>
      </w:pPr>
      <w:r w:rsidRPr="00CF6E3B">
        <w:rPr>
          <w:b/>
        </w:rPr>
        <w:t>HENNEPIN AND RAMSEY HOUSING COURTS REQUIRE THE DESCRIPTION TO INCLUDE A STREET ADDRESS</w:t>
      </w:r>
    </w:p>
    <w:p w14:paraId="240B51DB" w14:textId="77777777" w:rsidR="00AF6A88" w:rsidRPr="00CF6E3B" w:rsidRDefault="00AF6A88">
      <w:pPr>
        <w:widowControl w:val="0"/>
      </w:pPr>
    </w:p>
    <w:p w14:paraId="614FF913" w14:textId="77777777" w:rsidR="00AF6A88" w:rsidRPr="00CF6E3B" w:rsidRDefault="00000000">
      <w:pPr>
        <w:widowControl w:val="0"/>
      </w:pPr>
      <w:r w:rsidRPr="00CF6E3B">
        <w:t>In Hennepin and Ramsey counties, residential-tenant eviction actions are heard in “Housing Court” and are governed not only by Minn. Stat. § 504B.321 but also by the Minnesota Rules of General Practice 600-612.</w:t>
      </w:r>
      <w:r w:rsidRPr="00CF6E3B">
        <w:rPr>
          <w:rStyle w:val="FootnoteReference"/>
        </w:rPr>
        <w:footnoteReference w:id="1"/>
      </w:r>
      <w:r w:rsidRPr="00CF6E3B">
        <w:t xml:space="preserve"> </w:t>
      </w:r>
      <w:hyperlink r:id="rId8" w:history="1">
        <w:proofErr w:type="spellStart"/>
        <w:r w:rsidRPr="00CF6E3B">
          <w:rPr>
            <w:color w:val="0000FF"/>
          </w:rPr>
          <w:t>Minn.R.Gen.Prac</w:t>
        </w:r>
        <w:proofErr w:type="spellEnd"/>
        <w:r w:rsidRPr="00CF6E3B">
          <w:rPr>
            <w:color w:val="0000FF"/>
          </w:rPr>
          <w:t>. 604(a)(1)</w:t>
        </w:r>
      </w:hyperlink>
      <w:r w:rsidRPr="00CF6E3B">
        <w:t xml:space="preserve"> states:</w:t>
      </w:r>
    </w:p>
    <w:p w14:paraId="541348C9" w14:textId="77777777" w:rsidR="00AF6A88" w:rsidRPr="00CF6E3B" w:rsidRDefault="00000000">
      <w:pPr>
        <w:widowControl w:val="0"/>
      </w:pPr>
      <w:r w:rsidRPr="00CF6E3B">
        <w:tab/>
      </w:r>
    </w:p>
    <w:p w14:paraId="02DC1CAB" w14:textId="77777777" w:rsidR="00AF6A88" w:rsidRPr="00CF6E3B" w:rsidRDefault="00000000">
      <w:pPr>
        <w:widowControl w:val="0"/>
        <w:ind w:left="720"/>
      </w:pPr>
      <w:r w:rsidRPr="00CF6E3B">
        <w:rPr>
          <w:b/>
        </w:rPr>
        <w:t>(a) Contents of Complaint</w:t>
      </w:r>
      <w:r w:rsidRPr="00CF6E3B">
        <w:t>. The plaintiff in an eviction action case shall file with the court administrator a complaint containing the following:</w:t>
      </w:r>
    </w:p>
    <w:p w14:paraId="514470D6" w14:textId="77777777" w:rsidR="00AF6A88" w:rsidRPr="00CF6E3B" w:rsidRDefault="00AF6A88">
      <w:pPr>
        <w:widowControl w:val="0"/>
      </w:pPr>
    </w:p>
    <w:p w14:paraId="49A99BBC" w14:textId="6DD50706" w:rsidR="00AF6A88" w:rsidRPr="00CF6E3B" w:rsidRDefault="00000000">
      <w:pPr>
        <w:widowControl w:val="0"/>
        <w:ind w:left="1440"/>
      </w:pPr>
      <w:r w:rsidRPr="00CF6E3B">
        <w:t>(1) A description of the premises including a street address</w:t>
      </w:r>
    </w:p>
    <w:p w14:paraId="0AC84B8C" w14:textId="77777777" w:rsidR="00AF6A88" w:rsidRPr="00CF6E3B" w:rsidRDefault="00AF6A88">
      <w:pPr>
        <w:widowControl w:val="0"/>
      </w:pPr>
    </w:p>
    <w:p w14:paraId="410701F1" w14:textId="77777777" w:rsidR="00AF6A88" w:rsidRPr="00CF6E3B" w:rsidRDefault="00000000">
      <w:pPr>
        <w:widowControl w:val="0"/>
      </w:pPr>
      <w:r w:rsidRPr="00CF6E3B">
        <w:t>(</w:t>
      </w:r>
      <w:proofErr w:type="gramStart"/>
      <w:r w:rsidRPr="00CF6E3B">
        <w:t>emphasis</w:t>
      </w:r>
      <w:proofErr w:type="gramEnd"/>
      <w:r w:rsidRPr="00CF6E3B">
        <w:t xml:space="preserve"> added). Thus, in those two counties the description must contain a street address if the defendant is a residential tenant and the plaintiff his landlord.</w:t>
      </w:r>
      <w:r w:rsidRPr="00CF6E3B">
        <w:rPr>
          <w:rStyle w:val="FootnoteReference"/>
        </w:rPr>
        <w:footnoteReference w:id="2"/>
      </w:r>
      <w:r w:rsidRPr="00CF6E3B">
        <w:t xml:space="preserve"> Since those two counties have very few non-urban areas and fewer yet non-urban residential areas, all or nearly all residential tenants sued for eviction will have a street address.</w:t>
      </w:r>
    </w:p>
    <w:p w14:paraId="44E24A59" w14:textId="77777777" w:rsidR="00AF6A88" w:rsidRPr="00CF6E3B" w:rsidRDefault="00AF6A88">
      <w:pPr>
        <w:widowControl w:val="0"/>
      </w:pPr>
    </w:p>
    <w:p w14:paraId="384B2355" w14:textId="600BEF16" w:rsidR="00AF6A88" w:rsidRPr="00CF6E3B" w:rsidRDefault="00000000">
      <w:pPr>
        <w:widowControl w:val="0"/>
        <w:ind w:left="720"/>
        <w:rPr>
          <w:b/>
        </w:rPr>
      </w:pPr>
      <w:r w:rsidRPr="00CF6E3B">
        <w:rPr>
          <w:b/>
        </w:rPr>
        <w:lastRenderedPageBreak/>
        <w:t>Two Hennepin County trial court cases ruling for the tenant because the complaint gave only the main apartment building address and not the individual apartment number</w:t>
      </w:r>
    </w:p>
    <w:p w14:paraId="44DFFBAE" w14:textId="77777777" w:rsidR="0060608A" w:rsidRPr="00CF6E3B" w:rsidRDefault="0060608A">
      <w:pPr>
        <w:widowControl w:val="0"/>
        <w:ind w:left="720"/>
      </w:pPr>
    </w:p>
    <w:p w14:paraId="3597360B" w14:textId="77777777" w:rsidR="00AF6A88" w:rsidRPr="00CF6E3B" w:rsidRDefault="00000000">
      <w:pPr>
        <w:widowControl w:val="0"/>
      </w:pPr>
      <w:r w:rsidRPr="00CF6E3B">
        <w:t xml:space="preserve">I am unaware of any appellate decisions interpreting Rule 604(a)(1). Lawrence McDonough’s treatise, </w:t>
      </w:r>
      <w:hyperlink r:id="rId9" w:history="1">
        <w:r w:rsidRPr="00CF6E3B">
          <w:rPr>
            <w:i/>
            <w:color w:val="0000FF"/>
          </w:rPr>
          <w:t>Residential Eviction Defense and Tenant Claims in Minnesota</w:t>
        </w:r>
      </w:hyperlink>
      <w:r w:rsidRPr="00CF6E3B">
        <w:t xml:space="preserve">, identifies two such trial court rulings, </w:t>
      </w:r>
      <w:hyperlink r:id="rId10" w:history="1">
        <w:r w:rsidRPr="00CF6E3B">
          <w:rPr>
            <w:i/>
            <w:color w:val="0000FF"/>
          </w:rPr>
          <w:t xml:space="preserve">Glenwood Financial LLC v. Samantha </w:t>
        </w:r>
        <w:proofErr w:type="spellStart"/>
        <w:r w:rsidRPr="00CF6E3B">
          <w:rPr>
            <w:i/>
            <w:color w:val="0000FF"/>
          </w:rPr>
          <w:t>Zelinski</w:t>
        </w:r>
        <w:proofErr w:type="spellEnd"/>
        <w:r w:rsidRPr="00CF6E3B">
          <w:rPr>
            <w:i/>
            <w:color w:val="0000FF"/>
          </w:rPr>
          <w:t xml:space="preserve"> and Shane </w:t>
        </w:r>
        <w:proofErr w:type="spellStart"/>
        <w:r w:rsidRPr="00CF6E3B">
          <w:rPr>
            <w:i/>
            <w:color w:val="0000FF"/>
          </w:rPr>
          <w:t>Zelinski</w:t>
        </w:r>
        <w:proofErr w:type="spellEnd"/>
        <w:r w:rsidRPr="00CF6E3B">
          <w:rPr>
            <w:color w:val="0000FF"/>
          </w:rPr>
          <w:t xml:space="preserve">, No. 27-CV-HC-14-5721 Minn. Dist. Ct. 4th Dist. Nov. 25, 2014) </w:t>
        </w:r>
      </w:hyperlink>
      <w:r w:rsidRPr="00044969">
        <w:t>and</w:t>
      </w:r>
      <w:r w:rsidRPr="00CF6E3B">
        <w:t xml:space="preserve"> </w:t>
      </w:r>
      <w:hyperlink r:id="rId11" w:history="1">
        <w:r w:rsidRPr="00CF6E3B">
          <w:rPr>
            <w:i/>
            <w:color w:val="0000FF"/>
          </w:rPr>
          <w:t>Twin City Development Co. v. Veronica Salto and Luis Salto</w:t>
        </w:r>
        <w:r w:rsidRPr="00CF6E3B">
          <w:rPr>
            <w:color w:val="0000FF"/>
          </w:rPr>
          <w:t>, No. 27-CV-HC-14-4804 (Minn. Dist. Ct. 4th Dist. Sep. 23, 2014)</w:t>
        </w:r>
      </w:hyperlink>
      <w:r w:rsidRPr="00CF6E3B">
        <w:t>.</w:t>
      </w:r>
    </w:p>
    <w:p w14:paraId="05010663" w14:textId="77777777" w:rsidR="00AF6A88" w:rsidRPr="00CF6E3B" w:rsidRDefault="00AF6A88">
      <w:pPr>
        <w:widowControl w:val="0"/>
      </w:pPr>
    </w:p>
    <w:p w14:paraId="135EB4E5" w14:textId="640AE020" w:rsidR="00AF6A88" w:rsidRPr="00CF6E3B" w:rsidRDefault="00000000">
      <w:pPr>
        <w:widowControl w:val="0"/>
      </w:pPr>
      <w:r w:rsidRPr="00CF6E3B">
        <w:t xml:space="preserve">In </w:t>
      </w:r>
      <w:r w:rsidRPr="00C61771">
        <w:rPr>
          <w:u w:val="single"/>
        </w:rPr>
        <w:t>Glenwood Financial</w:t>
      </w:r>
      <w:r w:rsidRPr="00CF6E3B">
        <w:t>, the Complaint listed the premises as 2226 University Avenue NE, Minneapolis, MN. On its face, this looks like a street address. However, this building was a duplex and so effectively the address was not a street address</w:t>
      </w:r>
      <w:r w:rsidR="005B379C">
        <w:t xml:space="preserve">. </w:t>
      </w:r>
      <w:r w:rsidRPr="00CF6E3B">
        <w:t xml:space="preserve">Based on two reasons – no street address plus incorrect service of process -- the court found the tenants </w:t>
      </w:r>
      <w:r w:rsidR="00373D96">
        <w:t xml:space="preserve">had </w:t>
      </w:r>
      <w:r w:rsidRPr="00CF6E3B">
        <w:t>a defense to the case.</w:t>
      </w:r>
    </w:p>
    <w:p w14:paraId="334E801F" w14:textId="77777777" w:rsidR="00AF6A88" w:rsidRPr="00CF6E3B" w:rsidRDefault="00AF6A88">
      <w:pPr>
        <w:widowControl w:val="0"/>
      </w:pPr>
    </w:p>
    <w:p w14:paraId="6595F150" w14:textId="2D349C5D" w:rsidR="00AF6A88" w:rsidRPr="00CF6E3B" w:rsidRDefault="00000000">
      <w:pPr>
        <w:widowControl w:val="0"/>
      </w:pPr>
      <w:r w:rsidRPr="00CF6E3B">
        <w:t xml:space="preserve">In </w:t>
      </w:r>
      <w:r w:rsidRPr="00C61771">
        <w:rPr>
          <w:u w:val="single"/>
        </w:rPr>
        <w:t>Twin City Development</w:t>
      </w:r>
      <w:r w:rsidRPr="00CF6E3B">
        <w:t xml:space="preserve">, the plaintiff sued Veronica Salto and Luis Salto in one case. Twin </w:t>
      </w:r>
      <w:r w:rsidR="005B379C" w:rsidRPr="00CF6E3B">
        <w:t>City listed</w:t>
      </w:r>
      <w:r w:rsidRPr="00CF6E3B">
        <w:t xml:space="preserve"> the premises as 2922 Portland Avenue South, Apartment 1AB, Minneapolis, MN</w:t>
      </w:r>
      <w:r w:rsidR="00C61771">
        <w:t xml:space="preserve"> 55407</w:t>
      </w:r>
      <w:r w:rsidRPr="00CF6E3B">
        <w:t>. On its face, this looks like a street address. However, this building had several apartments, Veronica had her own lease for Apartment 1A</w:t>
      </w:r>
      <w:r w:rsidR="008A660F">
        <w:t>,</w:t>
      </w:r>
      <w:r w:rsidRPr="00CF6E3B">
        <w:t xml:space="preserve"> and Luis had his own lease for Apartment 1B. Effectively the address was not a street address</w:t>
      </w:r>
      <w:r w:rsidR="0060608A" w:rsidRPr="00CF6E3B">
        <w:t>.</w:t>
      </w:r>
      <w:r w:rsidRPr="00CF6E3B">
        <w:t xml:space="preserve">  Based on Rule 604 and Minn. Stat. § 504B.321 the trial court dismissed the case.</w:t>
      </w:r>
    </w:p>
    <w:p w14:paraId="445771EA" w14:textId="77777777" w:rsidR="00AF6A88" w:rsidRPr="00CF6E3B" w:rsidRDefault="00AF6A88">
      <w:pPr>
        <w:widowControl w:val="0"/>
      </w:pPr>
    </w:p>
    <w:p w14:paraId="69B9EE67" w14:textId="77777777" w:rsidR="00AF6A88" w:rsidRPr="00CF6E3B" w:rsidRDefault="00000000">
      <w:pPr>
        <w:widowControl w:val="0"/>
        <w:ind w:left="720"/>
      </w:pPr>
      <w:r w:rsidRPr="00CF6E3B">
        <w:rPr>
          <w:b/>
        </w:rPr>
        <w:t>In one 1852 Minnesota appellate case, decided during the Territorial era, the court ruled for the tenant because the complaint on its face did not specify the boundaries of the premises</w:t>
      </w:r>
    </w:p>
    <w:p w14:paraId="1CFBE1CD" w14:textId="77777777" w:rsidR="00AF6A88" w:rsidRPr="00CF6E3B" w:rsidRDefault="00AF6A88">
      <w:pPr>
        <w:widowControl w:val="0"/>
      </w:pPr>
    </w:p>
    <w:p w14:paraId="06123D08" w14:textId="5DBB8517" w:rsidR="00AF6A88" w:rsidRPr="007F31D7" w:rsidRDefault="00000000">
      <w:pPr>
        <w:widowControl w:val="0"/>
      </w:pPr>
      <w:r w:rsidRPr="007F31D7">
        <w:t>There has been one Minnesota appellate case deciding what a landlord must state when identifying the premises</w:t>
      </w:r>
      <w:r w:rsidRPr="007F31D7">
        <w:rPr>
          <w:i/>
        </w:rPr>
        <w:t xml:space="preserve">, </w:t>
      </w:r>
      <w:hyperlink r:id="rId12" w:history="1">
        <w:r w:rsidRPr="007F31D7">
          <w:rPr>
            <w:rStyle w:val="Hyperlink"/>
            <w:i/>
            <w:u w:val="none"/>
          </w:rPr>
          <w:t>Lewis vs</w:t>
        </w:r>
        <w:r w:rsidRPr="007F31D7">
          <w:rPr>
            <w:rStyle w:val="Hyperlink"/>
            <w:i/>
            <w:u w:val="none"/>
          </w:rPr>
          <w:t xml:space="preserve"> </w:t>
        </w:r>
        <w:r w:rsidRPr="007F31D7">
          <w:rPr>
            <w:rStyle w:val="Hyperlink"/>
            <w:i/>
            <w:u w:val="none"/>
          </w:rPr>
          <w:t>Steele</w:t>
        </w:r>
        <w:r w:rsidRPr="007F31D7">
          <w:rPr>
            <w:rStyle w:val="Hyperlink"/>
            <w:u w:val="none"/>
          </w:rPr>
          <w:t>, 1 Minn. 88, 1 Gil. 67 (Minn. Terr. Sup. Ct. 1852)</w:t>
        </w:r>
      </w:hyperlink>
      <w:r w:rsidR="007F31D7" w:rsidRPr="007F31D7">
        <w:t xml:space="preserve"> </w:t>
      </w:r>
      <w:r w:rsidRPr="007F31D7">
        <w:t>. The complaint described the premises as, “lands, tenements, and other possessions of the complainants, on Hennepin Island, so called, at the Falls of St. Anthony.” 1 Minn. at 90. The court ruled that this was insufficient and dismissed the case, stating:</w:t>
      </w:r>
    </w:p>
    <w:p w14:paraId="04BC214B" w14:textId="77777777" w:rsidR="00AF6A88" w:rsidRPr="00CF6E3B" w:rsidRDefault="00AF6A88">
      <w:pPr>
        <w:widowControl w:val="0"/>
      </w:pPr>
    </w:p>
    <w:p w14:paraId="4055F55D" w14:textId="4429DC80" w:rsidR="00AF6A88" w:rsidRPr="00CF6E3B" w:rsidRDefault="00000000">
      <w:pPr>
        <w:widowControl w:val="0"/>
        <w:ind w:left="720"/>
      </w:pPr>
      <w:r w:rsidRPr="00CF6E3B">
        <w:t>the complaint should “</w:t>
      </w:r>
      <w:r w:rsidRPr="00CF6E3B">
        <w:rPr>
          <w:i/>
        </w:rPr>
        <w:t xml:space="preserve">particularly </w:t>
      </w:r>
      <w:r w:rsidRPr="00CF6E3B">
        <w:t xml:space="preserve">describe the premises so entered and detained.” The propriety of this requirement will suggest itself at once. It is necessary as a guide to the Justices whose duty it is made to lay before the jury the cause of complaint, and to issue to the proper officer final process of restitution in the event of a verdict for the complainants. Such an officer has no other guide but the precept placed in his hands, and, if that be vague and indefinite, to whom shall he go for information, or how is he to know with any certainty what the premises are which he is to deliver to the party </w:t>
      </w:r>
      <w:r w:rsidR="005B379C" w:rsidRPr="00CF6E3B">
        <w:t>entitled?</w:t>
      </w:r>
      <w:r w:rsidRPr="00CF6E3B">
        <w:t xml:space="preserve"> Surely no one will contend that he should go beyond, or without the execution for his direction.</w:t>
      </w:r>
    </w:p>
    <w:p w14:paraId="3CB2D6B0" w14:textId="77777777" w:rsidR="00AF6A88" w:rsidRPr="00CF6E3B" w:rsidRDefault="00AF6A88">
      <w:pPr>
        <w:widowControl w:val="0"/>
      </w:pPr>
    </w:p>
    <w:p w14:paraId="33E2F8FA" w14:textId="77777777" w:rsidR="00AF6A88" w:rsidRPr="00CF6E3B" w:rsidRDefault="00000000">
      <w:pPr>
        <w:widowControl w:val="0"/>
      </w:pPr>
      <w:r w:rsidRPr="00CF6E3B">
        <w:rPr>
          <w:i/>
        </w:rPr>
        <w:t xml:space="preserve">Id. </w:t>
      </w:r>
      <w:r w:rsidRPr="00CF6E3B">
        <w:t>(italics in original).</w:t>
      </w:r>
    </w:p>
    <w:p w14:paraId="25765CE6" w14:textId="77777777" w:rsidR="00AF6A88" w:rsidRPr="00CF6E3B" w:rsidRDefault="00AF6A88">
      <w:pPr>
        <w:widowControl w:val="0"/>
      </w:pPr>
    </w:p>
    <w:p w14:paraId="48D6A15F" w14:textId="4C8EAACA" w:rsidR="00AF6A88" w:rsidRPr="00CF6E3B" w:rsidRDefault="00000000">
      <w:pPr>
        <w:widowControl w:val="0"/>
      </w:pPr>
      <w:r w:rsidRPr="00CF6E3B">
        <w:t xml:space="preserve">Note that it did not matter that the defendant could be found on Hennepin Island. Mr. Lewis </w:t>
      </w:r>
      <w:r w:rsidR="002C7DC5">
        <w:t xml:space="preserve">had </w:t>
      </w:r>
      <w:r w:rsidR="002C7DC5">
        <w:lastRenderedPageBreak/>
        <w:t>been</w:t>
      </w:r>
      <w:r w:rsidR="004B33A8" w:rsidRPr="00CF6E3B">
        <w:t xml:space="preserve"> found because he got served and </w:t>
      </w:r>
      <w:r w:rsidRPr="00CF6E3B">
        <w:t xml:space="preserve">appeared at the initial hearing. </w:t>
      </w:r>
      <w:r w:rsidRPr="00CF6E3B">
        <w:rPr>
          <w:i/>
        </w:rPr>
        <w:t xml:space="preserve">Id. </w:t>
      </w:r>
      <w:r w:rsidRPr="00CF6E3B">
        <w:t>at 89. Not stated in the case, but surely known to the court, Hennepin Island was a small community of probably fewer than 100 occupants.</w:t>
      </w:r>
      <w:r w:rsidRPr="00CF6E3B">
        <w:rPr>
          <w:rStyle w:val="FootnoteReference"/>
        </w:rPr>
        <w:footnoteReference w:id="3"/>
      </w:r>
      <w:r w:rsidRPr="00CF6E3B">
        <w:t xml:space="preserve"> By gathering evidence after the trial or even during the trial, surely the sheriff could have decided the boundaries of the premises set out in Mr. Lewis’ lease. This did not matter. What mattered was that the complaint was insufficient on its face to allow the sheriff, when executing the Writ of Restitution, to know what area he was supposed to remove Mr. Lewis from.</w:t>
      </w:r>
    </w:p>
    <w:p w14:paraId="6CF98DBB" w14:textId="77777777" w:rsidR="00AF6A88" w:rsidRPr="00CF6E3B" w:rsidRDefault="00000000">
      <w:pPr>
        <w:widowControl w:val="0"/>
      </w:pPr>
      <w:r w:rsidRPr="00CF6E3B">
        <w:tab/>
      </w:r>
      <w:r w:rsidRPr="00CF6E3B">
        <w:tab/>
      </w:r>
    </w:p>
    <w:p w14:paraId="3CBF1F11" w14:textId="73494179" w:rsidR="00AF6A88" w:rsidRPr="00CF6E3B" w:rsidRDefault="00000000">
      <w:pPr>
        <w:widowControl w:val="0"/>
      </w:pPr>
      <w:r w:rsidRPr="00CF6E3B">
        <w:t xml:space="preserve">Based on this case, the Complaint must </w:t>
      </w:r>
      <w:r w:rsidRPr="00CF6E3B">
        <w:rPr>
          <w:i/>
        </w:rPr>
        <w:t xml:space="preserve">on its face </w:t>
      </w:r>
      <w:r w:rsidRPr="00CF6E3B">
        <w:t>particularly describe the premises.</w:t>
      </w:r>
    </w:p>
    <w:p w14:paraId="5C61B199" w14:textId="2AE71120" w:rsidR="000422BD" w:rsidRPr="00CF6E3B" w:rsidRDefault="000422BD">
      <w:pPr>
        <w:widowControl w:val="0"/>
      </w:pPr>
    </w:p>
    <w:p w14:paraId="7D88CA98" w14:textId="3BEBEF0D" w:rsidR="000422BD" w:rsidRPr="00CF6E3B" w:rsidRDefault="000422BD">
      <w:pPr>
        <w:widowControl w:val="0"/>
        <w:rPr>
          <w:b/>
          <w:bCs/>
        </w:rPr>
      </w:pPr>
      <w:r w:rsidRPr="00CF6E3B">
        <w:rPr>
          <w:b/>
          <w:bCs/>
        </w:rPr>
        <w:t>TWO ISSUES</w:t>
      </w:r>
      <w:r w:rsidR="007E24F5">
        <w:rPr>
          <w:b/>
          <w:bCs/>
        </w:rPr>
        <w:t xml:space="preserve"> </w:t>
      </w:r>
      <w:r w:rsidR="007E24F5" w:rsidRPr="00CF6E3B">
        <w:rPr>
          <w:b/>
          <w:bCs/>
        </w:rPr>
        <w:t>REMAIN</w:t>
      </w:r>
    </w:p>
    <w:p w14:paraId="0D311640" w14:textId="2F2F3C5D" w:rsidR="000422BD" w:rsidRPr="00CF6E3B" w:rsidRDefault="000422BD">
      <w:pPr>
        <w:widowControl w:val="0"/>
        <w:rPr>
          <w:b/>
          <w:bCs/>
        </w:rPr>
      </w:pPr>
    </w:p>
    <w:p w14:paraId="1C09B8F5" w14:textId="1D367FA0" w:rsidR="000422BD" w:rsidRPr="00CF6E3B" w:rsidRDefault="000422BD" w:rsidP="000422BD">
      <w:pPr>
        <w:widowControl w:val="0"/>
      </w:pPr>
      <w:r w:rsidRPr="00CF6E3B">
        <w:t xml:space="preserve">The discerning reader will have noticed that I have avoided two issues. First, the 1851 Eviction Action/Unlawful Detainer statutes are not identical to the 2023 statutes. Second, the </w:t>
      </w:r>
      <w:r w:rsidRPr="00A20FE3">
        <w:rPr>
          <w:u w:val="single"/>
        </w:rPr>
        <w:t xml:space="preserve">Lewis v. Steele </w:t>
      </w:r>
      <w:r w:rsidRPr="00CF6E3B">
        <w:t>case was decided by the Minnesota Territorial Supreme Court, not the State of Minnesota Supreme Court. These two matters are discussed below.</w:t>
      </w:r>
    </w:p>
    <w:p w14:paraId="0B17AAD1" w14:textId="77777777" w:rsidR="00AF6A88" w:rsidRPr="00CF6E3B" w:rsidRDefault="00AF6A88">
      <w:pPr>
        <w:widowControl w:val="0"/>
      </w:pPr>
    </w:p>
    <w:p w14:paraId="2600CD06" w14:textId="77777777" w:rsidR="00AF6A88" w:rsidRPr="00CF6E3B" w:rsidRDefault="00000000">
      <w:pPr>
        <w:widowControl w:val="0"/>
        <w:rPr>
          <w:b/>
        </w:rPr>
      </w:pPr>
      <w:r w:rsidRPr="00CF6E3B">
        <w:rPr>
          <w:b/>
        </w:rPr>
        <w:t xml:space="preserve">THE 1851 STATUTE DID NOT ITSELF REQUIRE A DESCRIPTION OF THE PREMISES BUT SUBSEQUENTLY THAT REQUIREMENT WAS INCORPORATED INTO THE STATUTE, APPARENTLY BASED ON </w:t>
      </w:r>
      <w:r w:rsidRPr="00A20FE3">
        <w:rPr>
          <w:b/>
          <w:u w:val="single"/>
        </w:rPr>
        <w:t>LEWIS v. STEELE</w:t>
      </w:r>
      <w:r w:rsidRPr="00CF6E3B">
        <w:rPr>
          <w:b/>
        </w:rPr>
        <w:t xml:space="preserve"> RATHER THAN ON A NEW SESSION LAW.</w:t>
      </w:r>
    </w:p>
    <w:p w14:paraId="7591946B" w14:textId="77777777" w:rsidR="005649B0" w:rsidRPr="00CF6E3B" w:rsidRDefault="005649B0" w:rsidP="005649B0"/>
    <w:p w14:paraId="3B9B4328" w14:textId="29A412A8" w:rsidR="005649B0" w:rsidRPr="00CF6E3B" w:rsidRDefault="005649B0" w:rsidP="005649B0">
      <w:r w:rsidRPr="00CF6E3B">
        <w:t xml:space="preserve">The history of Minn. Stat. § 504B.321 is summarized in West’s Minnesota Statutes </w:t>
      </w:r>
      <w:proofErr w:type="spellStart"/>
      <w:r w:rsidRPr="00CF6E3B">
        <w:t>Annotatedas</w:t>
      </w:r>
      <w:proofErr w:type="spellEnd"/>
      <w:r w:rsidRPr="00CF6E3B">
        <w:t xml:space="preserve"> follows (colors added):</w:t>
      </w:r>
      <w:r w:rsidR="00896E21" w:rsidRPr="00CF6E3B">
        <w:rPr>
          <w:rStyle w:val="FootnoteReference"/>
        </w:rPr>
        <w:footnoteReference w:id="4"/>
      </w:r>
      <w:r w:rsidRPr="00CF6E3B">
        <w:rPr>
          <w:color w:val="000000"/>
        </w:rPr>
        <w:tab/>
      </w:r>
    </w:p>
    <w:p w14:paraId="6E77935C" w14:textId="7C5D3232" w:rsidR="006639D8" w:rsidRPr="00CF6E3B" w:rsidRDefault="006639D8" w:rsidP="0072611A">
      <w:pPr>
        <w:widowControl w:val="0"/>
        <w:ind w:left="720"/>
      </w:pPr>
    </w:p>
    <w:p w14:paraId="047175F7" w14:textId="7EDA0A19" w:rsidR="006639D8" w:rsidRPr="00CF6E3B" w:rsidRDefault="006639D8" w:rsidP="0072611A">
      <w:pPr>
        <w:widowControl w:val="0"/>
        <w:ind w:left="720"/>
      </w:pPr>
      <w:r w:rsidRPr="00CF6E3B">
        <w:t>Laws 2007, c. 13, art. 3</w:t>
      </w:r>
      <w:r w:rsidR="001E3113" w:rsidRPr="00CF6E3B">
        <w:tab/>
      </w:r>
      <w:r w:rsidR="001E3113" w:rsidRPr="00CF6E3B">
        <w:tab/>
      </w:r>
      <w:r w:rsidR="001E3113" w:rsidRPr="00CF6E3B">
        <w:tab/>
        <w:t xml:space="preserve">St. 1927, § </w:t>
      </w:r>
      <w:r w:rsidR="001E3113" w:rsidRPr="00BB3D1E">
        <w:t>9151</w:t>
      </w:r>
    </w:p>
    <w:p w14:paraId="11157D9A" w14:textId="009A7EF7" w:rsidR="006639D8" w:rsidRPr="00CF6E3B" w:rsidRDefault="006639D8" w:rsidP="0072611A">
      <w:pPr>
        <w:widowControl w:val="0"/>
        <w:ind w:left="720"/>
      </w:pPr>
      <w:r w:rsidRPr="00CF6E3B">
        <w:t>Laws 1999, c. 199, art. 1, § 44</w:t>
      </w:r>
      <w:r w:rsidR="001E3113" w:rsidRPr="00CF6E3B">
        <w:tab/>
      </w:r>
      <w:r w:rsidR="001E3113" w:rsidRPr="00CF6E3B">
        <w:tab/>
        <w:t xml:space="preserve">Gen. St. 1923, § </w:t>
      </w:r>
      <w:r w:rsidR="00044969">
        <w:t>9151</w:t>
      </w:r>
      <w:r w:rsidRPr="00CF6E3B">
        <w:tab/>
      </w:r>
      <w:r w:rsidRPr="00CF6E3B">
        <w:tab/>
      </w:r>
    </w:p>
    <w:p w14:paraId="47757B7E" w14:textId="68FCE06F" w:rsidR="006639D8" w:rsidRPr="00CF6E3B" w:rsidRDefault="006639D8" w:rsidP="0072611A">
      <w:pPr>
        <w:widowControl w:val="0"/>
        <w:ind w:left="720"/>
      </w:pPr>
      <w:r w:rsidRPr="00CF6E3B">
        <w:t>St. 1998, § 566.05</w:t>
      </w:r>
      <w:r w:rsidR="001E3113" w:rsidRPr="00CF6E3B">
        <w:tab/>
      </w:r>
      <w:r w:rsidR="001E3113" w:rsidRPr="00CF6E3B">
        <w:tab/>
      </w:r>
      <w:r w:rsidR="001E3113" w:rsidRPr="00CF6E3B">
        <w:tab/>
      </w:r>
      <w:r w:rsidR="001E3113" w:rsidRPr="00CF6E3B">
        <w:tab/>
        <w:t>Gen. St. 1913, § 7660</w:t>
      </w:r>
    </w:p>
    <w:p w14:paraId="53DC6CA9" w14:textId="2ED38B60" w:rsidR="001E3113" w:rsidRPr="00CF6E3B" w:rsidRDefault="006639D8" w:rsidP="0072611A">
      <w:pPr>
        <w:widowControl w:val="0"/>
        <w:ind w:left="720"/>
      </w:pPr>
      <w:r w:rsidRPr="00CF6E3B">
        <w:t>Laws 1997, c. 239, art. 12, §</w:t>
      </w:r>
      <w:r w:rsidR="001E3113" w:rsidRPr="00CF6E3B">
        <w:t xml:space="preserve"> 5</w:t>
      </w:r>
      <w:r w:rsidR="001E3113" w:rsidRPr="00CF6E3B">
        <w:tab/>
      </w:r>
      <w:r w:rsidR="001E3113" w:rsidRPr="00CF6E3B">
        <w:tab/>
        <w:t>Rev. Laws 190</w:t>
      </w:r>
      <w:r w:rsidR="00713540" w:rsidRPr="00CF6E3B">
        <w:t>5</w:t>
      </w:r>
      <w:r w:rsidR="001E3113" w:rsidRPr="00CF6E3B">
        <w:t>, § 4040</w:t>
      </w:r>
    </w:p>
    <w:p w14:paraId="037E1D74" w14:textId="609DCFC4" w:rsidR="006639D8" w:rsidRPr="00CF6E3B" w:rsidRDefault="006639D8" w:rsidP="0072611A">
      <w:pPr>
        <w:widowControl w:val="0"/>
        <w:ind w:left="720"/>
      </w:pPr>
      <w:r w:rsidRPr="00CF6E3B">
        <w:t>Laws 1996, c. 328, § 7</w:t>
      </w:r>
      <w:r w:rsidR="00713540" w:rsidRPr="00CF6E3B">
        <w:tab/>
      </w:r>
      <w:r w:rsidR="00713540" w:rsidRPr="00CF6E3B">
        <w:tab/>
      </w:r>
      <w:r w:rsidR="00713540" w:rsidRPr="00CF6E3B">
        <w:tab/>
        <w:t xml:space="preserve">Gen. St. 1894, §§ </w:t>
      </w:r>
      <w:r w:rsidR="00713540" w:rsidRPr="00CF6E3B">
        <w:rPr>
          <w:color w:val="FF0000"/>
        </w:rPr>
        <w:t>6110</w:t>
      </w:r>
      <w:r w:rsidR="00044969">
        <w:rPr>
          <w:color w:val="000000"/>
        </w:rPr>
        <w:t xml:space="preserve">, </w:t>
      </w:r>
      <w:r w:rsidR="00044969" w:rsidRPr="00BB3D1E">
        <w:rPr>
          <w:color w:val="000000"/>
          <w:highlight w:val="yellow"/>
        </w:rPr>
        <w:t>6127</w:t>
      </w:r>
    </w:p>
    <w:p w14:paraId="5F926383" w14:textId="382B0927" w:rsidR="006639D8" w:rsidRPr="00CF6E3B" w:rsidRDefault="006639D8" w:rsidP="0072611A">
      <w:pPr>
        <w:widowControl w:val="0"/>
        <w:ind w:left="720"/>
        <w:rPr>
          <w:color w:val="000000"/>
        </w:rPr>
      </w:pPr>
      <w:r w:rsidRPr="00CF6E3B">
        <w:rPr>
          <w:color w:val="000000"/>
        </w:rPr>
        <w:t>Laws 1994, c. 502, § 4</w:t>
      </w:r>
      <w:r w:rsidR="00713540" w:rsidRPr="00CF6E3B">
        <w:rPr>
          <w:color w:val="000000"/>
        </w:rPr>
        <w:tab/>
      </w:r>
      <w:r w:rsidR="00713540" w:rsidRPr="00CF6E3B">
        <w:rPr>
          <w:color w:val="000000"/>
        </w:rPr>
        <w:tab/>
      </w:r>
      <w:r w:rsidR="00713540" w:rsidRPr="00CF6E3B">
        <w:rPr>
          <w:color w:val="000000"/>
        </w:rPr>
        <w:tab/>
      </w:r>
      <w:r w:rsidR="00E7194E" w:rsidRPr="00CF6E3B">
        <w:rPr>
          <w:color w:val="000000"/>
        </w:rPr>
        <w:t xml:space="preserve">Gen. </w:t>
      </w:r>
      <w:r w:rsidR="00713540" w:rsidRPr="00CF6E3B">
        <w:rPr>
          <w:color w:val="000000"/>
        </w:rPr>
        <w:t xml:space="preserve">St. 1878, c. 84, §§ </w:t>
      </w:r>
      <w:r w:rsidR="00713540" w:rsidRPr="00CF6E3B">
        <w:rPr>
          <w:color w:val="FF0000"/>
        </w:rPr>
        <w:t>3</w:t>
      </w:r>
      <w:r w:rsidR="00713540" w:rsidRPr="00CF6E3B">
        <w:rPr>
          <w:color w:val="000000"/>
        </w:rPr>
        <w:t>,</w:t>
      </w:r>
      <w:r w:rsidR="00713540" w:rsidRPr="00BB3D1E">
        <w:rPr>
          <w:highlight w:val="yellow"/>
        </w:rPr>
        <w:t>20</w:t>
      </w:r>
    </w:p>
    <w:p w14:paraId="5FD7A7BF" w14:textId="54A9086D" w:rsidR="006639D8" w:rsidRPr="00CF6E3B" w:rsidRDefault="006639D8" w:rsidP="0072611A">
      <w:pPr>
        <w:widowControl w:val="0"/>
        <w:ind w:left="720"/>
        <w:rPr>
          <w:color w:val="000000"/>
        </w:rPr>
      </w:pPr>
      <w:r w:rsidRPr="00CF6E3B">
        <w:rPr>
          <w:color w:val="000000"/>
        </w:rPr>
        <w:t>Laws 1981, c. 168, § 3</w:t>
      </w:r>
      <w:r w:rsidR="00E7194E" w:rsidRPr="00CF6E3B">
        <w:rPr>
          <w:color w:val="000000"/>
        </w:rPr>
        <w:tab/>
      </w:r>
      <w:r w:rsidR="00E7194E" w:rsidRPr="00CF6E3B">
        <w:rPr>
          <w:color w:val="000000"/>
        </w:rPr>
        <w:tab/>
      </w:r>
      <w:r w:rsidR="00E7194E" w:rsidRPr="00CF6E3B">
        <w:rPr>
          <w:color w:val="000000"/>
        </w:rPr>
        <w:tab/>
        <w:t xml:space="preserve">Gen. </w:t>
      </w:r>
      <w:r w:rsidR="00265669" w:rsidRPr="00CF6E3B">
        <w:rPr>
          <w:color w:val="000000"/>
        </w:rPr>
        <w:t>St. 1866, c. 84, §§</w:t>
      </w:r>
      <w:r w:rsidR="00265669" w:rsidRPr="00CF6E3B">
        <w:rPr>
          <w:color w:val="FF0000"/>
        </w:rPr>
        <w:t>3</w:t>
      </w:r>
      <w:r w:rsidR="00265669" w:rsidRPr="00CF6E3B">
        <w:rPr>
          <w:color w:val="000000"/>
        </w:rPr>
        <w:t>,</w:t>
      </w:r>
      <w:r w:rsidR="00265669" w:rsidRPr="00BB3D1E">
        <w:rPr>
          <w:highlight w:val="yellow"/>
        </w:rPr>
        <w:t>20</w:t>
      </w:r>
    </w:p>
    <w:p w14:paraId="2D144EC8" w14:textId="63948480" w:rsidR="006639D8" w:rsidRPr="00CF6E3B" w:rsidRDefault="006639D8" w:rsidP="0072611A">
      <w:pPr>
        <w:widowControl w:val="0"/>
        <w:ind w:left="720"/>
        <w:rPr>
          <w:color w:val="0000FF"/>
        </w:rPr>
      </w:pPr>
      <w:r w:rsidRPr="00CF6E3B">
        <w:rPr>
          <w:color w:val="000000"/>
        </w:rPr>
        <w:t>Laws 1973, c. 611, § 8</w:t>
      </w:r>
      <w:r w:rsidR="00265669" w:rsidRPr="00CF6E3B">
        <w:rPr>
          <w:color w:val="000000"/>
        </w:rPr>
        <w:tab/>
      </w:r>
      <w:r w:rsidR="00265669" w:rsidRPr="00CF6E3B">
        <w:rPr>
          <w:color w:val="000000"/>
        </w:rPr>
        <w:tab/>
      </w:r>
      <w:r w:rsidR="00265669" w:rsidRPr="00CF6E3B">
        <w:rPr>
          <w:color w:val="000000"/>
        </w:rPr>
        <w:tab/>
        <w:t xml:space="preserve">Gen. 1858, c. 84, §§ </w:t>
      </w:r>
      <w:r w:rsidR="00265669" w:rsidRPr="00CF6E3B">
        <w:rPr>
          <w:color w:val="FF0000"/>
        </w:rPr>
        <w:t>3</w:t>
      </w:r>
      <w:r w:rsidR="00265669" w:rsidRPr="00CF6E3B">
        <w:rPr>
          <w:color w:val="000000"/>
        </w:rPr>
        <w:t>,</w:t>
      </w:r>
      <w:r w:rsidR="00265669" w:rsidRPr="00BB3D1E">
        <w:rPr>
          <w:highlight w:val="yellow"/>
        </w:rPr>
        <w:t>24</w:t>
      </w:r>
    </w:p>
    <w:p w14:paraId="1EC304EB" w14:textId="7D60CC88" w:rsidR="00AF6A88" w:rsidRPr="00CF6E3B" w:rsidRDefault="00265669" w:rsidP="0072611A">
      <w:pPr>
        <w:widowControl w:val="0"/>
        <w:ind w:left="720"/>
        <w:rPr>
          <w:color w:val="000000"/>
        </w:rPr>
      </w:pPr>
      <w:r w:rsidRPr="00CF6E3B">
        <w:rPr>
          <w:color w:val="0000FF"/>
        </w:rPr>
        <w:tab/>
      </w:r>
      <w:r w:rsidRPr="00CF6E3B">
        <w:rPr>
          <w:color w:val="0000FF"/>
        </w:rPr>
        <w:tab/>
      </w:r>
      <w:r w:rsidRPr="00CF6E3B">
        <w:rPr>
          <w:color w:val="0000FF"/>
        </w:rPr>
        <w:tab/>
      </w:r>
      <w:r w:rsidRPr="00CF6E3B">
        <w:rPr>
          <w:color w:val="0000FF"/>
        </w:rPr>
        <w:tab/>
      </w:r>
      <w:r w:rsidRPr="00CF6E3B">
        <w:rPr>
          <w:color w:val="0000FF"/>
        </w:rPr>
        <w:tab/>
      </w:r>
      <w:r w:rsidRPr="00CF6E3B">
        <w:rPr>
          <w:color w:val="0000FF"/>
        </w:rPr>
        <w:tab/>
      </w:r>
      <w:r w:rsidRPr="00BB3D1E">
        <w:t>Rev</w:t>
      </w:r>
      <w:r w:rsidRPr="00CF6E3B">
        <w:rPr>
          <w:color w:val="0000FF"/>
        </w:rPr>
        <w:t xml:space="preserve">. </w:t>
      </w:r>
      <w:r w:rsidRPr="00CF6E3B">
        <w:rPr>
          <w:color w:val="000000"/>
        </w:rPr>
        <w:t xml:space="preserve">St. (Terr.) [1851], c. 87, §§ </w:t>
      </w:r>
      <w:r w:rsidRPr="00CF6E3B">
        <w:rPr>
          <w:color w:val="FF0000"/>
        </w:rPr>
        <w:t>3</w:t>
      </w:r>
      <w:r w:rsidRPr="00CF6E3B">
        <w:rPr>
          <w:color w:val="000000"/>
        </w:rPr>
        <w:t>,</w:t>
      </w:r>
      <w:r w:rsidRPr="00BB3D1E">
        <w:rPr>
          <w:highlight w:val="yellow"/>
        </w:rPr>
        <w:t>24</w:t>
      </w:r>
      <w:r w:rsidRPr="00CF6E3B">
        <w:rPr>
          <w:color w:val="000000"/>
        </w:rPr>
        <w:tab/>
      </w:r>
      <w:r w:rsidRPr="00CF6E3B">
        <w:rPr>
          <w:color w:val="000000"/>
        </w:rPr>
        <w:tab/>
      </w:r>
    </w:p>
    <w:p w14:paraId="3AA06B10" w14:textId="77777777" w:rsidR="00AF6A88" w:rsidRPr="00CF6E3B" w:rsidRDefault="00AF6A88">
      <w:pPr>
        <w:widowControl w:val="0"/>
        <w:rPr>
          <w:color w:val="000000"/>
        </w:rPr>
      </w:pPr>
    </w:p>
    <w:p w14:paraId="7B81A66D" w14:textId="05D3AD93" w:rsidR="00AF6A88" w:rsidRPr="00CF6E3B" w:rsidRDefault="00000000">
      <w:pPr>
        <w:widowControl w:val="0"/>
        <w:rPr>
          <w:color w:val="000000"/>
        </w:rPr>
      </w:pPr>
      <w:r w:rsidRPr="00CF6E3B">
        <w:rPr>
          <w:color w:val="000000"/>
        </w:rPr>
        <w:t>Prior t</w:t>
      </w:r>
      <w:r w:rsidR="00A92E72" w:rsidRPr="00CF6E3B">
        <w:rPr>
          <w:color w:val="000000"/>
        </w:rPr>
        <w:t>o 1</w:t>
      </w:r>
      <w:r w:rsidRPr="00CF6E3B">
        <w:rPr>
          <w:color w:val="000000"/>
        </w:rPr>
        <w:t xml:space="preserve">905 the sections in </w:t>
      </w:r>
      <w:r w:rsidR="00BB3D1E">
        <w:rPr>
          <w:color w:val="000000"/>
        </w:rPr>
        <w:t>yellow</w:t>
      </w:r>
      <w:r w:rsidRPr="00CF6E3B">
        <w:rPr>
          <w:color w:val="000000"/>
        </w:rPr>
        <w:t xml:space="preserve"> above </w:t>
      </w:r>
      <w:r w:rsidRPr="00922EB1">
        <w:t>(</w:t>
      </w:r>
      <w:r w:rsidRPr="00922EB1">
        <w:rPr>
          <w:highlight w:val="yellow"/>
        </w:rPr>
        <w:t>§20</w:t>
      </w:r>
      <w:r w:rsidRPr="00922EB1">
        <w:t xml:space="preserve">, </w:t>
      </w:r>
      <w:r w:rsidRPr="00922EB1">
        <w:rPr>
          <w:highlight w:val="yellow"/>
        </w:rPr>
        <w:t>§24</w:t>
      </w:r>
      <w:r w:rsidRPr="00922EB1">
        <w:t xml:space="preserve">, </w:t>
      </w:r>
      <w:r w:rsidRPr="00922EB1">
        <w:rPr>
          <w:highlight w:val="yellow"/>
        </w:rPr>
        <w:t>§6127</w:t>
      </w:r>
      <w:r w:rsidRPr="00CF6E3B">
        <w:rPr>
          <w:color w:val="000000"/>
        </w:rPr>
        <w:t xml:space="preserve">) stated the language of the </w:t>
      </w:r>
      <w:r w:rsidRPr="00CF6E3B">
        <w:rPr>
          <w:color w:val="000000"/>
        </w:rPr>
        <w:lastRenderedPageBreak/>
        <w:t>Summons, the Writ of Restitution (now Writ of Recovery and Order to Vacate) and the Form of Verdict.</w:t>
      </w:r>
      <w:r w:rsidR="00A52E16">
        <w:rPr>
          <w:color w:val="000000"/>
        </w:rPr>
        <w:t xml:space="preserve"> </w:t>
      </w:r>
      <w:r w:rsidRPr="00CF6E3B">
        <w:rPr>
          <w:color w:val="000000"/>
        </w:rPr>
        <w:t>The sections in red above (</w:t>
      </w:r>
      <w:r w:rsidRPr="00CF6E3B">
        <w:rPr>
          <w:color w:val="FF0000"/>
        </w:rPr>
        <w:t>§3, §6110</w:t>
      </w:r>
      <w:r w:rsidRPr="00CF6E3B">
        <w:rPr>
          <w:color w:val="000000"/>
        </w:rPr>
        <w:t>) included the language about the requirements of the Complaint.</w:t>
      </w:r>
    </w:p>
    <w:p w14:paraId="37DAAEE4" w14:textId="77777777" w:rsidR="00AF6A88" w:rsidRPr="00CF6E3B" w:rsidRDefault="00AF6A88">
      <w:pPr>
        <w:widowControl w:val="0"/>
        <w:rPr>
          <w:color w:val="000000"/>
        </w:rPr>
      </w:pPr>
    </w:p>
    <w:p w14:paraId="5B742E14" w14:textId="7982FA9C" w:rsidR="00AF6A88" w:rsidRPr="00CF6E3B" w:rsidRDefault="00000000">
      <w:pPr>
        <w:widowControl w:val="0"/>
        <w:rPr>
          <w:color w:val="000000"/>
        </w:rPr>
      </w:pPr>
      <w:r w:rsidRPr="00CF6E3B">
        <w:rPr>
          <w:color w:val="000000"/>
        </w:rPr>
        <w:t>The language of §3 in the Minnesota Territorial Statute, was as follows:</w:t>
      </w:r>
    </w:p>
    <w:p w14:paraId="13189986" w14:textId="77777777" w:rsidR="00AF6A88" w:rsidRPr="00CF6E3B" w:rsidRDefault="00AF6A88">
      <w:pPr>
        <w:widowControl w:val="0"/>
        <w:rPr>
          <w:color w:val="000000"/>
        </w:rPr>
      </w:pPr>
    </w:p>
    <w:p w14:paraId="31C65E81" w14:textId="7F965FAD" w:rsidR="00AF6A88" w:rsidRPr="00CF6E3B" w:rsidRDefault="00000000">
      <w:pPr>
        <w:widowControl w:val="0"/>
        <w:ind w:left="720"/>
        <w:rPr>
          <w:color w:val="000000"/>
        </w:rPr>
      </w:pPr>
      <w:r w:rsidRPr="00CF6E3B">
        <w:rPr>
          <w:color w:val="000000"/>
        </w:rPr>
        <w:t>[Chapter 87] S</w:t>
      </w:r>
      <w:r w:rsidRPr="00CF6E3B">
        <w:rPr>
          <w:smallCaps/>
          <w:color w:val="000000"/>
        </w:rPr>
        <w:t>ec</w:t>
      </w:r>
      <w:r w:rsidRPr="00CF6E3B">
        <w:rPr>
          <w:color w:val="000000"/>
        </w:rPr>
        <w:t xml:space="preserve">. 3. When any complaint shall be made in writing, to any justice of the peace, of any such unlawful or forcible entry or unlawful detainer, said justice shall issue a summons, directed to the sheriff or any constable of the same county, commanding him to summon the person or persons against whom such complaint shall have been made, to appear before the said justice on a day in such summons named, which shall not be less than six, nor more than ten </w:t>
      </w:r>
      <w:r w:rsidR="00771405">
        <w:rPr>
          <w:color w:val="000000"/>
        </w:rPr>
        <w:t>days</w:t>
      </w:r>
      <w:r w:rsidRPr="00CF6E3B">
        <w:rPr>
          <w:color w:val="000000"/>
        </w:rPr>
        <w:t xml:space="preserve"> from the day of issuing such summons, and at the place therein mentioned.</w:t>
      </w:r>
      <w:r w:rsidRPr="00CF6E3B">
        <w:rPr>
          <w:rStyle w:val="FootnoteReference"/>
          <w:color w:val="000000"/>
        </w:rPr>
        <w:footnoteReference w:id="5"/>
      </w:r>
    </w:p>
    <w:p w14:paraId="222456E1" w14:textId="77777777" w:rsidR="00AF6A88" w:rsidRPr="00CF6E3B" w:rsidRDefault="00AF6A88">
      <w:pPr>
        <w:widowControl w:val="0"/>
        <w:rPr>
          <w:color w:val="000000"/>
        </w:rPr>
      </w:pPr>
    </w:p>
    <w:p w14:paraId="6725AB4F" w14:textId="4368D017" w:rsidR="00AF6A88" w:rsidRPr="00CF6E3B" w:rsidRDefault="00000000">
      <w:pPr>
        <w:widowControl w:val="0"/>
        <w:rPr>
          <w:color w:val="000000"/>
        </w:rPr>
      </w:pPr>
      <w:r w:rsidRPr="00CF6E3B">
        <w:rPr>
          <w:color w:val="000000"/>
        </w:rPr>
        <w:t>The 1858 statute was exactly the same as the 1851 statute.</w:t>
      </w:r>
      <w:r w:rsidRPr="00CF6E3B">
        <w:rPr>
          <w:rStyle w:val="FootnoteReference"/>
          <w:color w:val="000000"/>
        </w:rPr>
        <w:footnoteReference w:id="6"/>
      </w:r>
      <w:r w:rsidRPr="00CF6E3B">
        <w:rPr>
          <w:color w:val="000000"/>
        </w:rPr>
        <w:t xml:space="preserve"> The 1866, 1878, and 1894 versions of the Complaint statute were nearly identical to the 1858 statute with only very minor changes.</w:t>
      </w:r>
      <w:r w:rsidRPr="00CF6E3B">
        <w:rPr>
          <w:rStyle w:val="FootnoteReference"/>
          <w:color w:val="000000"/>
        </w:rPr>
        <w:footnoteReference w:id="7"/>
      </w:r>
    </w:p>
    <w:p w14:paraId="2B29F108" w14:textId="77777777" w:rsidR="00AF6A88" w:rsidRPr="00CF6E3B" w:rsidRDefault="00AF6A88">
      <w:pPr>
        <w:widowControl w:val="0"/>
        <w:rPr>
          <w:color w:val="000000"/>
        </w:rPr>
      </w:pPr>
    </w:p>
    <w:p w14:paraId="03109900" w14:textId="77777777" w:rsidR="00AF6A88" w:rsidRPr="00CF6E3B" w:rsidRDefault="00000000">
      <w:pPr>
        <w:widowControl w:val="0"/>
        <w:rPr>
          <w:color w:val="000000"/>
        </w:rPr>
      </w:pPr>
      <w:r w:rsidRPr="00CF6E3B">
        <w:rPr>
          <w:color w:val="000000"/>
        </w:rPr>
        <w:t xml:space="preserve">The 1901 legislature created a commission to recodify the entire statute books minus the tax statutes. It later told the commission to do those as well. </w:t>
      </w:r>
      <w:hyperlink r:id="rId13" w:history="1">
        <w:r w:rsidRPr="00CF6E3B">
          <w:rPr>
            <w:smallCaps/>
            <w:color w:val="0000FF"/>
          </w:rPr>
          <w:t>Preface to the Revised Laws Minnesota 1905.</w:t>
        </w:r>
      </w:hyperlink>
      <w:r w:rsidRPr="00CF6E3B">
        <w:rPr>
          <w:color w:val="000000"/>
        </w:rPr>
        <w:t xml:space="preserve"> The commission wasn’t supposed to change the law. The Preface says:</w:t>
      </w:r>
    </w:p>
    <w:p w14:paraId="2ECA475A" w14:textId="77777777" w:rsidR="00AF6A88" w:rsidRPr="00CF6E3B" w:rsidRDefault="00AF6A88">
      <w:pPr>
        <w:widowControl w:val="0"/>
        <w:rPr>
          <w:color w:val="000000"/>
        </w:rPr>
      </w:pPr>
    </w:p>
    <w:p w14:paraId="212023F0" w14:textId="77777777" w:rsidR="00AF6A88" w:rsidRPr="00CF6E3B" w:rsidRDefault="00000000">
      <w:pPr>
        <w:widowControl w:val="0"/>
        <w:ind w:left="720"/>
        <w:rPr>
          <w:color w:val="000000"/>
        </w:rPr>
      </w:pPr>
      <w:r w:rsidRPr="00CF6E3B">
        <w:rPr>
          <w:color w:val="000000"/>
        </w:rPr>
        <w:t>While the commission was authorized to "codify" the general laws no attempt was made to write a new and complete code of laws. The following laws are not a new body of laws but a rearrangement and restatement of the previously existing general statutory laws of the state, with such amendments as the commission and legislature deemed advisable.</w:t>
      </w:r>
    </w:p>
    <w:p w14:paraId="690F694E" w14:textId="77777777" w:rsidR="00AF6A88" w:rsidRPr="00CF6E3B" w:rsidRDefault="00AF6A88">
      <w:pPr>
        <w:widowControl w:val="0"/>
        <w:rPr>
          <w:color w:val="000000"/>
        </w:rPr>
      </w:pPr>
    </w:p>
    <w:p w14:paraId="0F47BB3E" w14:textId="7B3FF363" w:rsidR="00AF6A88" w:rsidRPr="00CF6E3B" w:rsidRDefault="00000000">
      <w:pPr>
        <w:widowControl w:val="0"/>
        <w:rPr>
          <w:color w:val="000000"/>
        </w:rPr>
      </w:pPr>
      <w:r w:rsidRPr="00CF6E3B">
        <w:rPr>
          <w:i/>
          <w:color w:val="000000"/>
        </w:rPr>
        <w:t xml:space="preserve">Id. </w:t>
      </w:r>
      <w:r w:rsidRPr="00CF6E3B">
        <w:rPr>
          <w:color w:val="000000"/>
        </w:rPr>
        <w:t xml:space="preserve">at 3, last five lines. It took the commission a few years to do its job. The legislature enacted the entire new code in 1905 as Rev. Laws 1905. It produced </w:t>
      </w:r>
      <w:r w:rsidR="002B016B">
        <w:rPr>
          <w:color w:val="000000"/>
        </w:rPr>
        <w:t>the following</w:t>
      </w:r>
      <w:r w:rsidRPr="00CF6E3B">
        <w:rPr>
          <w:color w:val="000000"/>
        </w:rPr>
        <w:t xml:space="preserve"> language, as Rev. Laws 1905, § 4040:</w:t>
      </w:r>
    </w:p>
    <w:p w14:paraId="4DE6EE33" w14:textId="77777777" w:rsidR="00AF6A88" w:rsidRPr="00CF6E3B" w:rsidRDefault="00AF6A88">
      <w:pPr>
        <w:widowControl w:val="0"/>
        <w:rPr>
          <w:color w:val="000000"/>
        </w:rPr>
      </w:pPr>
    </w:p>
    <w:p w14:paraId="2F4CE89B" w14:textId="77777777" w:rsidR="00AF6A88" w:rsidRPr="00CF6E3B" w:rsidRDefault="00000000">
      <w:pPr>
        <w:widowControl w:val="0"/>
        <w:ind w:left="720"/>
        <w:rPr>
          <w:color w:val="000000"/>
        </w:rPr>
      </w:pPr>
      <w:r w:rsidRPr="00CF6E3B">
        <w:rPr>
          <w:b/>
          <w:color w:val="000000"/>
        </w:rPr>
        <w:t>4040. Complaint and summons</w:t>
      </w:r>
      <w:r w:rsidRPr="00CF6E3B">
        <w:rPr>
          <w:color w:val="000000"/>
        </w:rPr>
        <w:t xml:space="preserve"> – The person complaining shall file a complaint with a justice of the peace, </w:t>
      </w:r>
      <w:r w:rsidRPr="00CF6E3B">
        <w:rPr>
          <w:i/>
          <w:color w:val="000000"/>
        </w:rPr>
        <w:t>describing the premises of which possession is claimed, stating the facts which authorize the recovery</w:t>
      </w:r>
      <w:r w:rsidRPr="00CF6E3B">
        <w:rPr>
          <w:color w:val="000000"/>
        </w:rPr>
        <w:t xml:space="preserve">, and praying for restitution thereof. The justice shall </w:t>
      </w:r>
      <w:r w:rsidRPr="00CF6E3B">
        <w:rPr>
          <w:color w:val="000000"/>
        </w:rPr>
        <w:lastRenderedPageBreak/>
        <w:t xml:space="preserve">thereupon issue a summons, directed to the sheriff or any constable of the county, commanding him to summon the person against whom such complaint is made to appear before him on a day and at a place in such summons named, which shall not be less than three nor more than ten days from the day of issuing the same. A copy of the complaint shall be attached to the summons, which shall state that it is so attached, and that the original has been filed. </w:t>
      </w:r>
    </w:p>
    <w:p w14:paraId="34844020" w14:textId="77777777" w:rsidR="00AF6A88" w:rsidRPr="00CF6E3B" w:rsidRDefault="00AF6A88">
      <w:pPr>
        <w:widowControl w:val="0"/>
        <w:rPr>
          <w:color w:val="000000"/>
        </w:rPr>
      </w:pPr>
    </w:p>
    <w:p w14:paraId="509CDFD8" w14:textId="15916DA1" w:rsidR="00AF6A88" w:rsidRPr="00CF6E3B" w:rsidRDefault="00000000">
      <w:pPr>
        <w:widowControl w:val="0"/>
        <w:rPr>
          <w:color w:val="000000"/>
        </w:rPr>
      </w:pPr>
      <w:r w:rsidRPr="00CF6E3B">
        <w:rPr>
          <w:color w:val="000000"/>
        </w:rPr>
        <w:t>(</w:t>
      </w:r>
      <w:proofErr w:type="gramStart"/>
      <w:r w:rsidRPr="00CF6E3B">
        <w:rPr>
          <w:color w:val="000000"/>
        </w:rPr>
        <w:t>emphasis</w:t>
      </w:r>
      <w:proofErr w:type="gramEnd"/>
      <w:r w:rsidRPr="00CF6E3B">
        <w:rPr>
          <w:color w:val="000000"/>
        </w:rPr>
        <w:t xml:space="preserve"> added). Despite the commission being charged with making no substantial changes, by comparing the 1905 law with the prior law, it is clear the commission made several material changes. These included the italicized language requiring a description of the premises plus a statement of facts. The likely reason for this is to incorporate the construction of the original statute by the </w:t>
      </w:r>
      <w:r w:rsidRPr="00A20FE3">
        <w:rPr>
          <w:color w:val="000000"/>
          <w:u w:val="single"/>
        </w:rPr>
        <w:t>Lewis v. Steele</w:t>
      </w:r>
      <w:r w:rsidRPr="00CF6E3B">
        <w:rPr>
          <w:color w:val="000000"/>
        </w:rPr>
        <w:t xml:space="preserve"> </w:t>
      </w:r>
      <w:proofErr w:type="gramStart"/>
      <w:r w:rsidRPr="00CF6E3B">
        <w:rPr>
          <w:color w:val="000000"/>
        </w:rPr>
        <w:t>c</w:t>
      </w:r>
      <w:r w:rsidR="00DB08D4">
        <w:rPr>
          <w:color w:val="000000"/>
        </w:rPr>
        <w:t>ourt.</w:t>
      </w:r>
      <w:r w:rsidR="00A20FE3">
        <w:rPr>
          <w:color w:val="000000"/>
        </w:rPr>
        <w:t>.</w:t>
      </w:r>
      <w:proofErr w:type="gramEnd"/>
    </w:p>
    <w:p w14:paraId="2D44419A" w14:textId="77777777" w:rsidR="00AF6A88" w:rsidRPr="00CF6E3B" w:rsidRDefault="00AF6A88">
      <w:pPr>
        <w:widowControl w:val="0"/>
        <w:rPr>
          <w:color w:val="000000"/>
        </w:rPr>
      </w:pPr>
    </w:p>
    <w:p w14:paraId="2E958C82" w14:textId="79884D24" w:rsidR="00AF6A88" w:rsidRPr="00CF6E3B" w:rsidRDefault="00000000">
      <w:pPr>
        <w:widowControl w:val="0"/>
        <w:rPr>
          <w:color w:val="000000"/>
        </w:rPr>
      </w:pPr>
      <w:r w:rsidRPr="00CF6E3B">
        <w:rPr>
          <w:color w:val="000000"/>
        </w:rPr>
        <w:t>The 1913, 1923 and 1927 printing</w:t>
      </w:r>
      <w:r w:rsidR="004B33A8" w:rsidRPr="00CF6E3B">
        <w:rPr>
          <w:color w:val="000000"/>
        </w:rPr>
        <w:t>s</w:t>
      </w:r>
      <w:r w:rsidRPr="00CF6E3B">
        <w:rPr>
          <w:color w:val="000000"/>
        </w:rPr>
        <w:t xml:space="preserve"> of the </w:t>
      </w:r>
      <w:r w:rsidR="004B33A8" w:rsidRPr="00CF6E3B">
        <w:rPr>
          <w:color w:val="000000"/>
        </w:rPr>
        <w:t>s</w:t>
      </w:r>
      <w:r w:rsidRPr="00CF6E3B">
        <w:rPr>
          <w:color w:val="000000"/>
        </w:rPr>
        <w:t>tatute essentially copied the 1905 Revised Laws statute. The changes made between 1973 and 1997 modified parts of the statute unrelated to the describing-the-premises issue.</w:t>
      </w:r>
      <w:r w:rsidRPr="00CF6E3B">
        <w:rPr>
          <w:rStyle w:val="FootnoteReference"/>
          <w:color w:val="000000"/>
        </w:rPr>
        <w:footnoteReference w:id="8"/>
      </w:r>
    </w:p>
    <w:p w14:paraId="3A3C2FB8" w14:textId="77777777" w:rsidR="00AF6A88" w:rsidRPr="00CF6E3B" w:rsidRDefault="00AF6A88">
      <w:pPr>
        <w:widowControl w:val="0"/>
        <w:rPr>
          <w:color w:val="000000"/>
        </w:rPr>
      </w:pPr>
    </w:p>
    <w:p w14:paraId="31FF6D2D" w14:textId="06C213B7" w:rsidR="00AF6A88" w:rsidRPr="00CF6E3B" w:rsidRDefault="00000000">
      <w:pPr>
        <w:widowControl w:val="0"/>
        <w:rPr>
          <w:color w:val="000000"/>
        </w:rPr>
      </w:pPr>
      <w:r w:rsidRPr="00CF6E3B">
        <w:rPr>
          <w:color w:val="000000"/>
        </w:rPr>
        <w:t xml:space="preserve">The 1999 law was the result of another recodification. In 1999 the landlord-tenant statutes were </w:t>
      </w:r>
      <w:r w:rsidR="005B379C" w:rsidRPr="00CF6E3B">
        <w:rPr>
          <w:color w:val="000000"/>
        </w:rPr>
        <w:t>recodified by</w:t>
      </w:r>
      <w:r w:rsidRPr="00CF6E3B">
        <w:rPr>
          <w:color w:val="000000"/>
        </w:rPr>
        <w:t xml:space="preserve"> 1999 Minn. Laws </w:t>
      </w:r>
      <w:proofErr w:type="spellStart"/>
      <w:r w:rsidRPr="00CF6E3B">
        <w:rPr>
          <w:color w:val="000000"/>
        </w:rPr>
        <w:t>ch.</w:t>
      </w:r>
      <w:proofErr w:type="spellEnd"/>
      <w:r w:rsidRPr="00CF6E3B">
        <w:rPr>
          <w:color w:val="000000"/>
        </w:rPr>
        <w:t xml:space="preserve"> 199. This very long law rewrote (recodified) all the statutes in Minn. Stat. Chapters 504 and 566 into a new Minn. Stat. Chap. 504B. However, the purpose was not to change the substance of the law. The purpose was to modernize the language </w:t>
      </w:r>
      <w:r w:rsidR="005B379C" w:rsidRPr="00CF6E3B">
        <w:rPr>
          <w:color w:val="000000"/>
        </w:rPr>
        <w:t>and make</w:t>
      </w:r>
      <w:r w:rsidRPr="00CF6E3B">
        <w:rPr>
          <w:color w:val="000000"/>
        </w:rPr>
        <w:t xml:space="preserve"> the statutes easier to read. As discussed in </w:t>
      </w:r>
      <w:hyperlink r:id="rId14" w:history="1">
        <w:proofErr w:type="spellStart"/>
        <w:r w:rsidRPr="00CF6E3B">
          <w:rPr>
            <w:i/>
            <w:color w:val="0000FF"/>
          </w:rPr>
          <w:t>Occhino</w:t>
        </w:r>
        <w:proofErr w:type="spellEnd"/>
        <w:r w:rsidRPr="00CF6E3B">
          <w:rPr>
            <w:i/>
            <w:color w:val="0000FF"/>
          </w:rPr>
          <w:t xml:space="preserve"> v. Grover</w:t>
        </w:r>
        <w:r w:rsidRPr="00CF6E3B">
          <w:rPr>
            <w:color w:val="0000FF"/>
          </w:rPr>
          <w:t>, 640 N.W.2d 35</w:t>
        </w:r>
        <w:r w:rsidR="007600A4">
          <w:rPr>
            <w:color w:val="0000FF"/>
          </w:rPr>
          <w:t>7,362</w:t>
        </w:r>
        <w:r w:rsidRPr="00CF6E3B">
          <w:rPr>
            <w:color w:val="0000FF"/>
          </w:rPr>
          <w:t xml:space="preserve"> (Minn. Ct. App. 2002)</w:t>
        </w:r>
      </w:hyperlink>
      <w:r w:rsidRPr="00CF6E3B">
        <w:rPr>
          <w:color w:val="000000"/>
        </w:rPr>
        <w:t xml:space="preserve">, the new statutes in chapter 504B and the old statutes in chapters 504/566 are meant to have the same meaning. Indeed, the relevant parts of the new Minn. Stat. § 504B.321 (1999) </w:t>
      </w:r>
      <w:r w:rsidR="007600A4">
        <w:rPr>
          <w:color w:val="000000"/>
        </w:rPr>
        <w:t xml:space="preserve">and </w:t>
      </w:r>
      <w:r w:rsidRPr="00CF6E3B">
        <w:rPr>
          <w:color w:val="000000"/>
        </w:rPr>
        <w:t>the old Minn. Stat. § 566.05 (1998) were nearly identical and materially the same.</w:t>
      </w:r>
    </w:p>
    <w:p w14:paraId="2F0C2E31" w14:textId="77777777" w:rsidR="00AF6A88" w:rsidRPr="00CF6E3B" w:rsidRDefault="00AF6A88">
      <w:pPr>
        <w:widowControl w:val="0"/>
        <w:rPr>
          <w:color w:val="000000"/>
        </w:rPr>
      </w:pPr>
    </w:p>
    <w:p w14:paraId="0154D549" w14:textId="12777AB0" w:rsidR="00AF6A88" w:rsidRPr="00CF6E3B" w:rsidRDefault="00000000">
      <w:pPr>
        <w:widowControl w:val="0"/>
        <w:rPr>
          <w:color w:val="000000"/>
        </w:rPr>
      </w:pPr>
      <w:r w:rsidRPr="00CF6E3B">
        <w:rPr>
          <w:color w:val="000000"/>
        </w:rPr>
        <w:t>Finally, the 2007 law was part of the Revisor’s bil</w:t>
      </w:r>
      <w:r w:rsidR="005F1577">
        <w:rPr>
          <w:color w:val="000000"/>
        </w:rPr>
        <w:t>l</w:t>
      </w:r>
      <w:r w:rsidRPr="00CF6E3B">
        <w:rPr>
          <w:rStyle w:val="FootnoteReference"/>
          <w:color w:val="000000"/>
        </w:rPr>
        <w:footnoteReference w:id="9"/>
      </w:r>
      <w:r w:rsidRPr="00CF6E3B">
        <w:rPr>
          <w:color w:val="000000"/>
        </w:rPr>
        <w:t xml:space="preserve"> </w:t>
      </w:r>
      <w:r w:rsidR="005F1577">
        <w:rPr>
          <w:color w:val="000000"/>
        </w:rPr>
        <w:t>and</w:t>
      </w:r>
      <w:r w:rsidRPr="00CF6E3B">
        <w:rPr>
          <w:color w:val="000000"/>
        </w:rPr>
        <w:t xml:space="preserve"> simply fixed a typo in subdivision 2(d)</w:t>
      </w:r>
      <w:r w:rsidR="005F1577">
        <w:rPr>
          <w:color w:val="000000"/>
        </w:rPr>
        <w:t>. It</w:t>
      </w:r>
      <w:r w:rsidRPr="00CF6E3B">
        <w:rPr>
          <w:color w:val="000000"/>
        </w:rPr>
        <w:t xml:space="preserve"> was unrelated to the subject of this essay.</w:t>
      </w:r>
    </w:p>
    <w:p w14:paraId="2E870FF0" w14:textId="77777777" w:rsidR="00AF6A88" w:rsidRPr="00CF6E3B" w:rsidRDefault="00AF6A88">
      <w:pPr>
        <w:widowControl w:val="0"/>
        <w:rPr>
          <w:color w:val="000000"/>
        </w:rPr>
      </w:pPr>
    </w:p>
    <w:p w14:paraId="0E7B296E" w14:textId="77777777" w:rsidR="00AF6A88" w:rsidRPr="00CF6E3B" w:rsidRDefault="00000000">
      <w:pPr>
        <w:widowControl w:val="0"/>
        <w:rPr>
          <w:color w:val="000000"/>
        </w:rPr>
      </w:pPr>
      <w:r w:rsidRPr="00CF6E3B">
        <w:rPr>
          <w:color w:val="000000"/>
        </w:rPr>
        <w:t xml:space="preserve">In conclusion, as it pertains to describing the premises, today’s statute is materially the same as </w:t>
      </w:r>
      <w:r w:rsidRPr="00CF6E3B">
        <w:rPr>
          <w:color w:val="000000"/>
        </w:rPr>
        <w:lastRenderedPageBreak/>
        <w:t xml:space="preserve">the 1905 statute. In turn, the 1905 statute incorporated the holding of </w:t>
      </w:r>
      <w:r w:rsidRPr="00A20FE3">
        <w:rPr>
          <w:color w:val="000000"/>
          <w:u w:val="single"/>
        </w:rPr>
        <w:t>Lewis v. Steele</w:t>
      </w:r>
      <w:r w:rsidRPr="00CF6E3B">
        <w:rPr>
          <w:color w:val="000000"/>
        </w:rPr>
        <w:t xml:space="preserve"> into the statutory language itself.</w:t>
      </w:r>
    </w:p>
    <w:p w14:paraId="25F12BA1" w14:textId="77777777" w:rsidR="00AF6A88" w:rsidRPr="00CF6E3B" w:rsidRDefault="00AF6A88">
      <w:pPr>
        <w:widowControl w:val="0"/>
        <w:rPr>
          <w:color w:val="FF0000"/>
        </w:rPr>
      </w:pPr>
    </w:p>
    <w:p w14:paraId="30238656" w14:textId="32AD7A77" w:rsidR="00AF6A88" w:rsidRPr="00CF6E3B" w:rsidRDefault="00000000">
      <w:pPr>
        <w:widowControl w:val="0"/>
        <w:rPr>
          <w:i/>
          <w:color w:val="000000"/>
        </w:rPr>
      </w:pPr>
      <w:r w:rsidRPr="00CF6E3B">
        <w:rPr>
          <w:b/>
          <w:color w:val="000000"/>
        </w:rPr>
        <w:t xml:space="preserve">IS </w:t>
      </w:r>
      <w:r w:rsidRPr="00A20FE3">
        <w:rPr>
          <w:b/>
          <w:color w:val="000000"/>
          <w:u w:val="single"/>
        </w:rPr>
        <w:t>LEWIS v. STEELE</w:t>
      </w:r>
      <w:r w:rsidRPr="00CF6E3B">
        <w:rPr>
          <w:b/>
          <w:color w:val="000000"/>
        </w:rPr>
        <w:t xml:space="preserve">, DECIDED BY THE TERRITORIAL COURT, BINDING PRECEDENT </w:t>
      </w:r>
      <w:r w:rsidR="00495013">
        <w:rPr>
          <w:b/>
          <w:color w:val="000000"/>
        </w:rPr>
        <w:t>I</w:t>
      </w:r>
      <w:r w:rsidRPr="00CF6E3B">
        <w:rPr>
          <w:b/>
          <w:color w:val="000000"/>
        </w:rPr>
        <w:t xml:space="preserve">N STATE COURTS? </w:t>
      </w:r>
    </w:p>
    <w:p w14:paraId="5DE54DF8" w14:textId="77777777" w:rsidR="00AF6A88" w:rsidRPr="00CF6E3B" w:rsidRDefault="00AF6A88">
      <w:pPr>
        <w:widowControl w:val="0"/>
        <w:rPr>
          <w:i/>
          <w:color w:val="000000"/>
        </w:rPr>
      </w:pPr>
    </w:p>
    <w:p w14:paraId="40ED188B" w14:textId="77777777" w:rsidR="00AF6A88" w:rsidRPr="00CF6E3B" w:rsidRDefault="00000000">
      <w:pPr>
        <w:widowControl w:val="0"/>
        <w:ind w:left="720"/>
        <w:rPr>
          <w:b/>
          <w:color w:val="000000"/>
        </w:rPr>
      </w:pPr>
      <w:r w:rsidRPr="00CF6E3B">
        <w:rPr>
          <w:b/>
          <w:color w:val="000000"/>
        </w:rPr>
        <w:t>Probably not:</w:t>
      </w:r>
    </w:p>
    <w:p w14:paraId="62D36ECD" w14:textId="77777777" w:rsidR="00AF6A88" w:rsidRPr="00CF6E3B" w:rsidRDefault="00AF6A88">
      <w:pPr>
        <w:widowControl w:val="0"/>
        <w:rPr>
          <w:color w:val="000000"/>
        </w:rPr>
      </w:pPr>
    </w:p>
    <w:p w14:paraId="644E944C" w14:textId="13366BDF" w:rsidR="00AF6A88" w:rsidRPr="00CF6E3B" w:rsidRDefault="00000000">
      <w:pPr>
        <w:widowControl w:val="0"/>
        <w:rPr>
          <w:color w:val="000000"/>
        </w:rPr>
      </w:pPr>
      <w:r w:rsidRPr="00CF6E3B">
        <w:rPr>
          <w:color w:val="000000"/>
        </w:rPr>
        <w:t>It is well established that a holding of the Minnesota Supreme Court is binding preceden</w:t>
      </w:r>
      <w:r w:rsidR="000D60E8">
        <w:rPr>
          <w:color w:val="000000"/>
        </w:rPr>
        <w:t>t in state courts</w:t>
      </w:r>
      <w:r w:rsidRPr="00CF6E3B">
        <w:rPr>
          <w:color w:val="000000"/>
        </w:rPr>
        <w:t xml:space="preserve">. </w:t>
      </w:r>
      <w:r w:rsidRPr="00CF6E3B">
        <w:rPr>
          <w:i/>
          <w:iCs/>
          <w:color w:val="000000"/>
        </w:rPr>
        <w:t>E.g</w:t>
      </w:r>
      <w:r w:rsidRPr="00CF6E3B">
        <w:rPr>
          <w:color w:val="000000"/>
        </w:rPr>
        <w:t xml:space="preserve">. </w:t>
      </w:r>
      <w:r w:rsidRPr="00CF6E3B">
        <w:rPr>
          <w:i/>
          <w:color w:val="000000"/>
        </w:rPr>
        <w:t xml:space="preserve">see </w:t>
      </w:r>
      <w:hyperlink r:id="rId15" w:history="1">
        <w:r w:rsidRPr="00CF6E3B">
          <w:rPr>
            <w:i/>
            <w:color w:val="0000FF"/>
          </w:rPr>
          <w:t>State v. M.L.A.</w:t>
        </w:r>
        <w:r w:rsidRPr="00CF6E3B">
          <w:rPr>
            <w:color w:val="0000FF"/>
          </w:rPr>
          <w:t>, 785 N.W.2d 763,767 (Minn.</w:t>
        </w:r>
        <w:r w:rsidR="005B379C">
          <w:rPr>
            <w:color w:val="0000FF"/>
          </w:rPr>
          <w:t xml:space="preserve"> </w:t>
        </w:r>
        <w:r w:rsidRPr="00CF6E3B">
          <w:rPr>
            <w:color w:val="0000FF"/>
          </w:rPr>
          <w:t>App. 2010)</w:t>
        </w:r>
      </w:hyperlink>
      <w:r w:rsidRPr="00CF6E3B">
        <w:rPr>
          <w:i/>
          <w:color w:val="000000"/>
        </w:rPr>
        <w:t xml:space="preserve">, review denied </w:t>
      </w:r>
      <w:r w:rsidRPr="00CF6E3B">
        <w:rPr>
          <w:color w:val="000000"/>
        </w:rPr>
        <w:t>(Minn. Sept. 21, 2010) ("The district court, like this court [of appeals], is bound by supreme court precedent and the published opinions of the court of appeals”).</w:t>
      </w:r>
    </w:p>
    <w:p w14:paraId="359C220B" w14:textId="77777777" w:rsidR="00AF6A88" w:rsidRPr="00CF6E3B" w:rsidRDefault="00AF6A88">
      <w:pPr>
        <w:widowControl w:val="0"/>
        <w:rPr>
          <w:color w:val="000000"/>
        </w:rPr>
      </w:pPr>
    </w:p>
    <w:p w14:paraId="41D2D231" w14:textId="2DDBE77A" w:rsidR="00AF6A88" w:rsidRPr="00CF6E3B" w:rsidRDefault="00000000">
      <w:pPr>
        <w:widowControl w:val="0"/>
        <w:rPr>
          <w:color w:val="000000"/>
        </w:rPr>
      </w:pPr>
      <w:r w:rsidRPr="00CF6E3B">
        <w:rPr>
          <w:color w:val="000000"/>
        </w:rPr>
        <w:t xml:space="preserve">This rule does not cover cases decided by the Territorial court. As discussed below, the precise question of whether Territorial-court holdings are binding precedent in State courts does not seem to have been decided by State of Minnesota courts. That said, several factors suggest Territorial court rulings are not binding precedent </w:t>
      </w:r>
      <w:r w:rsidR="00C90807">
        <w:rPr>
          <w:color w:val="000000"/>
        </w:rPr>
        <w:t>i</w:t>
      </w:r>
      <w:r w:rsidRPr="00CF6E3B">
        <w:rPr>
          <w:color w:val="000000"/>
        </w:rPr>
        <w:t>n State courts.</w:t>
      </w:r>
    </w:p>
    <w:p w14:paraId="4FD6859B" w14:textId="77777777" w:rsidR="00AF6A88" w:rsidRPr="00CF6E3B" w:rsidRDefault="00AF6A88">
      <w:pPr>
        <w:widowControl w:val="0"/>
        <w:rPr>
          <w:color w:val="000000"/>
        </w:rPr>
      </w:pPr>
    </w:p>
    <w:p w14:paraId="73D0630C" w14:textId="77777777" w:rsidR="00AF6A88" w:rsidRPr="00044969" w:rsidRDefault="00000000">
      <w:pPr>
        <w:widowControl w:val="0"/>
        <w:ind w:left="1440"/>
        <w:rPr>
          <w:b/>
          <w:color w:val="000000"/>
          <w:u w:val="single"/>
        </w:rPr>
      </w:pPr>
      <w:r w:rsidRPr="00044969">
        <w:rPr>
          <w:color w:val="000000"/>
          <w:u w:val="single"/>
        </w:rPr>
        <w:t>The Minnesota Territory was not the same geographic area as the State of Minnesota</w:t>
      </w:r>
    </w:p>
    <w:p w14:paraId="1C74B81A" w14:textId="77777777" w:rsidR="00AF6A88" w:rsidRPr="00CF6E3B" w:rsidRDefault="00AF6A88">
      <w:pPr>
        <w:widowControl w:val="0"/>
        <w:rPr>
          <w:color w:val="000000"/>
        </w:rPr>
      </w:pPr>
    </w:p>
    <w:p w14:paraId="44C770EC" w14:textId="53C87F99" w:rsidR="00AF6A88" w:rsidRPr="00CF6E3B" w:rsidRDefault="00000000">
      <w:pPr>
        <w:widowControl w:val="0"/>
        <w:rPr>
          <w:color w:val="000000"/>
        </w:rPr>
      </w:pPr>
      <w:r w:rsidRPr="00CF6E3B">
        <w:rPr>
          <w:color w:val="000000"/>
        </w:rPr>
        <w:t>First, contrary to what is implied by the word “Minnesota”, the State of Minnesota and the Territory of Minnesota are not the same area. The Territory was much larger. Here i</w:t>
      </w:r>
      <w:r w:rsidR="00422C2C" w:rsidRPr="00CF6E3B">
        <w:rPr>
          <w:color w:val="000000"/>
        </w:rPr>
        <w:t>s a website with</w:t>
      </w:r>
      <w:r w:rsidRPr="00CF6E3B">
        <w:rPr>
          <w:color w:val="000000"/>
        </w:rPr>
        <w:t xml:space="preserve"> </w:t>
      </w:r>
      <w:hyperlink r:id="rId16" w:history="1">
        <w:r w:rsidR="00422C2C" w:rsidRPr="00CF6E3B">
          <w:rPr>
            <w:color w:val="0000FF"/>
          </w:rPr>
          <w:t>o</w:t>
        </w:r>
        <w:r w:rsidRPr="00CF6E3B">
          <w:rPr>
            <w:color w:val="0000FF"/>
          </w:rPr>
          <w:t>verlaying maps of the two places</w:t>
        </w:r>
      </w:hyperlink>
      <w:r w:rsidRPr="00CF6E3B">
        <w:rPr>
          <w:color w:val="000000"/>
        </w:rPr>
        <w:t xml:space="preserve">. This excellent article, </w:t>
      </w:r>
      <w:hyperlink r:id="rId17" w:history="1">
        <w:r w:rsidRPr="00CF6E3B">
          <w:rPr>
            <w:color w:val="0000FF"/>
          </w:rPr>
          <w:t xml:space="preserve">Rhoda Gilman, “Territorial Imperative: How Minnesota Became the 32nd State”, </w:t>
        </w:r>
        <w:r w:rsidRPr="00CF6E3B">
          <w:rPr>
            <w:i/>
            <w:color w:val="0000FF"/>
          </w:rPr>
          <w:t xml:space="preserve">Minnesota Historical Society, Winter 1998-1999 </w:t>
        </w:r>
        <w:r w:rsidRPr="00CF6E3B">
          <w:rPr>
            <w:color w:val="0000FF"/>
          </w:rPr>
          <w:t>at 155-171</w:t>
        </w:r>
      </w:hyperlink>
      <w:r w:rsidRPr="00CF6E3B">
        <w:rPr>
          <w:color w:val="000000"/>
        </w:rPr>
        <w:t>,  has a similar map.</w:t>
      </w:r>
    </w:p>
    <w:p w14:paraId="3243DF68" w14:textId="77777777" w:rsidR="00AF6A88" w:rsidRPr="00CF6E3B" w:rsidRDefault="00AF6A88">
      <w:pPr>
        <w:widowControl w:val="0"/>
        <w:rPr>
          <w:color w:val="000000"/>
        </w:rPr>
      </w:pPr>
    </w:p>
    <w:p w14:paraId="70DE722B" w14:textId="77777777" w:rsidR="00AF6A88" w:rsidRPr="00044969" w:rsidRDefault="00000000">
      <w:pPr>
        <w:widowControl w:val="0"/>
        <w:ind w:left="1440"/>
        <w:rPr>
          <w:color w:val="000000"/>
          <w:u w:val="single"/>
        </w:rPr>
      </w:pPr>
      <w:r w:rsidRPr="00044969">
        <w:rPr>
          <w:color w:val="000000"/>
          <w:u w:val="single"/>
        </w:rPr>
        <w:t>Unlike Minnesota Supreme Court justices, the Territorial Supreme Court justices were named by the U.S. President, making the Territorial court akin to a colonial court.</w:t>
      </w:r>
    </w:p>
    <w:p w14:paraId="20CED036" w14:textId="77777777" w:rsidR="00AF6A88" w:rsidRPr="00CF6E3B" w:rsidRDefault="00AF6A88">
      <w:pPr>
        <w:widowControl w:val="0"/>
        <w:ind w:left="720"/>
        <w:rPr>
          <w:color w:val="000000"/>
        </w:rPr>
      </w:pPr>
    </w:p>
    <w:p w14:paraId="3916735F" w14:textId="3A6286EC" w:rsidR="00AF6A88" w:rsidRDefault="00000000">
      <w:pPr>
        <w:widowControl w:val="0"/>
        <w:rPr>
          <w:color w:val="000000"/>
        </w:rPr>
      </w:pPr>
      <w:r w:rsidRPr="00CF6E3B">
        <w:rPr>
          <w:color w:val="000000"/>
        </w:rPr>
        <w:t xml:space="preserve">Second, unlike the members of State of Minnesota Supreme Court, the members of the Territorial Supreme Court were selected by the U.S. President and tended to be removed and replaced when a new president was elected. </w:t>
      </w:r>
      <w:r w:rsidR="00207562">
        <w:rPr>
          <w:color w:val="000000"/>
        </w:rPr>
        <w:t xml:space="preserve">Territorial justices were often from outside Minnesota. </w:t>
      </w:r>
      <w:r w:rsidRPr="00CF6E3B">
        <w:rPr>
          <w:color w:val="000000"/>
        </w:rPr>
        <w:t>Basically, the Territory was treated like a colony when its justices were selected.</w:t>
      </w:r>
      <w:r w:rsidRPr="00CF6E3B">
        <w:rPr>
          <w:rStyle w:val="FootnoteReference"/>
          <w:color w:val="000000"/>
        </w:rPr>
        <w:footnoteReference w:id="10"/>
      </w:r>
    </w:p>
    <w:p w14:paraId="428C5B72" w14:textId="77777777" w:rsidR="00044969" w:rsidRPr="00CF6E3B" w:rsidRDefault="00044969">
      <w:pPr>
        <w:widowControl w:val="0"/>
        <w:rPr>
          <w:color w:val="000000"/>
        </w:rPr>
      </w:pPr>
    </w:p>
    <w:p w14:paraId="2D54CF7E" w14:textId="0C34EE7C" w:rsidR="00AF6A88" w:rsidRPr="00044969" w:rsidRDefault="00000000">
      <w:pPr>
        <w:widowControl w:val="0"/>
        <w:ind w:left="1440"/>
        <w:rPr>
          <w:b/>
          <w:color w:val="000000"/>
          <w:u w:val="single"/>
        </w:rPr>
      </w:pPr>
      <w:r w:rsidRPr="00044969">
        <w:rPr>
          <w:color w:val="000000"/>
          <w:u w:val="single"/>
        </w:rPr>
        <w:t>Territorial Supreme Court Procedures were differ</w:t>
      </w:r>
      <w:r w:rsidR="0060608A" w:rsidRPr="00044969">
        <w:rPr>
          <w:color w:val="000000"/>
          <w:u w:val="single"/>
        </w:rPr>
        <w:t>e</w:t>
      </w:r>
      <w:r w:rsidRPr="00044969">
        <w:rPr>
          <w:color w:val="000000"/>
          <w:u w:val="single"/>
        </w:rPr>
        <w:t>nt than those of the State Supreme Court</w:t>
      </w:r>
    </w:p>
    <w:p w14:paraId="29A8CF4B" w14:textId="77777777" w:rsidR="00AF6A88" w:rsidRPr="00CF6E3B" w:rsidRDefault="00AF6A88">
      <w:pPr>
        <w:widowControl w:val="0"/>
        <w:rPr>
          <w:color w:val="000000"/>
        </w:rPr>
      </w:pPr>
    </w:p>
    <w:p w14:paraId="4C2544C4" w14:textId="55AD8F51" w:rsidR="00AF6A88" w:rsidRDefault="00000000">
      <w:pPr>
        <w:widowControl w:val="0"/>
        <w:rPr>
          <w:color w:val="000000" w:themeColor="text1"/>
        </w:rPr>
      </w:pPr>
      <w:r w:rsidRPr="008A0247">
        <w:rPr>
          <w:color w:val="000000" w:themeColor="text1"/>
        </w:rPr>
        <w:lastRenderedPageBreak/>
        <w:t xml:space="preserve">Third, </w:t>
      </w:r>
      <w:r w:rsidR="006362CD">
        <w:rPr>
          <w:color w:val="000000" w:themeColor="text1"/>
        </w:rPr>
        <w:t xml:space="preserve">Territorial </w:t>
      </w:r>
      <w:r w:rsidRPr="008A0247">
        <w:rPr>
          <w:color w:val="000000" w:themeColor="text1"/>
        </w:rPr>
        <w:t>court procedures were very different from current ones. The most striking one was that the three justices of the Territorial Supreme Court were also district court judges for the Territory.</w:t>
      </w:r>
      <w:proofErr w:type="gramStart"/>
      <w:r w:rsidRPr="008A0247">
        <w:rPr>
          <w:color w:val="000000" w:themeColor="text1"/>
          <w:vertAlign w:val="superscript"/>
        </w:rPr>
        <w:t>1</w:t>
      </w:r>
      <w:r w:rsidR="00422C2C" w:rsidRPr="008A0247">
        <w:rPr>
          <w:color w:val="000000" w:themeColor="text1"/>
          <w:vertAlign w:val="superscript"/>
        </w:rPr>
        <w:t>0</w:t>
      </w:r>
      <w:r w:rsidRPr="008A0247">
        <w:rPr>
          <w:color w:val="000000" w:themeColor="text1"/>
          <w:vertAlign w:val="superscript"/>
        </w:rPr>
        <w:t xml:space="preserve"> </w:t>
      </w:r>
      <w:r w:rsidRPr="008A0247">
        <w:rPr>
          <w:color w:val="000000" w:themeColor="text1"/>
        </w:rPr>
        <w:t xml:space="preserve"> When</w:t>
      </w:r>
      <w:proofErr w:type="gramEnd"/>
      <w:r w:rsidRPr="008A0247">
        <w:rPr>
          <w:color w:val="000000" w:themeColor="text1"/>
        </w:rPr>
        <w:t xml:space="preserve"> a district court case was appealed, the man who heard the case in district court would join the other two judges/justices to decide the appeal. In </w:t>
      </w:r>
      <w:r w:rsidRPr="008A0247">
        <w:rPr>
          <w:color w:val="000000" w:themeColor="text1"/>
          <w:u w:val="single"/>
        </w:rPr>
        <w:t>Lewis v. Steele</w:t>
      </w:r>
      <w:r w:rsidRPr="008A0247">
        <w:rPr>
          <w:color w:val="000000" w:themeColor="text1"/>
        </w:rPr>
        <w:t>, the opinion reversing the district court was decided 3-0 with the district court judge voting to overrule his own trial-court ruling.</w:t>
      </w:r>
    </w:p>
    <w:p w14:paraId="7E5FF91A" w14:textId="77777777" w:rsidR="007614E2" w:rsidRPr="008A0247" w:rsidRDefault="007614E2">
      <w:pPr>
        <w:widowControl w:val="0"/>
        <w:rPr>
          <w:color w:val="000000" w:themeColor="text1"/>
        </w:rPr>
      </w:pPr>
    </w:p>
    <w:p w14:paraId="4CCBE8D9" w14:textId="77777777" w:rsidR="00AF6A88" w:rsidRPr="00044969" w:rsidRDefault="00000000">
      <w:pPr>
        <w:widowControl w:val="0"/>
        <w:ind w:left="1440"/>
        <w:rPr>
          <w:color w:val="000000"/>
          <w:u w:val="single"/>
        </w:rPr>
      </w:pPr>
      <w:r w:rsidRPr="00044969">
        <w:rPr>
          <w:color w:val="000000"/>
          <w:u w:val="single"/>
        </w:rPr>
        <w:t>The Territorial courts didn’t have the resources to establish or know clear precedents.</w:t>
      </w:r>
    </w:p>
    <w:p w14:paraId="45B097E9" w14:textId="77777777" w:rsidR="00AF6A88" w:rsidRPr="00CF6E3B" w:rsidRDefault="00AF6A88">
      <w:pPr>
        <w:widowControl w:val="0"/>
        <w:rPr>
          <w:color w:val="000000"/>
        </w:rPr>
      </w:pPr>
    </w:p>
    <w:p w14:paraId="22C09FA3" w14:textId="4AFA1472" w:rsidR="00AF6A88" w:rsidRPr="008A0247" w:rsidRDefault="00000000">
      <w:pPr>
        <w:widowControl w:val="0"/>
        <w:rPr>
          <w:color w:val="000000" w:themeColor="text1"/>
        </w:rPr>
      </w:pPr>
      <w:r w:rsidRPr="008A0247">
        <w:rPr>
          <w:color w:val="000000" w:themeColor="text1"/>
        </w:rPr>
        <w:t>Fourth, the Territorial court literally did not have the resources to review precedents. They had no law library and were a sort of seat-of-the-pants operation. Sometimes they would rule on a case and cite with approval prior rulings on the same issue but not as if the original ruling was binding or that ignoring it</w:t>
      </w:r>
      <w:r w:rsidR="00890C1C" w:rsidRPr="008A0247">
        <w:rPr>
          <w:color w:val="000000" w:themeColor="text1"/>
        </w:rPr>
        <w:t xml:space="preserve"> meant</w:t>
      </w:r>
      <w:r w:rsidRPr="008A0247">
        <w:rPr>
          <w:color w:val="000000" w:themeColor="text1"/>
        </w:rPr>
        <w:t xml:space="preserve"> overturning a precedent.</w:t>
      </w:r>
      <w:r w:rsidRPr="008A0247">
        <w:rPr>
          <w:rStyle w:val="FootnoteReference"/>
          <w:color w:val="000000" w:themeColor="text1"/>
        </w:rPr>
        <w:footnoteReference w:id="11"/>
      </w:r>
    </w:p>
    <w:p w14:paraId="52B8E976" w14:textId="77777777" w:rsidR="00AF6A88" w:rsidRPr="00CF6E3B" w:rsidRDefault="00AF6A88">
      <w:pPr>
        <w:widowControl w:val="0"/>
        <w:rPr>
          <w:color w:val="000000"/>
        </w:rPr>
      </w:pPr>
    </w:p>
    <w:p w14:paraId="1AE12504" w14:textId="77777777" w:rsidR="00AF6A88" w:rsidRPr="00044969" w:rsidRDefault="00000000">
      <w:pPr>
        <w:widowControl w:val="0"/>
        <w:ind w:left="1440"/>
        <w:rPr>
          <w:b/>
          <w:color w:val="000000"/>
          <w:u w:val="single"/>
        </w:rPr>
      </w:pPr>
      <w:r w:rsidRPr="00044969">
        <w:rPr>
          <w:color w:val="000000"/>
          <w:u w:val="single"/>
        </w:rPr>
        <w:t>State Supreme Court Cases imply that Territorial cases are not binding precedent</w:t>
      </w:r>
    </w:p>
    <w:p w14:paraId="4A55D96D" w14:textId="77777777" w:rsidR="00AF6A88" w:rsidRPr="00CF6E3B" w:rsidRDefault="00AF6A88">
      <w:pPr>
        <w:widowControl w:val="0"/>
        <w:rPr>
          <w:color w:val="000000"/>
        </w:rPr>
      </w:pPr>
    </w:p>
    <w:p w14:paraId="5A8315AB" w14:textId="77777777" w:rsidR="00AF6A88" w:rsidRPr="00CF6E3B" w:rsidRDefault="00AF6A88">
      <w:pPr>
        <w:widowControl w:val="0"/>
        <w:rPr>
          <w:color w:val="000000"/>
        </w:rPr>
        <w:sectPr w:rsidR="00AF6A88" w:rsidRPr="00CF6E3B">
          <w:headerReference w:type="even" r:id="rId18"/>
          <w:headerReference w:type="default" r:id="rId19"/>
          <w:footerReference w:type="even" r:id="rId20"/>
          <w:footerReference w:type="default" r:id="rId21"/>
          <w:pgSz w:w="12240" w:h="15840"/>
          <w:pgMar w:top="1440" w:right="1440" w:bottom="1920" w:left="1440" w:header="720" w:footer="1440" w:gutter="0"/>
          <w:cols w:space="720"/>
        </w:sectPr>
      </w:pPr>
    </w:p>
    <w:p w14:paraId="71E3309D" w14:textId="66422166" w:rsidR="00AF6A88" w:rsidRPr="00CF6E3B" w:rsidRDefault="00000000">
      <w:pPr>
        <w:widowControl w:val="0"/>
        <w:rPr>
          <w:color w:val="000000"/>
        </w:rPr>
      </w:pPr>
      <w:r w:rsidRPr="00CF6E3B">
        <w:rPr>
          <w:color w:val="000000"/>
        </w:rPr>
        <w:t>Lastly, post-statehood cases imply that Territorial cases are not binding precedent. I tried to find a State of Minnesota appellate case definitively ruling o</w:t>
      </w:r>
      <w:r w:rsidR="008A0247">
        <w:rPr>
          <w:color w:val="000000"/>
        </w:rPr>
        <w:t>n</w:t>
      </w:r>
      <w:r w:rsidRPr="00CF6E3B">
        <w:rPr>
          <w:color w:val="000000"/>
        </w:rPr>
        <w:t xml:space="preserve"> the precedential value of a Territorial Supreme Court case. Using </w:t>
      </w:r>
      <w:hyperlink r:id="rId22" w:history="1">
        <w:r w:rsidRPr="00CF6E3B">
          <w:rPr>
            <w:color w:val="0000FF"/>
          </w:rPr>
          <w:t>Googl</w:t>
        </w:r>
        <w:r w:rsidRPr="00CF6E3B">
          <w:rPr>
            <w:color w:val="0000FF"/>
          </w:rPr>
          <w:t>e</w:t>
        </w:r>
        <w:r w:rsidRPr="00CF6E3B">
          <w:rPr>
            <w:color w:val="0000FF"/>
          </w:rPr>
          <w:t xml:space="preserve"> Scholar </w:t>
        </w:r>
      </w:hyperlink>
      <w:r w:rsidRPr="00CF6E3B">
        <w:rPr>
          <w:color w:val="000000"/>
        </w:rPr>
        <w:t xml:space="preserve">and the </w:t>
      </w:r>
      <w:hyperlink r:id="rId23" w:anchor="/" w:history="1">
        <w:r w:rsidRPr="00CF6E3B">
          <w:rPr>
            <w:color w:val="0000FF"/>
          </w:rPr>
          <w:t>Harv</w:t>
        </w:r>
        <w:r w:rsidRPr="00CF6E3B">
          <w:rPr>
            <w:color w:val="0000FF"/>
          </w:rPr>
          <w:t>a</w:t>
        </w:r>
        <w:r w:rsidRPr="00CF6E3B">
          <w:rPr>
            <w:color w:val="0000FF"/>
          </w:rPr>
          <w:t>rd Caselaw Project</w:t>
        </w:r>
      </w:hyperlink>
      <w:r w:rsidRPr="00CF6E3B">
        <w:rPr>
          <w:color w:val="000000"/>
        </w:rPr>
        <w:t xml:space="preserve"> databases, I reviewed every case (about 85) in which a Territorial Supreme Court case was cited.</w:t>
      </w:r>
      <w:r w:rsidRPr="00CF6E3B">
        <w:rPr>
          <w:rStyle w:val="FootnoteReference"/>
          <w:color w:val="000000"/>
        </w:rPr>
        <w:footnoteReference w:id="12"/>
      </w:r>
      <w:r w:rsidRPr="00CF6E3B">
        <w:rPr>
          <w:color w:val="000000"/>
        </w:rPr>
        <w:t xml:space="preserve"> Three are particularly instructive.</w:t>
      </w:r>
    </w:p>
    <w:p w14:paraId="33CCDBAA" w14:textId="77777777" w:rsidR="00AF6A88" w:rsidRPr="00CF6E3B" w:rsidRDefault="00AF6A88">
      <w:pPr>
        <w:widowControl w:val="0"/>
        <w:rPr>
          <w:color w:val="000000"/>
        </w:rPr>
      </w:pPr>
    </w:p>
    <w:p w14:paraId="5513E07F" w14:textId="77777777" w:rsidR="00AF6A88" w:rsidRPr="00CF6E3B" w:rsidRDefault="00000000">
      <w:pPr>
        <w:widowControl w:val="0"/>
        <w:rPr>
          <w:color w:val="000000"/>
        </w:rPr>
      </w:pPr>
      <w:r w:rsidRPr="00CF6E3B">
        <w:rPr>
          <w:color w:val="000000"/>
        </w:rPr>
        <w:t xml:space="preserve">In </w:t>
      </w:r>
      <w:hyperlink r:id="rId24" w:history="1">
        <w:r w:rsidRPr="00CF6E3B">
          <w:rPr>
            <w:i/>
            <w:color w:val="0000FF"/>
          </w:rPr>
          <w:t>Kern v.</w:t>
        </w:r>
        <w:r w:rsidRPr="00CF6E3B">
          <w:rPr>
            <w:i/>
            <w:color w:val="0000FF"/>
          </w:rPr>
          <w:t xml:space="preserve"> </w:t>
        </w:r>
        <w:r w:rsidRPr="00CF6E3B">
          <w:rPr>
            <w:i/>
            <w:color w:val="0000FF"/>
          </w:rPr>
          <w:t xml:space="preserve">Von </w:t>
        </w:r>
        <w:proofErr w:type="spellStart"/>
        <w:r w:rsidRPr="00CF6E3B">
          <w:rPr>
            <w:i/>
            <w:color w:val="0000FF"/>
          </w:rPr>
          <w:t>Phul</w:t>
        </w:r>
        <w:proofErr w:type="spellEnd"/>
        <w:r w:rsidRPr="00CF6E3B">
          <w:rPr>
            <w:i/>
            <w:color w:val="0000FF"/>
          </w:rPr>
          <w:t>, Waters &amp; Co.</w:t>
        </w:r>
        <w:r w:rsidRPr="00CF6E3B">
          <w:rPr>
            <w:color w:val="0000FF"/>
          </w:rPr>
          <w:t>, 7 Minn. 426, 430 (1862)</w:t>
        </w:r>
      </w:hyperlink>
      <w:r w:rsidRPr="00CF6E3B">
        <w:rPr>
          <w:color w:val="000000"/>
        </w:rPr>
        <w:t>, the court stated:</w:t>
      </w:r>
    </w:p>
    <w:p w14:paraId="76985CDF" w14:textId="77777777" w:rsidR="00AF6A88" w:rsidRPr="00CF6E3B" w:rsidRDefault="00AF6A88">
      <w:pPr>
        <w:widowControl w:val="0"/>
        <w:rPr>
          <w:color w:val="000000"/>
        </w:rPr>
      </w:pPr>
    </w:p>
    <w:p w14:paraId="4E2FD710" w14:textId="77777777" w:rsidR="00AF6A88" w:rsidRPr="00CF6E3B" w:rsidRDefault="00000000">
      <w:pPr>
        <w:widowControl w:val="0"/>
        <w:ind w:left="720"/>
        <w:rPr>
          <w:color w:val="000000"/>
        </w:rPr>
      </w:pPr>
      <w:r w:rsidRPr="00CF6E3B">
        <w:rPr>
          <w:color w:val="000000"/>
        </w:rPr>
        <w:t xml:space="preserve">When we succeeded the Supreme Court of the Territory of Minnesota, we found three decisions of that Court upon the records adopting the general current of decision. (1 </w:t>
      </w:r>
      <w:r w:rsidRPr="00CF6E3B">
        <w:rPr>
          <w:i/>
          <w:color w:val="000000"/>
        </w:rPr>
        <w:t>Minn</w:t>
      </w:r>
      <w:r w:rsidRPr="00CF6E3B">
        <w:rPr>
          <w:color w:val="000000"/>
        </w:rPr>
        <w:t xml:space="preserve">. R., 369, 380, 383.) We followed the precedent in several cases, and think it should now be regarded as the settled law of the State. 2 </w:t>
      </w:r>
      <w:r w:rsidRPr="00CF6E3B">
        <w:rPr>
          <w:i/>
          <w:color w:val="000000"/>
        </w:rPr>
        <w:t>Minn</w:t>
      </w:r>
      <w:r w:rsidRPr="00CF6E3B">
        <w:rPr>
          <w:color w:val="000000"/>
        </w:rPr>
        <w:t>. R., 139, 147.</w:t>
      </w:r>
    </w:p>
    <w:p w14:paraId="1C5A6AFD" w14:textId="77777777" w:rsidR="00AF6A88" w:rsidRPr="00CF6E3B" w:rsidRDefault="00AF6A88">
      <w:pPr>
        <w:widowControl w:val="0"/>
        <w:rPr>
          <w:color w:val="000000"/>
        </w:rPr>
      </w:pPr>
    </w:p>
    <w:p w14:paraId="53C72E25" w14:textId="77777777" w:rsidR="00AF6A88" w:rsidRPr="00CF6E3B" w:rsidRDefault="00000000">
      <w:pPr>
        <w:widowControl w:val="0"/>
        <w:rPr>
          <w:color w:val="000000"/>
        </w:rPr>
      </w:pPr>
      <w:r w:rsidRPr="00CF6E3B">
        <w:rPr>
          <w:color w:val="000000"/>
        </w:rPr>
        <w:t xml:space="preserve">Therefore, the State court in </w:t>
      </w:r>
      <w:r w:rsidRPr="007A1CD8">
        <w:rPr>
          <w:color w:val="000000"/>
          <w:u w:val="single"/>
        </w:rPr>
        <w:t>Kern</w:t>
      </w:r>
      <w:r w:rsidRPr="00CF6E3B">
        <w:rPr>
          <w:color w:val="000000"/>
        </w:rPr>
        <w:t xml:space="preserve"> did not view the Territorial cases as binding by themselves.</w:t>
      </w:r>
    </w:p>
    <w:p w14:paraId="1B423129" w14:textId="77777777" w:rsidR="00AF6A88" w:rsidRPr="00CF6E3B" w:rsidRDefault="00AF6A88">
      <w:pPr>
        <w:widowControl w:val="0"/>
        <w:rPr>
          <w:color w:val="000000"/>
        </w:rPr>
      </w:pPr>
    </w:p>
    <w:p w14:paraId="5564C510" w14:textId="46E97146" w:rsidR="00AF6A88" w:rsidRPr="007614E2" w:rsidRDefault="00000000">
      <w:pPr>
        <w:widowControl w:val="0"/>
        <w:rPr>
          <w:color w:val="000000"/>
        </w:rPr>
      </w:pPr>
      <w:r w:rsidRPr="007614E2">
        <w:rPr>
          <w:color w:val="000000"/>
        </w:rPr>
        <w:t xml:space="preserve">In </w:t>
      </w:r>
      <w:hyperlink r:id="rId25" w:history="1">
        <w:r w:rsidRPr="007614E2">
          <w:rPr>
            <w:rStyle w:val="Hyperlink"/>
            <w:i/>
            <w:u w:val="none"/>
          </w:rPr>
          <w:t>Willa</w:t>
        </w:r>
        <w:r w:rsidRPr="007614E2">
          <w:rPr>
            <w:rStyle w:val="Hyperlink"/>
            <w:i/>
            <w:u w:val="none"/>
          </w:rPr>
          <w:t>r</w:t>
        </w:r>
        <w:r w:rsidRPr="007614E2">
          <w:rPr>
            <w:rStyle w:val="Hyperlink"/>
            <w:i/>
            <w:u w:val="none"/>
          </w:rPr>
          <w:t>d v. Finnegan</w:t>
        </w:r>
        <w:r w:rsidRPr="007614E2">
          <w:rPr>
            <w:rStyle w:val="Hyperlink"/>
            <w:u w:val="none"/>
          </w:rPr>
          <w:t>, 42 Minn. 476,478 (1890)</w:t>
        </w:r>
      </w:hyperlink>
      <w:r w:rsidRPr="007614E2">
        <w:rPr>
          <w:color w:val="000000"/>
        </w:rPr>
        <w:t>, the court stated:</w:t>
      </w:r>
    </w:p>
    <w:p w14:paraId="15E8E87B" w14:textId="77777777" w:rsidR="00AF6A88" w:rsidRPr="00CF6E3B" w:rsidRDefault="00AF6A88">
      <w:pPr>
        <w:widowControl w:val="0"/>
        <w:rPr>
          <w:color w:val="000000"/>
        </w:rPr>
      </w:pPr>
    </w:p>
    <w:p w14:paraId="232B7F37" w14:textId="57AE89D3" w:rsidR="00AF6A88" w:rsidRPr="00CF6E3B" w:rsidRDefault="00000000">
      <w:pPr>
        <w:widowControl w:val="0"/>
        <w:ind w:left="720"/>
        <w:rPr>
          <w:color w:val="000000"/>
        </w:rPr>
      </w:pPr>
      <w:r w:rsidRPr="00CF6E3B">
        <w:rPr>
          <w:color w:val="000000"/>
        </w:rPr>
        <w:t xml:space="preserve">As early as </w:t>
      </w:r>
      <w:r w:rsidRPr="00CF6E3B">
        <w:rPr>
          <w:i/>
          <w:color w:val="000000"/>
        </w:rPr>
        <w:t>Tillman v. Jackson</w:t>
      </w:r>
      <w:r w:rsidRPr="00CF6E3B">
        <w:rPr>
          <w:color w:val="000000"/>
        </w:rPr>
        <w:t xml:space="preserve">, 1 Minn. 157, (183,) it was held that a similar provision as to sales on execution was only directory, and that a violation of it by the sheriff would not invalidate the sale. This case, having stood apparently unquestioned for 23 years, was followed and recognized as having become a rule of property in </w:t>
      </w:r>
      <w:r w:rsidRPr="00CF6E3B">
        <w:rPr>
          <w:i/>
          <w:color w:val="000000"/>
        </w:rPr>
        <w:t xml:space="preserve">Lamberton v. Merchants' </w:t>
      </w:r>
      <w:r w:rsidRPr="00CF6E3B">
        <w:rPr>
          <w:i/>
          <w:color w:val="000000"/>
        </w:rPr>
        <w:lastRenderedPageBreak/>
        <w:t>Nat. Bank</w:t>
      </w:r>
      <w:r w:rsidRPr="00CF6E3B">
        <w:rPr>
          <w:color w:val="000000"/>
        </w:rPr>
        <w:t xml:space="preserve">, 24 Minn. 281, .... This decision was followed by the United States circuit court for the district of Minnesota, and the same rule applied in the case of a mortgage sale under a power. </w:t>
      </w:r>
      <w:r w:rsidRPr="00CF6E3B">
        <w:rPr>
          <w:i/>
          <w:color w:val="000000"/>
        </w:rPr>
        <w:t xml:space="preserve">Swenson v. </w:t>
      </w:r>
      <w:proofErr w:type="spellStart"/>
      <w:r w:rsidRPr="00CF6E3B">
        <w:rPr>
          <w:i/>
          <w:color w:val="000000"/>
        </w:rPr>
        <w:t>Halberg</w:t>
      </w:r>
      <w:proofErr w:type="spellEnd"/>
      <w:r w:rsidRPr="00CF6E3B">
        <w:rPr>
          <w:color w:val="000000"/>
        </w:rPr>
        <w:t xml:space="preserve">, 1 McCrary, 96, (1 Fed. Rep. 444.) If this doctrine had become a rule of property 13 years ago, it certainly is so yet, never having been, in the </w:t>
      </w:r>
      <w:r w:rsidR="005B379C" w:rsidRPr="00CF6E3B">
        <w:rPr>
          <w:color w:val="000000"/>
        </w:rPr>
        <w:t>meantime</w:t>
      </w:r>
      <w:r w:rsidRPr="00CF6E3B">
        <w:rPr>
          <w:color w:val="000000"/>
        </w:rPr>
        <w:t>, either overruled or questioned.</w:t>
      </w:r>
    </w:p>
    <w:p w14:paraId="56BC343A" w14:textId="77777777" w:rsidR="00AF6A88" w:rsidRPr="00CF6E3B" w:rsidRDefault="00AF6A88">
      <w:pPr>
        <w:widowControl w:val="0"/>
        <w:rPr>
          <w:color w:val="000000"/>
        </w:rPr>
      </w:pPr>
    </w:p>
    <w:p w14:paraId="0D2C6758" w14:textId="77777777" w:rsidR="00AF6A88" w:rsidRPr="00CF6E3B" w:rsidRDefault="00000000">
      <w:pPr>
        <w:widowControl w:val="0"/>
        <w:rPr>
          <w:color w:val="000000"/>
        </w:rPr>
      </w:pPr>
      <w:r w:rsidRPr="00CF6E3B">
        <w:rPr>
          <w:color w:val="000000"/>
        </w:rPr>
        <w:t xml:space="preserve">As before, the State court in </w:t>
      </w:r>
      <w:r w:rsidRPr="007A1CD8">
        <w:rPr>
          <w:color w:val="000000"/>
          <w:u w:val="single"/>
        </w:rPr>
        <w:t>Willard</w:t>
      </w:r>
      <w:r w:rsidRPr="00CF6E3B">
        <w:rPr>
          <w:color w:val="000000"/>
        </w:rPr>
        <w:t xml:space="preserve"> did not view the Territorial </w:t>
      </w:r>
      <w:r w:rsidRPr="002D7F90">
        <w:rPr>
          <w:i/>
          <w:iCs/>
          <w:color w:val="000000"/>
        </w:rPr>
        <w:t>Tillman</w:t>
      </w:r>
      <w:r w:rsidRPr="00CF6E3B">
        <w:rPr>
          <w:color w:val="000000"/>
        </w:rPr>
        <w:t xml:space="preserve"> case as binding by itself.</w:t>
      </w:r>
    </w:p>
    <w:p w14:paraId="7B855F60" w14:textId="77777777" w:rsidR="00AF6A88" w:rsidRPr="00CF6E3B" w:rsidRDefault="00AF6A88">
      <w:pPr>
        <w:widowControl w:val="0"/>
        <w:rPr>
          <w:color w:val="000000"/>
        </w:rPr>
      </w:pPr>
    </w:p>
    <w:p w14:paraId="46A8DFDC" w14:textId="77777777" w:rsidR="00AF6A88" w:rsidRPr="00CF6E3B" w:rsidRDefault="00000000">
      <w:pPr>
        <w:widowControl w:val="0"/>
        <w:rPr>
          <w:color w:val="000000"/>
        </w:rPr>
      </w:pPr>
      <w:r w:rsidRPr="00CF6E3B">
        <w:rPr>
          <w:color w:val="000000"/>
        </w:rPr>
        <w:t xml:space="preserve">In </w:t>
      </w:r>
      <w:hyperlink r:id="rId26" w:history="1">
        <w:r w:rsidRPr="00CF6E3B">
          <w:rPr>
            <w:i/>
            <w:color w:val="0000FF"/>
          </w:rPr>
          <w:t>Street v. Chic</w:t>
        </w:r>
        <w:r w:rsidRPr="00CF6E3B">
          <w:rPr>
            <w:i/>
            <w:color w:val="0000FF"/>
          </w:rPr>
          <w:t>a</w:t>
        </w:r>
        <w:r w:rsidRPr="00CF6E3B">
          <w:rPr>
            <w:i/>
            <w:color w:val="0000FF"/>
          </w:rPr>
          <w:t>go, Milwaukee &amp; St. Paul Railway Co.</w:t>
        </w:r>
        <w:r w:rsidRPr="00CF6E3B">
          <w:rPr>
            <w:color w:val="0000FF"/>
          </w:rPr>
          <w:t>, 124 Minn. 517,521(1914)</w:t>
        </w:r>
      </w:hyperlink>
      <w:r w:rsidRPr="00CF6E3B">
        <w:rPr>
          <w:color w:val="000000"/>
        </w:rPr>
        <w:t>, the court stated:</w:t>
      </w:r>
    </w:p>
    <w:p w14:paraId="57A0C9AC" w14:textId="77777777" w:rsidR="00AF6A88" w:rsidRPr="00CF6E3B" w:rsidRDefault="00000000">
      <w:pPr>
        <w:widowControl w:val="0"/>
        <w:ind w:left="720"/>
        <w:rPr>
          <w:color w:val="000000"/>
        </w:rPr>
      </w:pPr>
      <w:r w:rsidRPr="00CF6E3B">
        <w:rPr>
          <w:color w:val="000000"/>
        </w:rPr>
        <w:t>In the early case of United States v. Gideon, 1 Minn. 226 (292), it was held that a criminal offense should not be created by an uncertain and doubtful construction; and this rule has since been adhered to. See State v. Small, 29 Minn. 216, 218, 12 N. W. 703; State v. Finch, 37 Minn. 433, 34 N. W. 904.</w:t>
      </w:r>
    </w:p>
    <w:p w14:paraId="4E65A1A7" w14:textId="77777777" w:rsidR="00AF6A88" w:rsidRPr="00CF6E3B" w:rsidRDefault="00AF6A88">
      <w:pPr>
        <w:widowControl w:val="0"/>
        <w:rPr>
          <w:color w:val="000000"/>
        </w:rPr>
      </w:pPr>
    </w:p>
    <w:p w14:paraId="2BF7592A" w14:textId="77777777" w:rsidR="00AF6A88" w:rsidRPr="00CF6E3B" w:rsidRDefault="00000000">
      <w:pPr>
        <w:widowControl w:val="0"/>
        <w:rPr>
          <w:color w:val="000000"/>
        </w:rPr>
      </w:pPr>
      <w:r w:rsidRPr="00CF6E3B">
        <w:rPr>
          <w:color w:val="000000"/>
        </w:rPr>
        <w:t xml:space="preserve">Again, the State court in </w:t>
      </w:r>
      <w:r w:rsidRPr="007A1CD8">
        <w:rPr>
          <w:color w:val="000000"/>
          <w:u w:val="single"/>
        </w:rPr>
        <w:t>Street</w:t>
      </w:r>
      <w:r w:rsidRPr="00CF6E3B">
        <w:rPr>
          <w:color w:val="000000"/>
        </w:rPr>
        <w:t xml:space="preserve"> did not view the Territorial </w:t>
      </w:r>
      <w:r w:rsidRPr="002D7F90">
        <w:rPr>
          <w:i/>
          <w:iCs/>
          <w:color w:val="000000"/>
        </w:rPr>
        <w:t>Gideon</w:t>
      </w:r>
      <w:r w:rsidRPr="00CF6E3B">
        <w:rPr>
          <w:color w:val="000000"/>
        </w:rPr>
        <w:t xml:space="preserve"> case as binding by itself.</w:t>
      </w:r>
    </w:p>
    <w:p w14:paraId="4B245D66" w14:textId="77777777" w:rsidR="00AF6A88" w:rsidRPr="00CF6E3B" w:rsidRDefault="00AF6A88">
      <w:pPr>
        <w:widowControl w:val="0"/>
        <w:rPr>
          <w:color w:val="000000"/>
        </w:rPr>
      </w:pPr>
    </w:p>
    <w:p w14:paraId="4D1FF449" w14:textId="3AFAC0D5" w:rsidR="00AF6A88" w:rsidRPr="00CF6E3B" w:rsidRDefault="00000000">
      <w:pPr>
        <w:widowControl w:val="0"/>
        <w:rPr>
          <w:color w:val="000000"/>
        </w:rPr>
      </w:pPr>
      <w:r w:rsidRPr="00CF6E3B">
        <w:rPr>
          <w:color w:val="000000"/>
        </w:rPr>
        <w:t>There are also a considerable number of cases citing one Territorial case but also a State of Minnesota case or cases for a point of law, sometimes adding some out-of-Minnesota cases as well. So</w:t>
      </w:r>
      <w:r w:rsidR="00D16DF6" w:rsidRPr="00CF6E3B">
        <w:rPr>
          <w:color w:val="000000"/>
        </w:rPr>
        <w:t>,</w:t>
      </w:r>
      <w:r w:rsidRPr="00CF6E3B">
        <w:rPr>
          <w:color w:val="000000"/>
        </w:rPr>
        <w:t xml:space="preserve"> while some State cases cite just a Territorial case for a rule of law, putting all the cases together leads to the conclusion that the Territorial cases are persuasive but not binding. They are, however, definitely persuasive; I found no case which discounted </w:t>
      </w:r>
      <w:r w:rsidR="002D7F90">
        <w:rPr>
          <w:color w:val="000000"/>
        </w:rPr>
        <w:t xml:space="preserve">a </w:t>
      </w:r>
      <w:r w:rsidRPr="00CF6E3B">
        <w:rPr>
          <w:color w:val="000000"/>
        </w:rPr>
        <w:t>Territorial case’s holding.</w:t>
      </w:r>
    </w:p>
    <w:p w14:paraId="5DEB7361" w14:textId="77777777" w:rsidR="00AF6A88" w:rsidRPr="00CF6E3B" w:rsidRDefault="00AF6A88">
      <w:pPr>
        <w:widowControl w:val="0"/>
        <w:rPr>
          <w:color w:val="000000"/>
        </w:rPr>
      </w:pPr>
    </w:p>
    <w:p w14:paraId="2CB6286E" w14:textId="72EB1ED0" w:rsidR="00AF6A88" w:rsidRPr="00CF6E3B" w:rsidRDefault="00000000">
      <w:pPr>
        <w:widowControl w:val="0"/>
        <w:ind w:left="720"/>
        <w:rPr>
          <w:color w:val="000000"/>
        </w:rPr>
      </w:pPr>
      <w:r w:rsidRPr="00CF6E3B">
        <w:rPr>
          <w:b/>
          <w:color w:val="000000"/>
        </w:rPr>
        <w:t xml:space="preserve">However, a rule of statutory construction attaches the holding of </w:t>
      </w:r>
      <w:r w:rsidRPr="00A20FE3">
        <w:rPr>
          <w:b/>
          <w:color w:val="000000"/>
          <w:u w:val="single"/>
        </w:rPr>
        <w:t>Lewis v. Steele</w:t>
      </w:r>
      <w:r w:rsidRPr="00CF6E3B">
        <w:rPr>
          <w:b/>
          <w:color w:val="000000"/>
        </w:rPr>
        <w:t xml:space="preserve"> to the modern statute as </w:t>
      </w:r>
      <w:r w:rsidR="00171D1D">
        <w:rPr>
          <w:b/>
          <w:color w:val="000000"/>
        </w:rPr>
        <w:t xml:space="preserve">does </w:t>
      </w:r>
      <w:r w:rsidRPr="00CF6E3B">
        <w:rPr>
          <w:b/>
          <w:color w:val="000000"/>
        </w:rPr>
        <w:t>a similar holding by the Wisconsin Supreme Court</w:t>
      </w:r>
    </w:p>
    <w:p w14:paraId="6339D5C8" w14:textId="77777777" w:rsidR="00AF6A88" w:rsidRPr="00CF6E3B" w:rsidRDefault="00AF6A88">
      <w:pPr>
        <w:widowControl w:val="0"/>
        <w:rPr>
          <w:color w:val="000000"/>
        </w:rPr>
      </w:pPr>
    </w:p>
    <w:p w14:paraId="3CCB40FC" w14:textId="77777777" w:rsidR="00AF6A88" w:rsidRPr="00CF6E3B" w:rsidRDefault="00000000">
      <w:pPr>
        <w:widowControl w:val="0"/>
        <w:rPr>
          <w:color w:val="000000"/>
        </w:rPr>
      </w:pPr>
      <w:r w:rsidRPr="00CF6E3B">
        <w:rPr>
          <w:color w:val="000000"/>
        </w:rPr>
        <w:t xml:space="preserve">Adding to the inherent persuasive value of </w:t>
      </w:r>
      <w:r w:rsidRPr="00A20FE3">
        <w:rPr>
          <w:color w:val="000000"/>
          <w:u w:val="single"/>
        </w:rPr>
        <w:t>Lewis v. Steele</w:t>
      </w:r>
      <w:r w:rsidRPr="00CF6E3B">
        <w:rPr>
          <w:color w:val="000000"/>
        </w:rPr>
        <w:t xml:space="preserve"> is the rule of construction in Minn. Stat. § 645.17(4), “In ascertaining the intention of the legislature the courts may be guided by the following presumptions: ... (4) when a court of last resort has construed the language of a law, the legislature in subsequent laws on the same subject matter intends the same construction to be placed upon such language.” The </w:t>
      </w:r>
      <w:r w:rsidRPr="00A20FE3">
        <w:rPr>
          <w:color w:val="000000"/>
          <w:u w:val="single"/>
        </w:rPr>
        <w:t>Lewis v. Steele</w:t>
      </w:r>
      <w:r w:rsidRPr="00CF6E3B">
        <w:rPr>
          <w:color w:val="000000"/>
        </w:rPr>
        <w:t xml:space="preserve"> court was such a court.</w:t>
      </w:r>
    </w:p>
    <w:p w14:paraId="5C88C987" w14:textId="77777777" w:rsidR="00AF6A88" w:rsidRPr="00CF6E3B" w:rsidRDefault="00AF6A88">
      <w:pPr>
        <w:widowControl w:val="0"/>
        <w:rPr>
          <w:color w:val="000000"/>
        </w:rPr>
      </w:pPr>
    </w:p>
    <w:p w14:paraId="06A832E9" w14:textId="6DABD6E8" w:rsidR="00AF6A88" w:rsidRPr="00CF6E3B" w:rsidRDefault="00000000">
      <w:pPr>
        <w:widowControl w:val="0"/>
        <w:rPr>
          <w:color w:val="000000"/>
        </w:rPr>
      </w:pPr>
      <w:r w:rsidRPr="00CF6E3B">
        <w:rPr>
          <w:color w:val="000000"/>
        </w:rPr>
        <w:t xml:space="preserve">Another such court was the Wisconsin court that decided </w:t>
      </w:r>
      <w:hyperlink r:id="rId27" w:history="1">
        <w:r w:rsidRPr="00CF6E3B">
          <w:rPr>
            <w:i/>
            <w:color w:val="0000FF"/>
          </w:rPr>
          <w:t xml:space="preserve">Cox v. </w:t>
        </w:r>
        <w:proofErr w:type="spellStart"/>
        <w:r w:rsidRPr="00CF6E3B">
          <w:rPr>
            <w:i/>
            <w:color w:val="0000FF"/>
          </w:rPr>
          <w:t>Groshong</w:t>
        </w:r>
        <w:proofErr w:type="spellEnd"/>
        <w:r w:rsidRPr="00CF6E3B">
          <w:rPr>
            <w:color w:val="0000FF"/>
          </w:rPr>
          <w:t>, 1 Pin. 307, 1 Bur. 150 (Wis. 1843)</w:t>
        </w:r>
      </w:hyperlink>
      <w:r w:rsidRPr="00CF6E3B">
        <w:rPr>
          <w:color w:val="000000"/>
        </w:rPr>
        <w:t>. It construed a statute that was identical to the Minnesota Territorial statute and to the initial State of Minnesota statute. Indeed, the eviction statutes in all three jurisdictions were word</w:t>
      </w:r>
      <w:r w:rsidR="00A15AB1">
        <w:rPr>
          <w:color w:val="000000"/>
        </w:rPr>
        <w:t>-</w:t>
      </w:r>
      <w:r w:rsidRPr="00CF6E3B">
        <w:rPr>
          <w:color w:val="000000"/>
        </w:rPr>
        <w:t>for</w:t>
      </w:r>
      <w:r w:rsidR="00A15AB1">
        <w:rPr>
          <w:color w:val="000000"/>
        </w:rPr>
        <w:t>-</w:t>
      </w:r>
      <w:r w:rsidRPr="00CF6E3B">
        <w:rPr>
          <w:color w:val="000000"/>
        </w:rPr>
        <w:t>wor</w:t>
      </w:r>
      <w:r w:rsidR="00A15AB1">
        <w:rPr>
          <w:color w:val="000000"/>
        </w:rPr>
        <w:t xml:space="preserve">d </w:t>
      </w:r>
      <w:r w:rsidR="00A15AB1" w:rsidRPr="00CF6E3B">
        <w:rPr>
          <w:color w:val="000000"/>
        </w:rPr>
        <w:t>identical</w:t>
      </w:r>
      <w:r w:rsidRPr="00CF6E3B">
        <w:rPr>
          <w:color w:val="000000"/>
        </w:rPr>
        <w:t>.</w:t>
      </w:r>
      <w:r w:rsidRPr="00CF6E3B">
        <w:rPr>
          <w:rStyle w:val="FootnoteReference"/>
          <w:color w:val="000000"/>
        </w:rPr>
        <w:footnoteReference w:id="13"/>
      </w:r>
      <w:r w:rsidRPr="00CF6E3B">
        <w:rPr>
          <w:color w:val="000000"/>
        </w:rPr>
        <w:t xml:space="preserve"> The </w:t>
      </w:r>
      <w:r w:rsidRPr="00A20FE3">
        <w:rPr>
          <w:color w:val="000000"/>
          <w:u w:val="single"/>
        </w:rPr>
        <w:t>Cox</w:t>
      </w:r>
      <w:r w:rsidRPr="00CF6E3B">
        <w:rPr>
          <w:color w:val="000000"/>
        </w:rPr>
        <w:t xml:space="preserve"> court dealt with a complaint that described the property in question as, “certain range of lead ore, and a strip of land or piece on each side thereof, twenty-five yards </w:t>
      </w:r>
      <w:r w:rsidRPr="00CF6E3B">
        <w:rPr>
          <w:color w:val="000000"/>
        </w:rPr>
        <w:lastRenderedPageBreak/>
        <w:t xml:space="preserve">wide on each side, running easterly and westerly across the land hereafter described, and the right of searching and digging for lead ore thereon, in section 17, township No. 4 north, of range No. 3 west, in said </w:t>
      </w:r>
      <w:proofErr w:type="gramStart"/>
      <w:r w:rsidRPr="00CF6E3B">
        <w:rPr>
          <w:color w:val="000000"/>
        </w:rPr>
        <w:t>Grant county</w:t>
      </w:r>
      <w:proofErr w:type="gramEnd"/>
      <w:r w:rsidRPr="00CF6E3B">
        <w:rPr>
          <w:color w:val="000000"/>
        </w:rPr>
        <w:t xml:space="preserve">.” The </w:t>
      </w:r>
      <w:r w:rsidRPr="00A20FE3">
        <w:rPr>
          <w:color w:val="000000"/>
          <w:u w:val="single"/>
        </w:rPr>
        <w:t>Cox</w:t>
      </w:r>
      <w:r w:rsidRPr="00CF6E3B">
        <w:rPr>
          <w:color w:val="000000"/>
        </w:rPr>
        <w:t xml:space="preserve"> court held that, “The complaint must describe the premises with reasonable certainty.” Because the description did “not describe the land by any marks, description, or boundaries, nor does it even refer to its location in the section”, the complaint was insufficient. The court went on to say that it is irrelevant that the tenant could undo any mistaken restitution by bring a new lawsuit to recover land seized by the sheriff by mistake. The complaint had to be sufficient on its face.</w:t>
      </w:r>
    </w:p>
    <w:p w14:paraId="7DB5D993" w14:textId="77777777" w:rsidR="00AF6A88" w:rsidRPr="00CF6E3B" w:rsidRDefault="00AF6A88">
      <w:pPr>
        <w:widowControl w:val="0"/>
        <w:rPr>
          <w:color w:val="000000"/>
        </w:rPr>
      </w:pPr>
    </w:p>
    <w:p w14:paraId="4468E0CD" w14:textId="4B2F87B8" w:rsidR="00AF6A88" w:rsidRPr="00CF6E3B" w:rsidRDefault="00000000">
      <w:pPr>
        <w:widowControl w:val="0"/>
        <w:rPr>
          <w:color w:val="000000"/>
        </w:rPr>
      </w:pPr>
      <w:r w:rsidRPr="00CF6E3B">
        <w:rPr>
          <w:color w:val="000000"/>
        </w:rPr>
        <w:t xml:space="preserve">This sort of thinking is in accord with how eviction actions work. </w:t>
      </w:r>
      <w:r w:rsidR="00D16DF6" w:rsidRPr="00CF6E3B">
        <w:rPr>
          <w:color w:val="000000"/>
        </w:rPr>
        <w:t>Such</w:t>
      </w:r>
      <w:r w:rsidRPr="00CF6E3B">
        <w:rPr>
          <w:color w:val="000000"/>
        </w:rPr>
        <w:t xml:space="preserve"> cases are summary proceedings, often tried on the day of the initial hearing and with no discovery allowed.</w:t>
      </w:r>
      <w:r w:rsidRPr="00CF6E3B">
        <w:rPr>
          <w:rStyle w:val="FootnoteReference"/>
          <w:color w:val="000000"/>
        </w:rPr>
        <w:footnoteReference w:id="14"/>
      </w:r>
      <w:r w:rsidRPr="00CF6E3B">
        <w:rPr>
          <w:color w:val="000000"/>
        </w:rPr>
        <w:t xml:space="preserve"> There is usually no opportunity, and certainly no requirement of such opportunity, for the plaintiff or the defendant or the court or (subsequently) the sheriff to figure out what land was leased. </w:t>
      </w:r>
      <w:proofErr w:type="gramStart"/>
      <w:r w:rsidR="00D16DF6" w:rsidRPr="00CF6E3B">
        <w:rPr>
          <w:color w:val="000000"/>
        </w:rPr>
        <w:t>Therefore</w:t>
      </w:r>
      <w:proofErr w:type="gramEnd"/>
      <w:r w:rsidRPr="00CF6E3B">
        <w:rPr>
          <w:color w:val="000000"/>
        </w:rPr>
        <w:t xml:space="preserve"> the rule of law set out in </w:t>
      </w:r>
      <w:r w:rsidR="00D16DF6" w:rsidRPr="005B379C">
        <w:rPr>
          <w:color w:val="000000"/>
          <w:u w:val="single"/>
        </w:rPr>
        <w:t>Lewis v. S</w:t>
      </w:r>
      <w:r w:rsidRPr="005B379C">
        <w:rPr>
          <w:color w:val="000000"/>
          <w:u w:val="single"/>
        </w:rPr>
        <w:t>teele</w:t>
      </w:r>
      <w:r w:rsidRPr="00CF6E3B">
        <w:rPr>
          <w:color w:val="000000"/>
        </w:rPr>
        <w:t xml:space="preserve"> and </w:t>
      </w:r>
      <w:r w:rsidRPr="005B379C">
        <w:rPr>
          <w:color w:val="000000"/>
          <w:u w:val="single"/>
        </w:rPr>
        <w:t>Cox</w:t>
      </w:r>
      <w:r w:rsidRPr="00CF6E3B">
        <w:rPr>
          <w:color w:val="000000"/>
        </w:rPr>
        <w:t xml:space="preserve"> is not only supported by Minn. Stat. § 645.17(4), it is a sensible rule.</w:t>
      </w:r>
    </w:p>
    <w:p w14:paraId="0684F0D1" w14:textId="77777777" w:rsidR="00AF6A88" w:rsidRPr="00CF6E3B" w:rsidRDefault="00AF6A88">
      <w:pPr>
        <w:widowControl w:val="0"/>
        <w:rPr>
          <w:color w:val="000000"/>
        </w:rPr>
      </w:pPr>
    </w:p>
    <w:p w14:paraId="35173B52" w14:textId="77777777" w:rsidR="00AF6A88" w:rsidRPr="00CF6E3B" w:rsidRDefault="00000000">
      <w:pPr>
        <w:widowControl w:val="0"/>
        <w:rPr>
          <w:b/>
          <w:color w:val="000000"/>
        </w:rPr>
      </w:pPr>
      <w:r w:rsidRPr="00CF6E3B">
        <w:rPr>
          <w:b/>
          <w:color w:val="000000"/>
        </w:rPr>
        <w:t>CONCLUSION AND PRACTICE POINTERS</w:t>
      </w:r>
    </w:p>
    <w:p w14:paraId="574B97DF" w14:textId="77777777" w:rsidR="00AF6A88" w:rsidRPr="00CF6E3B" w:rsidRDefault="00AF6A88">
      <w:pPr>
        <w:widowControl w:val="0"/>
        <w:rPr>
          <w:color w:val="000000"/>
        </w:rPr>
      </w:pPr>
    </w:p>
    <w:p w14:paraId="0A0E331C" w14:textId="307E5A37" w:rsidR="00AF6A88" w:rsidRPr="00CF6E3B" w:rsidRDefault="00000000">
      <w:pPr>
        <w:widowControl w:val="0"/>
        <w:rPr>
          <w:color w:val="000000"/>
        </w:rPr>
      </w:pPr>
      <w:r w:rsidRPr="00CF6E3B">
        <w:rPr>
          <w:color w:val="000000"/>
        </w:rPr>
        <w:t>An eviction-action complaint must describe the premises on the face of the complaint specifically enough that if and when the Sheriff’s deputy executes the Writ of Recovery and Order to</w:t>
      </w:r>
      <w:r w:rsidR="00D16DF6" w:rsidRPr="00CF6E3B">
        <w:rPr>
          <w:color w:val="000000"/>
        </w:rPr>
        <w:t xml:space="preserve"> </w:t>
      </w:r>
      <w:proofErr w:type="gramStart"/>
      <w:r w:rsidRPr="00CF6E3B">
        <w:rPr>
          <w:color w:val="000000"/>
        </w:rPr>
        <w:t>Vacate</w:t>
      </w:r>
      <w:proofErr w:type="gramEnd"/>
      <w:r w:rsidR="00D16DF6" w:rsidRPr="00CF6E3B">
        <w:rPr>
          <w:color w:val="000000"/>
        </w:rPr>
        <w:t xml:space="preserve"> </w:t>
      </w:r>
      <w:r w:rsidRPr="00CF6E3B">
        <w:rPr>
          <w:color w:val="000000"/>
        </w:rPr>
        <w:t>she knows exactly what to recover. I</w:t>
      </w:r>
      <w:r w:rsidR="00D16DF6" w:rsidRPr="00CF6E3B">
        <w:rPr>
          <w:color w:val="000000"/>
        </w:rPr>
        <w:t>n addition, i</w:t>
      </w:r>
      <w:r w:rsidRPr="00CF6E3B">
        <w:rPr>
          <w:color w:val="000000"/>
        </w:rPr>
        <w:t>f the plaintiff is the landlord o</w:t>
      </w:r>
      <w:r w:rsidR="00A15AB1">
        <w:rPr>
          <w:color w:val="000000"/>
        </w:rPr>
        <w:t>f</w:t>
      </w:r>
      <w:r w:rsidRPr="00CF6E3B">
        <w:rPr>
          <w:color w:val="000000"/>
        </w:rPr>
        <w:t xml:space="preserve"> a residential tenant in Hennepin or Ramsey counties, the street address must be given </w:t>
      </w:r>
    </w:p>
    <w:p w14:paraId="5DCB7EA1" w14:textId="77777777" w:rsidR="00AF6A88" w:rsidRPr="00CF6E3B" w:rsidRDefault="00AF6A88">
      <w:pPr>
        <w:widowControl w:val="0"/>
        <w:rPr>
          <w:color w:val="000000"/>
        </w:rPr>
      </w:pPr>
    </w:p>
    <w:p w14:paraId="62C5CEF0" w14:textId="11AA270A" w:rsidR="00AF6A88" w:rsidRPr="00CF6E3B" w:rsidRDefault="00000000">
      <w:pPr>
        <w:widowControl w:val="0"/>
        <w:rPr>
          <w:color w:val="000000"/>
        </w:rPr>
      </w:pPr>
      <w:r w:rsidRPr="00CF6E3B">
        <w:rPr>
          <w:color w:val="000000"/>
        </w:rPr>
        <w:t xml:space="preserve">In a city, </w:t>
      </w:r>
      <w:r w:rsidR="006555BA">
        <w:rPr>
          <w:color w:val="000000"/>
        </w:rPr>
        <w:t xml:space="preserve">giving </w:t>
      </w:r>
      <w:r w:rsidRPr="00CF6E3B">
        <w:rPr>
          <w:color w:val="000000"/>
        </w:rPr>
        <w:t>the full postal address of the defendant</w:t>
      </w:r>
      <w:r w:rsidR="006555BA">
        <w:rPr>
          <w:color w:val="000000"/>
        </w:rPr>
        <w:t xml:space="preserve"> should be sufficient</w:t>
      </w:r>
      <w:r w:rsidRPr="00CF6E3B">
        <w:rPr>
          <w:color w:val="000000"/>
        </w:rPr>
        <w:t>. If the lease is for only an apartment, this will certainly be enough. If the lease includes a garage or other appurtenant structure, that should be identified. If there is some question about the extent of leased lawn space, that should be</w:t>
      </w:r>
      <w:r w:rsidR="00D16DF6" w:rsidRPr="00CF6E3B">
        <w:rPr>
          <w:color w:val="000000"/>
        </w:rPr>
        <w:t xml:space="preserve"> </w:t>
      </w:r>
      <w:r w:rsidR="005B379C" w:rsidRPr="00CF6E3B">
        <w:rPr>
          <w:color w:val="000000"/>
        </w:rPr>
        <w:t>described.</w:t>
      </w:r>
      <w:r w:rsidRPr="00CF6E3B">
        <w:rPr>
          <w:color w:val="000000"/>
        </w:rPr>
        <w:t xml:space="preserve"> Just giving an apartment building address without the apartment number</w:t>
      </w:r>
      <w:r w:rsidR="00D16DF6" w:rsidRPr="00CF6E3B">
        <w:rPr>
          <w:color w:val="000000"/>
        </w:rPr>
        <w:t xml:space="preserve"> is not sufficient</w:t>
      </w:r>
      <w:r w:rsidRPr="00CF6E3B">
        <w:rPr>
          <w:color w:val="000000"/>
        </w:rPr>
        <w:t>.</w:t>
      </w:r>
    </w:p>
    <w:p w14:paraId="59A0AEF8" w14:textId="77777777" w:rsidR="00AF6A88" w:rsidRPr="00CF6E3B" w:rsidRDefault="00AF6A88">
      <w:pPr>
        <w:widowControl w:val="0"/>
        <w:rPr>
          <w:color w:val="000000"/>
        </w:rPr>
      </w:pPr>
    </w:p>
    <w:p w14:paraId="7EBA06AB" w14:textId="0C3E4E78" w:rsidR="00A4063C" w:rsidRDefault="00000000">
      <w:pPr>
        <w:widowControl w:val="0"/>
        <w:rPr>
          <w:color w:val="000000"/>
        </w:rPr>
      </w:pPr>
      <w:r w:rsidRPr="00CF6E3B">
        <w:rPr>
          <w:color w:val="000000"/>
        </w:rPr>
        <w:t xml:space="preserve">In a rural area, a legal description or something like it (a layman’s precise description) </w:t>
      </w:r>
      <w:r w:rsidR="00A4063C">
        <w:rPr>
          <w:color w:val="000000"/>
        </w:rPr>
        <w:t>migh</w:t>
      </w:r>
      <w:r w:rsidR="007416FD">
        <w:rPr>
          <w:color w:val="000000"/>
        </w:rPr>
        <w:t>t</w:t>
      </w:r>
      <w:r w:rsidRPr="00CF6E3B">
        <w:rPr>
          <w:color w:val="000000"/>
        </w:rPr>
        <w:t xml:space="preserve"> be required. The warning of the </w:t>
      </w:r>
      <w:r w:rsidRPr="00A20FE3">
        <w:rPr>
          <w:color w:val="000000"/>
          <w:u w:val="single"/>
        </w:rPr>
        <w:t>Cox</w:t>
      </w:r>
      <w:r w:rsidRPr="00CF6E3B">
        <w:rPr>
          <w:color w:val="000000"/>
        </w:rPr>
        <w:t xml:space="preserve"> court about the need to “describe the land by any marks, description, or boundaries” should be taken to heart.</w:t>
      </w:r>
    </w:p>
    <w:p w14:paraId="04A8D48A" w14:textId="77777777" w:rsidR="00A4063C" w:rsidRDefault="00A4063C">
      <w:pPr>
        <w:widowControl w:val="0"/>
        <w:rPr>
          <w:color w:val="000000"/>
        </w:rPr>
      </w:pPr>
    </w:p>
    <w:p w14:paraId="271A6C11" w14:textId="77133D68" w:rsidR="00A92E72" w:rsidRPr="00CF6E3B" w:rsidRDefault="00000000" w:rsidP="003025D8">
      <w:pPr>
        <w:widowControl w:val="0"/>
        <w:rPr>
          <w:color w:val="000000"/>
        </w:rPr>
      </w:pPr>
      <w:r w:rsidRPr="00CF6E3B">
        <w:rPr>
          <w:color w:val="000000"/>
        </w:rPr>
        <w:t>If the lease gives a good description of the premises, attaching the lease to the complaint and referring to it should be a good way to describe the premises.</w:t>
      </w:r>
    </w:p>
    <w:sectPr w:rsidR="00A92E72" w:rsidRPr="00CF6E3B" w:rsidSect="007A1CD8">
      <w:headerReference w:type="even" r:id="rId28"/>
      <w:headerReference w:type="default" r:id="rId29"/>
      <w:footerReference w:type="even" r:id="rId30"/>
      <w:footerReference w:type="default" r:id="rId31"/>
      <w:type w:val="continuous"/>
      <w:pgSz w:w="12240" w:h="15840"/>
      <w:pgMar w:top="1440" w:right="1354" w:bottom="1440" w:left="1440" w:header="1440" w:footer="13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5D3EE" w14:textId="77777777" w:rsidR="00DE394B" w:rsidRDefault="00DE394B">
      <w:r>
        <w:separator/>
      </w:r>
    </w:p>
  </w:endnote>
  <w:endnote w:type="continuationSeparator" w:id="0">
    <w:p w14:paraId="4E0169C3" w14:textId="77777777" w:rsidR="00DE394B" w:rsidRDefault="00DE3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74B59" w14:textId="77777777" w:rsidR="00AF6A88" w:rsidRDefault="00000000">
    <w:pPr>
      <w:framePr w:w="9360" w:h="280" w:hRule="exact" w:wrap="notBeside" w:vAnchor="page" w:hAnchor="text" w:y="14202"/>
      <w:widowControl w:val="0"/>
      <w:spacing w:line="0" w:lineRule="atLeast"/>
      <w:jc w:val="center"/>
      <w:rPr>
        <w:vanish/>
      </w:rPr>
    </w:pPr>
    <w:r>
      <w:t>-</w:t>
    </w:r>
    <w:r>
      <w:fldChar w:fldCharType="begin"/>
    </w:r>
    <w:r>
      <w:instrText>PAGE</w:instrText>
    </w:r>
    <w:r>
      <w:fldChar w:fldCharType="separate"/>
    </w:r>
    <w:r>
      <w:t>XXX</w:t>
    </w:r>
    <w:r>
      <w:fldChar w:fldCharType="end"/>
    </w:r>
    <w:r>
      <w:t>-</w:t>
    </w:r>
  </w:p>
  <w:p w14:paraId="5BA25B2A" w14:textId="77777777" w:rsidR="00AF6A88" w:rsidRDefault="00AF6A88">
    <w:pP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4E19C" w14:textId="77777777" w:rsidR="00AF6A88" w:rsidRDefault="00000000">
    <w:pPr>
      <w:framePr w:w="9360" w:h="280" w:hRule="exact" w:wrap="notBeside" w:vAnchor="page" w:hAnchor="text" w:y="14202"/>
      <w:widowControl w:val="0"/>
      <w:spacing w:line="0" w:lineRule="atLeast"/>
      <w:jc w:val="center"/>
      <w:rPr>
        <w:vanish/>
      </w:rPr>
    </w:pPr>
    <w:r>
      <w:t>-</w:t>
    </w:r>
    <w:r>
      <w:fldChar w:fldCharType="begin"/>
    </w:r>
    <w:r>
      <w:instrText>PAGE</w:instrText>
    </w:r>
    <w:r>
      <w:fldChar w:fldCharType="separate"/>
    </w:r>
    <w:r>
      <w:t>XXX</w:t>
    </w:r>
    <w:r>
      <w:fldChar w:fldCharType="end"/>
    </w:r>
    <w:r>
      <w:t>-</w:t>
    </w:r>
  </w:p>
  <w:p w14:paraId="47E02178" w14:textId="77777777" w:rsidR="00AF6A88" w:rsidRDefault="00AF6A88">
    <w:pPr>
      <w:widowControl w:val="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3EE950" w14:textId="77777777" w:rsidR="00AF6A88" w:rsidRDefault="00000000">
    <w:pPr>
      <w:framePr w:w="9360" w:h="280" w:hRule="exact" w:wrap="notBeside" w:vAnchor="page" w:hAnchor="text" w:y="14202"/>
      <w:widowControl w:val="0"/>
      <w:spacing w:line="0" w:lineRule="atLeast"/>
      <w:jc w:val="center"/>
      <w:rPr>
        <w:vanish/>
      </w:rPr>
    </w:pPr>
    <w:r>
      <w:t>-</w:t>
    </w:r>
    <w:r>
      <w:fldChar w:fldCharType="begin"/>
    </w:r>
    <w:r>
      <w:instrText>PAGE</w:instrText>
    </w:r>
    <w:r>
      <w:fldChar w:fldCharType="separate"/>
    </w:r>
    <w:r>
      <w:t>XXX</w:t>
    </w:r>
    <w:r>
      <w:fldChar w:fldCharType="end"/>
    </w:r>
    <w:r>
      <w:t>-</w:t>
    </w:r>
  </w:p>
  <w:p w14:paraId="55896832" w14:textId="77777777" w:rsidR="00AF6A88" w:rsidRDefault="00AF6A88">
    <w:pPr>
      <w:widowControl w:val="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29701" w14:textId="77777777" w:rsidR="00AF6A88" w:rsidRDefault="00000000">
    <w:pPr>
      <w:framePr w:w="9360" w:h="280" w:hRule="exact" w:wrap="notBeside" w:vAnchor="page" w:hAnchor="text" w:y="14202"/>
      <w:widowControl w:val="0"/>
      <w:spacing w:line="0" w:lineRule="atLeast"/>
      <w:jc w:val="center"/>
      <w:rPr>
        <w:vanish/>
      </w:rPr>
    </w:pPr>
    <w:r>
      <w:t>-</w:t>
    </w:r>
    <w:r>
      <w:fldChar w:fldCharType="begin"/>
    </w:r>
    <w:r>
      <w:instrText>PAGE</w:instrText>
    </w:r>
    <w:r>
      <w:fldChar w:fldCharType="separate"/>
    </w:r>
    <w:r>
      <w:t>XXX</w:t>
    </w:r>
    <w:r>
      <w:fldChar w:fldCharType="end"/>
    </w:r>
    <w:r>
      <w:t>-</w:t>
    </w:r>
  </w:p>
  <w:p w14:paraId="7AA7B9C8" w14:textId="77777777" w:rsidR="00AF6A88" w:rsidRDefault="00AF6A88">
    <w:pPr>
      <w:widowControl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3D6ABE" w14:textId="77777777" w:rsidR="00DE394B" w:rsidRDefault="00DE394B">
      <w:r>
        <w:separator/>
      </w:r>
    </w:p>
  </w:footnote>
  <w:footnote w:type="continuationSeparator" w:id="0">
    <w:p w14:paraId="2FDA81DE" w14:textId="77777777" w:rsidR="00DE394B" w:rsidRDefault="00DE394B">
      <w:r>
        <w:continuationSeparator/>
      </w:r>
    </w:p>
  </w:footnote>
  <w:footnote w:id="1">
    <w:p w14:paraId="3B9D692F" w14:textId="75D27181" w:rsidR="00AF6A88" w:rsidRPr="00044969" w:rsidRDefault="00000000">
      <w:pPr>
        <w:pStyle w:val="FootnoteText"/>
      </w:pPr>
      <w:r>
        <w:rPr>
          <w:vertAlign w:val="superscript"/>
        </w:rPr>
        <w:footnoteRef/>
      </w:r>
      <w:hyperlink r:id="rId1" w:history="1">
        <w:proofErr w:type="spellStart"/>
        <w:r w:rsidRPr="00044969">
          <w:rPr>
            <w:color w:val="0000FF"/>
          </w:rPr>
          <w:t>Minn.Gen.</w:t>
        </w:r>
        <w:proofErr w:type="gramStart"/>
        <w:r w:rsidRPr="00044969">
          <w:rPr>
            <w:color w:val="0000FF"/>
          </w:rPr>
          <w:t>R.Prac</w:t>
        </w:r>
        <w:proofErr w:type="spellEnd"/>
        <w:proofErr w:type="gramEnd"/>
        <w:r w:rsidRPr="00044969">
          <w:rPr>
            <w:color w:val="0000FF"/>
          </w:rPr>
          <w:t>. 601</w:t>
        </w:r>
      </w:hyperlink>
      <w:r w:rsidRPr="00044969">
        <w:t>.</w:t>
      </w:r>
    </w:p>
    <w:p w14:paraId="07EB1186" w14:textId="77777777" w:rsidR="0060608A" w:rsidRPr="00044969" w:rsidRDefault="0060608A">
      <w:pPr>
        <w:pStyle w:val="FootnoteText"/>
      </w:pPr>
    </w:p>
  </w:footnote>
  <w:footnote w:id="2">
    <w:p w14:paraId="20D8F995" w14:textId="77777777" w:rsidR="00AF6A88" w:rsidRDefault="00000000">
      <w:pPr>
        <w:pStyle w:val="FootnoteText"/>
      </w:pPr>
      <w:r w:rsidRPr="00044969">
        <w:rPr>
          <w:vertAlign w:val="superscript"/>
        </w:rPr>
        <w:footnoteRef/>
      </w:r>
      <w:r w:rsidRPr="00044969">
        <w:t>Evictions not involving tenancies (</w:t>
      </w:r>
      <w:proofErr w:type="gramStart"/>
      <w:r w:rsidRPr="00044969">
        <w:t>e.g.</w:t>
      </w:r>
      <w:proofErr w:type="gramEnd"/>
      <w:r w:rsidRPr="00044969">
        <w:t xml:space="preserve"> those involving mortgage foreclosures) and evictions involving commercial tenants are not heard in Housing Court. </w:t>
      </w:r>
      <w:hyperlink r:id="rId2" w:history="1">
        <w:r w:rsidRPr="00044969">
          <w:rPr>
            <w:i/>
            <w:color w:val="0000FF"/>
          </w:rPr>
          <w:t>County of Hennepin v. 6131 Colfax Lane</w:t>
        </w:r>
        <w:r w:rsidRPr="00044969">
          <w:rPr>
            <w:color w:val="0000FF"/>
          </w:rPr>
          <w:t>, 907 N.W.2d 257 (Minn. App. 2018)</w:t>
        </w:r>
      </w:hyperlink>
      <w:r w:rsidRPr="00044969">
        <w:t>.</w:t>
      </w:r>
    </w:p>
  </w:footnote>
  <w:footnote w:id="3">
    <w:p w14:paraId="688C4972" w14:textId="41D0A465" w:rsidR="00C526B0" w:rsidRDefault="00000000">
      <w:pPr>
        <w:pStyle w:val="FootnoteText"/>
      </w:pPr>
      <w:r w:rsidRPr="007A1163">
        <w:rPr>
          <w:vertAlign w:val="superscript"/>
        </w:rPr>
        <w:footnoteRef/>
      </w:r>
      <w:r w:rsidRPr="007A1163">
        <w:t xml:space="preserve">A </w:t>
      </w:r>
      <w:hyperlink r:id="rId3" w:history="1">
        <w:r w:rsidRPr="007A1163">
          <w:rPr>
            <w:rStyle w:val="Hyperlink"/>
            <w:u w:val="none"/>
          </w:rPr>
          <w:t>photogr</w:t>
        </w:r>
        <w:r w:rsidRPr="007A1163">
          <w:rPr>
            <w:rStyle w:val="Hyperlink"/>
            <w:u w:val="none"/>
          </w:rPr>
          <w:t>a</w:t>
        </w:r>
        <w:r w:rsidRPr="007A1163">
          <w:rPr>
            <w:rStyle w:val="Hyperlink"/>
            <w:u w:val="none"/>
          </w:rPr>
          <w:t>ph of the island taken in 1857</w:t>
        </w:r>
      </w:hyperlink>
      <w:r w:rsidRPr="007A1163">
        <w:t xml:space="preserve"> shows a few dozen houses on the small island</w:t>
      </w:r>
      <w:r w:rsidR="0002523D" w:rsidRPr="007A1163">
        <w:t xml:space="preserve"> </w:t>
      </w:r>
      <w:r w:rsidRPr="007A1163">
        <w:t xml:space="preserve">(about ten acres, see </w:t>
      </w:r>
      <w:hyperlink r:id="rId4" w:history="1">
        <w:r w:rsidRPr="007A1163">
          <w:rPr>
            <w:color w:val="0000FF"/>
          </w:rPr>
          <w:t>Figure 21 here</w:t>
        </w:r>
      </w:hyperlink>
      <w:hyperlink r:id="rId5" w:history="1"/>
      <w:r w:rsidRPr="007A1163">
        <w:t>)</w:t>
      </w:r>
      <w:r w:rsidR="0002523D" w:rsidRPr="007A1163">
        <w:t>.</w:t>
      </w:r>
      <w:r w:rsidRPr="007A1163">
        <w:t xml:space="preserve">  In the election of 1848, Mr. Lewis was one of only 42 voters casting a ballot in his precinct. </w:t>
      </w:r>
      <w:r w:rsidR="007A1163">
        <w:t>See PDF pp 341-344 at</w:t>
      </w:r>
    </w:p>
    <w:p w14:paraId="6FD99423" w14:textId="313029E0" w:rsidR="00C526B0" w:rsidRDefault="007A1163" w:rsidP="00C526B0">
      <w:pPr>
        <w:pStyle w:val="FootnoteText"/>
        <w:ind w:firstLine="0"/>
      </w:pPr>
      <w:hyperlink r:id="rId6" w:history="1">
        <w:r w:rsidRPr="00665B8A">
          <w:rPr>
            <w:rStyle w:val="Hyperlink"/>
          </w:rPr>
          <w:t>https://memory.loc.gov/service/gdc/lh</w:t>
        </w:r>
        <w:r w:rsidRPr="00665B8A">
          <w:rPr>
            <w:rStyle w:val="Hyperlink"/>
          </w:rPr>
          <w:t>b</w:t>
        </w:r>
        <w:r w:rsidRPr="00665B8A">
          <w:rPr>
            <w:rStyle w:val="Hyperlink"/>
          </w:rPr>
          <w:t>u</w:t>
        </w:r>
        <w:r w:rsidRPr="00665B8A">
          <w:rPr>
            <w:rStyle w:val="Hyperlink"/>
          </w:rPr>
          <w:t>m/0866e/0866e.pdf</w:t>
        </w:r>
      </w:hyperlink>
    </w:p>
    <w:p w14:paraId="62B11AF8" w14:textId="77777777" w:rsidR="007A1163" w:rsidRDefault="007A1163" w:rsidP="00C526B0">
      <w:pPr>
        <w:pStyle w:val="FootnoteText"/>
        <w:ind w:firstLine="0"/>
      </w:pPr>
    </w:p>
  </w:footnote>
  <w:footnote w:id="4">
    <w:p w14:paraId="38B09585" w14:textId="56A49DCB" w:rsidR="00896E21" w:rsidRDefault="00896E21" w:rsidP="00896E21">
      <w:pPr>
        <w:pStyle w:val="FootnoteText"/>
      </w:pPr>
      <w:r>
        <w:rPr>
          <w:vertAlign w:val="superscript"/>
        </w:rPr>
        <w:footnoteRef/>
      </w:r>
      <w:r>
        <w:t>A highlighted copy</w:t>
      </w:r>
      <w:r w:rsidR="0083639A">
        <w:t xml:space="preserve"> of M.S.A. </w:t>
      </w:r>
      <w:r w:rsidR="0083639A" w:rsidRPr="00CF6E3B">
        <w:t>§ 504B.321</w:t>
      </w:r>
      <w:r w:rsidR="0083639A">
        <w:t>(2022)</w:t>
      </w:r>
      <w:r>
        <w:t xml:space="preserve"> is available at https://birnberglegalwebsite.files.wordpress.com/2023/02/msa-504b.321-highlighted-2022.pdf</w:t>
      </w:r>
    </w:p>
    <w:p w14:paraId="6964EAF4" w14:textId="77777777" w:rsidR="00896E21" w:rsidRDefault="00896E21" w:rsidP="00896E21">
      <w:pPr>
        <w:pStyle w:val="FootnoteText"/>
      </w:pPr>
    </w:p>
  </w:footnote>
  <w:footnote w:id="5">
    <w:p w14:paraId="47203A3D" w14:textId="5FC71022" w:rsidR="00AF6A88" w:rsidRPr="00044969" w:rsidRDefault="00000000">
      <w:pPr>
        <w:pStyle w:val="FootnoteText"/>
      </w:pPr>
      <w:r>
        <w:rPr>
          <w:vertAlign w:val="superscript"/>
        </w:rPr>
        <w:footnoteRef/>
      </w:r>
      <w:r w:rsidRPr="00044969">
        <w:t xml:space="preserve">Minnesota statutes from prior years are available at </w:t>
      </w:r>
      <w:hyperlink r:id="rId7" w:history="1">
        <w:r w:rsidRPr="00044969">
          <w:rPr>
            <w:color w:val="0000FF"/>
          </w:rPr>
          <w:t>https://www.revisor.mn.gov/statutes/archive</w:t>
        </w:r>
      </w:hyperlink>
      <w:r w:rsidRPr="00044969">
        <w:t xml:space="preserve"> . Minnesota session laws are available at </w:t>
      </w:r>
      <w:hyperlink r:id="rId8" w:history="1">
        <w:r w:rsidRPr="00044969">
          <w:rPr>
            <w:color w:val="0000FF"/>
          </w:rPr>
          <w:t>https://www.revisor.mn.gov/laws/</w:t>
        </w:r>
      </w:hyperlink>
      <w:r w:rsidRPr="00044969">
        <w:t xml:space="preserve"> </w:t>
      </w:r>
    </w:p>
    <w:p w14:paraId="72C2E4F4" w14:textId="77777777" w:rsidR="0060608A" w:rsidRPr="00044969" w:rsidRDefault="0060608A">
      <w:pPr>
        <w:pStyle w:val="FootnoteText"/>
      </w:pPr>
    </w:p>
  </w:footnote>
  <w:footnote w:id="6">
    <w:p w14:paraId="3A671565" w14:textId="39D66777" w:rsidR="00AF6A88" w:rsidRPr="00044969" w:rsidRDefault="00000000">
      <w:pPr>
        <w:pStyle w:val="FootnoteText"/>
      </w:pPr>
      <w:r w:rsidRPr="00044969">
        <w:rPr>
          <w:vertAlign w:val="superscript"/>
        </w:rPr>
        <w:footnoteRef/>
      </w:r>
      <w:r w:rsidRPr="00044969">
        <w:t xml:space="preserve">Indeed, the entire Unlawful-Detainer chapter in the first state statutes -- written after the establishment of Minnesota as a state on May 11, 1858  – was copied word-for-word from the Minnesota Territorial Statutes See the </w:t>
      </w:r>
      <w:hyperlink r:id="rId9" w:history="1">
        <w:r w:rsidRPr="00044969">
          <w:rPr>
            <w:color w:val="0000FF"/>
          </w:rPr>
          <w:t xml:space="preserve">Preface and Explanations to </w:t>
        </w:r>
        <w:r w:rsidRPr="00044969">
          <w:rPr>
            <w:i/>
            <w:color w:val="0000FF"/>
          </w:rPr>
          <w:t>Minnesota Statutes 1858</w:t>
        </w:r>
      </w:hyperlink>
      <w:r w:rsidRPr="00044969">
        <w:t xml:space="preserve"> for why this is so.</w:t>
      </w:r>
    </w:p>
    <w:p w14:paraId="714C1FC3" w14:textId="77777777" w:rsidR="0060608A" w:rsidRPr="00044969" w:rsidRDefault="0060608A">
      <w:pPr>
        <w:pStyle w:val="FootnoteText"/>
      </w:pPr>
    </w:p>
  </w:footnote>
  <w:footnote w:id="7">
    <w:p w14:paraId="1FAC985D" w14:textId="77777777" w:rsidR="00AF6A88" w:rsidRDefault="00000000">
      <w:pPr>
        <w:pStyle w:val="FootnoteText"/>
      </w:pPr>
      <w:r w:rsidRPr="00044969">
        <w:rPr>
          <w:vertAlign w:val="superscript"/>
        </w:rPr>
        <w:footnoteRef/>
      </w:r>
      <w:r w:rsidRPr="00044969">
        <w:t>There were no new session laws on the subject so these changes probably were made by whoever was in charge of prepared the statute books</w:t>
      </w:r>
      <w:r>
        <w:t>.</w:t>
      </w:r>
    </w:p>
  </w:footnote>
  <w:footnote w:id="8">
    <w:p w14:paraId="3B5DE501" w14:textId="1D3ED1C7" w:rsidR="00AF6A88" w:rsidRDefault="00000000" w:rsidP="002D2215">
      <w:pPr>
        <w:pStyle w:val="FootnoteText"/>
      </w:pPr>
      <w:r>
        <w:rPr>
          <w:vertAlign w:val="superscript"/>
        </w:rPr>
        <w:footnoteRef/>
      </w:r>
      <w:r>
        <w:t xml:space="preserve">1973 Minn. Laws </w:t>
      </w:r>
      <w:proofErr w:type="spellStart"/>
      <w:r>
        <w:t>ch</w:t>
      </w:r>
      <w:r w:rsidR="002D2215">
        <w:t>.</w:t>
      </w:r>
      <w:proofErr w:type="spellEnd"/>
      <w:r w:rsidR="002D2215">
        <w:t xml:space="preserve"> </w:t>
      </w:r>
      <w:r>
        <w:t xml:space="preserve">611 s. 8 modified parts of the law about the return date of the summons and thus was unrelated to the describing-the-premises issue. 1981 Minn. Laws </w:t>
      </w:r>
      <w:proofErr w:type="spellStart"/>
      <w:r>
        <w:t>ch.</w:t>
      </w:r>
      <w:proofErr w:type="spellEnd"/>
      <w:r>
        <w:t xml:space="preserve"> </w:t>
      </w:r>
      <w:proofErr w:type="gramStart"/>
      <w:r>
        <w:t>168  s.</w:t>
      </w:r>
      <w:proofErr w:type="gramEnd"/>
      <w:r>
        <w:t xml:space="preserve"> 3 removed parts of the law about the roles of the sheriff’s serving the summons and thus was unrelated to the describing-the-premises issue. 1994 Minn. Laws </w:t>
      </w:r>
      <w:proofErr w:type="spellStart"/>
      <w:r>
        <w:t>ch.</w:t>
      </w:r>
      <w:proofErr w:type="spellEnd"/>
      <w:r>
        <w:t xml:space="preserve"> 502 modified parts of the law about prioritizing complaints and thus was unrelated to the describing-the-premises issue. 1996 Minn. Laws </w:t>
      </w:r>
      <w:proofErr w:type="spellStart"/>
      <w:r>
        <w:t>ch</w:t>
      </w:r>
      <w:r w:rsidR="002D2215">
        <w:t>.</w:t>
      </w:r>
      <w:proofErr w:type="spellEnd"/>
      <w:r>
        <w:t xml:space="preserve"> 328 s 7 modified parts of the law about the full name and birthdate and thus was unrelated the describing-the-premises issue. 1997 Minn. Laws </w:t>
      </w:r>
      <w:proofErr w:type="spellStart"/>
      <w:r>
        <w:t>ch.</w:t>
      </w:r>
      <w:proofErr w:type="spellEnd"/>
      <w:r>
        <w:t xml:space="preserve"> 239 art. 12 s. 5 modified parts of the law about scheduling complaints and thus was unrelated to the describing-the-premises issue.</w:t>
      </w:r>
      <w:r w:rsidR="002D2215">
        <w:t xml:space="preserve"> </w:t>
      </w:r>
      <w:r w:rsidR="004C48E5">
        <w:t>These</w:t>
      </w:r>
      <w:r w:rsidR="002D2215" w:rsidRPr="00044969">
        <w:t xml:space="preserve"> session laws are available at </w:t>
      </w:r>
      <w:hyperlink r:id="rId10" w:history="1">
        <w:r w:rsidR="002D2215" w:rsidRPr="00044969">
          <w:rPr>
            <w:color w:val="0000FF"/>
          </w:rPr>
          <w:t>https://www.revisor.mn.gov/laws/</w:t>
        </w:r>
      </w:hyperlink>
      <w:r w:rsidR="002D2215" w:rsidRPr="00044969">
        <w:t xml:space="preserve"> </w:t>
      </w:r>
      <w:r w:rsidR="002D2215">
        <w:t>.</w:t>
      </w:r>
    </w:p>
    <w:p w14:paraId="5E767828" w14:textId="77777777" w:rsidR="004B33A8" w:rsidRDefault="004B33A8">
      <w:pPr>
        <w:pStyle w:val="FootnoteText"/>
      </w:pPr>
    </w:p>
  </w:footnote>
  <w:footnote w:id="9">
    <w:p w14:paraId="0429BEDA" w14:textId="41238240" w:rsidR="0060608A" w:rsidRDefault="00000000">
      <w:pPr>
        <w:pStyle w:val="FootnoteText"/>
      </w:pPr>
      <w:r>
        <w:rPr>
          <w:vertAlign w:val="superscript"/>
        </w:rPr>
        <w:footnoteRef/>
      </w:r>
      <w:r w:rsidR="00524844">
        <w:t>T</w:t>
      </w:r>
      <w:r>
        <w:t>he Revisor’s bill, was designed to correct “erroneous, ambiguous, and omitted text and obsolete references; eliminating certain redundant, conflicting, and superseded provisions; making miscellaneous technical corrections to statutes and other laws”.</w:t>
      </w:r>
    </w:p>
    <w:p w14:paraId="1C271A34" w14:textId="106B6C63" w:rsidR="00AF6A88" w:rsidRDefault="00000000">
      <w:pPr>
        <w:pStyle w:val="FootnoteText"/>
      </w:pPr>
      <w:hyperlink r:id="rId11" w:history="1"/>
    </w:p>
  </w:footnote>
  <w:footnote w:id="10">
    <w:p w14:paraId="2324F145" w14:textId="2CD2061D" w:rsidR="00AF6A88" w:rsidRPr="00044969" w:rsidRDefault="00000000">
      <w:pPr>
        <w:pStyle w:val="FootnoteText"/>
      </w:pPr>
      <w:r>
        <w:rPr>
          <w:vertAlign w:val="superscript"/>
        </w:rPr>
        <w:footnoteRef/>
      </w:r>
      <w:r w:rsidRPr="00044969">
        <w:t xml:space="preserve">See </w:t>
      </w:r>
      <w:hyperlink r:id="rId12" w:history="1">
        <w:r w:rsidRPr="00044969">
          <w:rPr>
            <w:color w:val="0000FF"/>
          </w:rPr>
          <w:t>History of the Minnesota Supreme Court</w:t>
        </w:r>
      </w:hyperlink>
      <w:r w:rsidRPr="00044969">
        <w:t>;</w:t>
      </w:r>
      <w:r w:rsidR="002C7B5B">
        <w:t xml:space="preserve"> and</w:t>
      </w:r>
      <w:r w:rsidRPr="00044969">
        <w:t xml:space="preserve"> </w:t>
      </w:r>
      <w:hyperlink r:id="rId13" w:history="1">
        <w:proofErr w:type="spellStart"/>
        <w:r w:rsidRPr="00044969">
          <w:rPr>
            <w:color w:val="0000FF"/>
          </w:rPr>
          <w:t>Sheran</w:t>
        </w:r>
        <w:proofErr w:type="spellEnd"/>
        <w:r w:rsidRPr="00044969">
          <w:rPr>
            <w:color w:val="0000FF"/>
          </w:rPr>
          <w:t xml:space="preserve">, Robert J. and </w:t>
        </w:r>
        <w:proofErr w:type="spellStart"/>
        <w:r w:rsidRPr="00044969">
          <w:rPr>
            <w:color w:val="0000FF"/>
          </w:rPr>
          <w:t>Baland</w:t>
        </w:r>
        <w:proofErr w:type="spellEnd"/>
        <w:r w:rsidRPr="00044969">
          <w:rPr>
            <w:color w:val="0000FF"/>
          </w:rPr>
          <w:t xml:space="preserve">, Timothy J. (1976) "The Law, Courts and Lawyers in the Frontier Days of Minnesota: An Informal Legal History of the Years 1835 to 1865," William Mitchell Law Review: Vol. 2: </w:t>
        </w:r>
        <w:proofErr w:type="spellStart"/>
        <w:r w:rsidRPr="00044969">
          <w:rPr>
            <w:color w:val="0000FF"/>
          </w:rPr>
          <w:t>Iss</w:t>
        </w:r>
        <w:proofErr w:type="spellEnd"/>
        <w:r w:rsidRPr="00044969">
          <w:rPr>
            <w:color w:val="0000FF"/>
          </w:rPr>
          <w:t>. 1, Article 1</w:t>
        </w:r>
      </w:hyperlink>
      <w:r w:rsidRPr="00044969">
        <w:t xml:space="preserve"> at 18 et seq.</w:t>
      </w:r>
    </w:p>
    <w:p w14:paraId="54E8F28F" w14:textId="77777777" w:rsidR="0060608A" w:rsidRDefault="0060608A">
      <w:pPr>
        <w:pStyle w:val="FootnoteText"/>
      </w:pPr>
    </w:p>
  </w:footnote>
  <w:footnote w:id="11">
    <w:p w14:paraId="5B489644" w14:textId="07AE3756" w:rsidR="00AF6A88" w:rsidRDefault="00000000">
      <w:pPr>
        <w:pStyle w:val="FootnoteText"/>
      </w:pPr>
      <w:r>
        <w:rPr>
          <w:vertAlign w:val="superscript"/>
        </w:rPr>
        <w:footnoteRef/>
      </w:r>
      <w:r>
        <w:t xml:space="preserve">See </w:t>
      </w:r>
      <w:proofErr w:type="spellStart"/>
      <w:r>
        <w:t>Sheran</w:t>
      </w:r>
      <w:proofErr w:type="spellEnd"/>
      <w:r>
        <w:t xml:space="preserve"> and </w:t>
      </w:r>
      <w:proofErr w:type="spellStart"/>
      <w:r>
        <w:t>Baland’s</w:t>
      </w:r>
      <w:proofErr w:type="spellEnd"/>
      <w:r>
        <w:t xml:space="preserve"> article (prior footnote) at 34.</w:t>
      </w:r>
    </w:p>
    <w:p w14:paraId="418D9A7C" w14:textId="77777777" w:rsidR="0060608A" w:rsidRDefault="0060608A">
      <w:pPr>
        <w:pStyle w:val="FootnoteText"/>
      </w:pPr>
    </w:p>
  </w:footnote>
  <w:footnote w:id="12">
    <w:p w14:paraId="0AB9A35F" w14:textId="4D504AD3" w:rsidR="00AF6A88" w:rsidRDefault="00000000">
      <w:pPr>
        <w:pStyle w:val="FootnoteText"/>
      </w:pPr>
      <w:r>
        <w:rPr>
          <w:vertAlign w:val="superscript"/>
        </w:rPr>
        <w:footnoteRef/>
      </w:r>
      <w:r>
        <w:t xml:space="preserve">Volume 1 of Minnesota Reports and Volume 1 of Gilfillan Reports contain all the Territorial Supreme Court cases and only such cases. </w:t>
      </w:r>
      <w:r w:rsidR="005B379C">
        <w:t>Thus,</w:t>
      </w:r>
      <w:r>
        <w:t xml:space="preserve"> a search for “1 Minn.” in the Harvard database or “1 Gil.” in Google Scholar (modern courts tend to use parallel cites) produced the needed references. Upon request, I can provide my </w:t>
      </w:r>
      <w:r w:rsidR="005B379C">
        <w:t>notes.</w:t>
      </w:r>
    </w:p>
  </w:footnote>
  <w:footnote w:id="13">
    <w:p w14:paraId="0EBD1FDF" w14:textId="77777777" w:rsidR="00AF6A88" w:rsidRDefault="00000000">
      <w:pPr>
        <w:pStyle w:val="FootnoteText"/>
      </w:pPr>
      <w:r>
        <w:rPr>
          <w:vertAlign w:val="superscript"/>
        </w:rPr>
        <w:footnoteRef/>
      </w:r>
      <w:r>
        <w:t>The Minnesota Territorial Statutes were simply copied from Wisconsin. See</w:t>
      </w:r>
    </w:p>
    <w:p w14:paraId="087C75DF" w14:textId="08DBEABC" w:rsidR="00AF6A88" w:rsidRDefault="00000000">
      <w:pPr>
        <w:widowControl w:val="0"/>
      </w:pPr>
      <w:r>
        <w:t xml:space="preserve">the </w:t>
      </w:r>
      <w:hyperlink r:id="rId14" w:history="1">
        <w:r w:rsidRPr="007A1CD8">
          <w:rPr>
            <w:i/>
            <w:iCs/>
            <w:color w:val="0000FF"/>
          </w:rPr>
          <w:t>Preface to the Minnesota Territorial Statutes, “commencing January 1, 1851”</w:t>
        </w:r>
        <w:r w:rsidRPr="007A1CD8">
          <w:rPr>
            <w:color w:val="0000FF"/>
          </w:rPr>
          <w:t xml:space="preserve">, pp 1-2 </w:t>
        </w:r>
      </w:hyperlink>
      <w:hyperlink r:id="rId15" w:history="1"/>
      <w:r w:rsidRPr="007A1CD8">
        <w:t>.The</w:t>
      </w:r>
      <w:r>
        <w:t xml:space="preserve"> </w:t>
      </w:r>
      <w:r>
        <w:rPr>
          <w:u w:val="single"/>
        </w:rPr>
        <w:t>Lewis v. Steele</w:t>
      </w:r>
      <w:r>
        <w:t xml:space="preserve"> complaint was filed on July 5, 1851. The “Advertisement” in the Preface explains that because “Minnesota” had been part of the Wisconsin territory until Minnesota became a territory on March 3, 1849, in general the laws of Wisconsin carried over into Minnesota Territory unless modified by the Minnesota legislature. </w:t>
      </w:r>
    </w:p>
    <w:p w14:paraId="0907338E" w14:textId="77777777" w:rsidR="0060608A" w:rsidRDefault="0060608A">
      <w:pPr>
        <w:widowControl w:val="0"/>
      </w:pPr>
    </w:p>
  </w:footnote>
  <w:footnote w:id="14">
    <w:p w14:paraId="29C2A6E8" w14:textId="71E7949C" w:rsidR="00AF6A88" w:rsidRPr="00E127DB" w:rsidRDefault="00000000">
      <w:pPr>
        <w:pStyle w:val="FootnoteText"/>
      </w:pPr>
      <w:r w:rsidRPr="00E127DB">
        <w:rPr>
          <w:vertAlign w:val="superscript"/>
        </w:rPr>
        <w:footnoteRef/>
      </w:r>
      <w:r w:rsidRPr="00E127DB">
        <w:t>The unlawful detainer (eviction) action is a summary proceeding, created by statute, which provides an alternative to the common law ejectment action</w:t>
      </w:r>
      <w:hyperlink r:id="rId16" w:history="1">
        <w:r w:rsidRPr="00E127DB">
          <w:rPr>
            <w:color w:val="0000FF"/>
          </w:rPr>
          <w:t xml:space="preserve">. </w:t>
        </w:r>
        <w:proofErr w:type="spellStart"/>
        <w:r w:rsidRPr="00E127DB">
          <w:rPr>
            <w:i/>
            <w:color w:val="0000FF"/>
          </w:rPr>
          <w:t>Warnert</w:t>
        </w:r>
        <w:proofErr w:type="spellEnd"/>
        <w:r w:rsidRPr="00E127DB">
          <w:rPr>
            <w:i/>
            <w:color w:val="0000FF"/>
          </w:rPr>
          <w:t xml:space="preserve"> v. MGM Properties</w:t>
        </w:r>
        <w:r w:rsidRPr="00E127DB">
          <w:rPr>
            <w:color w:val="0000FF"/>
          </w:rPr>
          <w:t>, 362 N.W.2d 364, 366-67 n.1 (Minn. Ct. App. 1985)</w:t>
        </w:r>
      </w:hyperlink>
      <w:r w:rsidR="00435A9C" w:rsidRPr="00E127DB">
        <w:rPr>
          <w:b/>
          <w:bCs/>
          <w:color w:val="000000" w:themeColor="text1"/>
        </w:rPr>
        <w:t>;</w:t>
      </w:r>
      <w:r w:rsidR="00435A9C" w:rsidRPr="00E127DB">
        <w:t xml:space="preserve"> </w:t>
      </w:r>
      <w:hyperlink r:id="rId17" w:history="1">
        <w:r w:rsidRPr="00E127DB">
          <w:rPr>
            <w:color w:val="0000FF"/>
          </w:rPr>
          <w:t xml:space="preserve">Minn. Stat. §§ 504B.335-.341 </w:t>
        </w:r>
      </w:hyperlink>
      <w:r w:rsidRPr="00E127DB">
        <w:t>(eviction actions can be heard at the initial hearing and in virtually all cases within six days of that date).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D38E3" w14:textId="77777777" w:rsidR="00AF6A88" w:rsidRDefault="00AF6A88">
    <w:pPr>
      <w:widowControl w:val="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5BE87" w14:textId="77777777" w:rsidR="00AF6A88" w:rsidRDefault="00AF6A88">
    <w:pPr>
      <w:widowControl w:val="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11C60" w14:textId="77777777" w:rsidR="00AF6A88" w:rsidRDefault="00AF6A88">
    <w:pPr>
      <w:widowControl w:val="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CC443A" w14:textId="77777777" w:rsidR="00AF6A88" w:rsidRDefault="00AF6A88">
    <w:pPr>
      <w:widowControl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A88"/>
    <w:rsid w:val="00013E16"/>
    <w:rsid w:val="0002523D"/>
    <w:rsid w:val="000422BD"/>
    <w:rsid w:val="00044969"/>
    <w:rsid w:val="000D60E8"/>
    <w:rsid w:val="0014766D"/>
    <w:rsid w:val="00171D1D"/>
    <w:rsid w:val="001D6CA4"/>
    <w:rsid w:val="001E3113"/>
    <w:rsid w:val="00207562"/>
    <w:rsid w:val="00265669"/>
    <w:rsid w:val="0029688E"/>
    <w:rsid w:val="002B016B"/>
    <w:rsid w:val="002B293F"/>
    <w:rsid w:val="002C7B5B"/>
    <w:rsid w:val="002C7DC5"/>
    <w:rsid w:val="002D2215"/>
    <w:rsid w:val="002D7F90"/>
    <w:rsid w:val="003025D8"/>
    <w:rsid w:val="00331ABA"/>
    <w:rsid w:val="00340AEF"/>
    <w:rsid w:val="00373D96"/>
    <w:rsid w:val="00422C2C"/>
    <w:rsid w:val="00425CAB"/>
    <w:rsid w:val="00435A9C"/>
    <w:rsid w:val="00495013"/>
    <w:rsid w:val="004B33A8"/>
    <w:rsid w:val="004C48E5"/>
    <w:rsid w:val="00524844"/>
    <w:rsid w:val="005649B0"/>
    <w:rsid w:val="005B379C"/>
    <w:rsid w:val="005B757A"/>
    <w:rsid w:val="005E62F2"/>
    <w:rsid w:val="005F1577"/>
    <w:rsid w:val="0060608A"/>
    <w:rsid w:val="00606EE9"/>
    <w:rsid w:val="006362CD"/>
    <w:rsid w:val="006555BA"/>
    <w:rsid w:val="006639D8"/>
    <w:rsid w:val="006C44B2"/>
    <w:rsid w:val="00713540"/>
    <w:rsid w:val="0072611A"/>
    <w:rsid w:val="007416FD"/>
    <w:rsid w:val="0074375A"/>
    <w:rsid w:val="0075085C"/>
    <w:rsid w:val="007600A4"/>
    <w:rsid w:val="007614E2"/>
    <w:rsid w:val="00771405"/>
    <w:rsid w:val="007A1163"/>
    <w:rsid w:val="007A1CD8"/>
    <w:rsid w:val="007E24F5"/>
    <w:rsid w:val="007F31D7"/>
    <w:rsid w:val="0083639A"/>
    <w:rsid w:val="00890C1C"/>
    <w:rsid w:val="00893942"/>
    <w:rsid w:val="00896E21"/>
    <w:rsid w:val="008A0247"/>
    <w:rsid w:val="008A660F"/>
    <w:rsid w:val="00922EB1"/>
    <w:rsid w:val="00937A1C"/>
    <w:rsid w:val="009721FA"/>
    <w:rsid w:val="00996F42"/>
    <w:rsid w:val="00A15AB1"/>
    <w:rsid w:val="00A20FE3"/>
    <w:rsid w:val="00A4063C"/>
    <w:rsid w:val="00A52E16"/>
    <w:rsid w:val="00A92E72"/>
    <w:rsid w:val="00AF6A88"/>
    <w:rsid w:val="00B07D2F"/>
    <w:rsid w:val="00BB3D1E"/>
    <w:rsid w:val="00C526B0"/>
    <w:rsid w:val="00C61771"/>
    <w:rsid w:val="00C90807"/>
    <w:rsid w:val="00CF6E3B"/>
    <w:rsid w:val="00D16DF6"/>
    <w:rsid w:val="00D52282"/>
    <w:rsid w:val="00D74D02"/>
    <w:rsid w:val="00DA01BB"/>
    <w:rsid w:val="00DB08D4"/>
    <w:rsid w:val="00DE394B"/>
    <w:rsid w:val="00E127DB"/>
    <w:rsid w:val="00E1522E"/>
    <w:rsid w:val="00E7194E"/>
    <w:rsid w:val="00EA6C54"/>
    <w:rsid w:val="00EB590B"/>
    <w:rsid w:val="00EE2BB1"/>
    <w:rsid w:val="00FC4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1E051D"/>
  <w15:docId w15:val="{ECD54724-D7A9-4460-B9ED-53AF03737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pPr>
      <w:widowControl w:val="0"/>
      <w:ind w:firstLine="720"/>
    </w:pPr>
  </w:style>
  <w:style w:type="character" w:styleId="FootnoteReference">
    <w:name w:val="footnote reference"/>
    <w:basedOn w:val="DefaultParagraphFont"/>
    <w:rPr>
      <w:vertAlign w:val="superscript"/>
    </w:rPr>
  </w:style>
  <w:style w:type="character" w:customStyle="1" w:styleId="SYSHYPERTEXT">
    <w:name w:val="SYS_HYPERTEXT"/>
    <w:basedOn w:val="DefaultParagraphFont"/>
    <w:rPr>
      <w:color w:val="0000FF"/>
      <w:u w:val="single"/>
    </w:rPr>
  </w:style>
  <w:style w:type="character" w:styleId="Hyperlink">
    <w:name w:val="Hyperlink"/>
    <w:basedOn w:val="DefaultParagraphFont"/>
    <w:uiPriority w:val="99"/>
    <w:unhideWhenUsed/>
    <w:rsid w:val="00C526B0"/>
    <w:rPr>
      <w:color w:val="0563C1" w:themeColor="hyperlink"/>
      <w:u w:val="single"/>
    </w:rPr>
  </w:style>
  <w:style w:type="character" w:styleId="UnresolvedMention">
    <w:name w:val="Unresolved Mention"/>
    <w:basedOn w:val="DefaultParagraphFont"/>
    <w:uiPriority w:val="99"/>
    <w:semiHidden/>
    <w:unhideWhenUsed/>
    <w:rsid w:val="00C526B0"/>
    <w:rPr>
      <w:color w:val="605E5C"/>
      <w:shd w:val="clear" w:color="auto" w:fill="E1DFDD"/>
    </w:rPr>
  </w:style>
  <w:style w:type="paragraph" w:styleId="Header">
    <w:name w:val="header"/>
    <w:basedOn w:val="Normal"/>
    <w:link w:val="HeaderChar"/>
    <w:uiPriority w:val="99"/>
    <w:unhideWhenUsed/>
    <w:rsid w:val="00044969"/>
    <w:pPr>
      <w:tabs>
        <w:tab w:val="center" w:pos="4680"/>
        <w:tab w:val="right" w:pos="9360"/>
      </w:tabs>
    </w:pPr>
  </w:style>
  <w:style w:type="character" w:customStyle="1" w:styleId="HeaderChar">
    <w:name w:val="Header Char"/>
    <w:basedOn w:val="DefaultParagraphFont"/>
    <w:link w:val="Header"/>
    <w:uiPriority w:val="99"/>
    <w:rsid w:val="00044969"/>
    <w:rPr>
      <w:sz w:val="24"/>
    </w:rPr>
  </w:style>
  <w:style w:type="paragraph" w:styleId="Footer">
    <w:name w:val="footer"/>
    <w:basedOn w:val="Normal"/>
    <w:link w:val="FooterChar"/>
    <w:uiPriority w:val="99"/>
    <w:unhideWhenUsed/>
    <w:rsid w:val="00044969"/>
    <w:pPr>
      <w:tabs>
        <w:tab w:val="center" w:pos="4680"/>
        <w:tab w:val="right" w:pos="9360"/>
      </w:tabs>
    </w:pPr>
  </w:style>
  <w:style w:type="character" w:customStyle="1" w:styleId="FooterChar">
    <w:name w:val="Footer Char"/>
    <w:basedOn w:val="DefaultParagraphFont"/>
    <w:link w:val="Footer"/>
    <w:uiPriority w:val="99"/>
    <w:rsid w:val="00044969"/>
    <w:rPr>
      <w:sz w:val="24"/>
    </w:rPr>
  </w:style>
  <w:style w:type="character" w:styleId="FollowedHyperlink">
    <w:name w:val="FollowedHyperlink"/>
    <w:basedOn w:val="DefaultParagraphFont"/>
    <w:uiPriority w:val="99"/>
    <w:semiHidden/>
    <w:unhideWhenUsed/>
    <w:rsid w:val="007F31D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revisor.mn.gov/court_rules/gp/id/604/" TargetMode="External"/><Relationship Id="rId13" Type="http://schemas.openxmlformats.org/officeDocument/2006/relationships/hyperlink" Target="https://www.revisor.mn.gov/statutes/1905/document/misc/Preface/" TargetMode="External"/><Relationship Id="rId18" Type="http://schemas.openxmlformats.org/officeDocument/2006/relationships/header" Target="header1.xml"/><Relationship Id="rId26" Type="http://schemas.openxmlformats.org/officeDocument/2006/relationships/hyperlink" Target="https://www.google.com/books/edition/Minnesota_Reports/YtkzAQAAMAAJ?hl=en&amp;gbpv=1&amp;dq=%22john+street%22+chicago+minnesota+court+1" TargetMode="Externa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s://www.revisor.mn.gov/statutes/cite/504B.321" TargetMode="External"/><Relationship Id="rId12" Type="http://schemas.openxmlformats.org/officeDocument/2006/relationships/hyperlink" Target="https://www.google.com/books/edition/Minnesota_Reports/wtEUAAAAYAAJ?hl=en&amp;gbpv=1&amp;dq=lott+simons+minnesota+lewis+steele&amp;pg=PA89&amp;printsec=frontcover" TargetMode="External"/><Relationship Id="rId17" Type="http://schemas.openxmlformats.org/officeDocument/2006/relationships/hyperlink" Target="http://collections.mnhs.org/MNHistoryMagazine/articles/56/v56i04p154-171.pdf" TargetMode="External"/><Relationship Id="rId25" Type="http://schemas.openxmlformats.org/officeDocument/2006/relationships/hyperlink" Target="https://www.google.com/books/edition/Minnesota_Reports/5u1HAQAAMAAJ?hl=en&amp;gbpv=1&amp;dq=willard+finnegan+court+minnesota&amp;pg=PR6&amp;printsec=frontcover"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familypedia.fandom.com/wiki/Minnesota_Territory?file=MN-Terr-1849-1851.jpg" TargetMode="External"/><Relationship Id="rId20" Type="http://schemas.openxmlformats.org/officeDocument/2006/relationships/footer" Target="footer1.xml"/><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birnberglegalwebsite.files.wordpress.com/2023/02/twin-city-development-order-and-complaint.pdf" TargetMode="External"/><Relationship Id="rId24" Type="http://schemas.openxmlformats.org/officeDocument/2006/relationships/hyperlink" Target="https://www.google.com/books/edition/Minnesota_Reports/NcsUAAAAYAAJ?hl=en&amp;gbpv=1&amp;dq=kern+von+phul+waters+court&amp;pg=PA426&amp;printse"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scholar.google.com/scholar_case?case=4807374346588486313&amp;hl=en&amp;as_sdt=6,24" TargetMode="External"/><Relationship Id="rId23" Type="http://schemas.openxmlformats.org/officeDocument/2006/relationships/hyperlink" Target="https://case.law/search/" TargetMode="External"/><Relationship Id="rId28" Type="http://schemas.openxmlformats.org/officeDocument/2006/relationships/header" Target="header3.xml"/><Relationship Id="rId10" Type="http://schemas.openxmlformats.org/officeDocument/2006/relationships/hyperlink" Target="https://birnberglegalwebsite.files.wordpress.com/2023/02/glenwood-financial-order-and-complaint.pdf" TargetMode="External"/><Relationship Id="rId19" Type="http://schemas.openxmlformats.org/officeDocument/2006/relationships/header" Target="header2.xml"/><Relationship Id="rId31"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hyperlink" Target="http://povertylaw.homestead.com/files/Reading/Residential_Eviction_Defense_in_Minnesota.htm" TargetMode="External"/><Relationship Id="rId14" Type="http://schemas.openxmlformats.org/officeDocument/2006/relationships/hyperlink" Target="https://scholar.google.com/scholar_case?case=7995007659523373036&amp;hl=en&amp;as_sdt=6,24" TargetMode="External"/><Relationship Id="rId22" Type="http://schemas.openxmlformats.org/officeDocument/2006/relationships/hyperlink" Target="https://scholar.google.com/" TargetMode="External"/><Relationship Id="rId27" Type="http://schemas.openxmlformats.org/officeDocument/2006/relationships/hyperlink" Target="https://www.google.com/books/edition/Reports_of_Cases_Argued_and_Determined_i/w88MAQAAMAAJ?hl=en&amp;gbpv=1&amp;dq=cox+groshong+wiscons" TargetMode="External"/><Relationship Id="rId30" Type="http://schemas.openxmlformats.org/officeDocument/2006/relationships/footer" Target="footer3.xml"/></Relationships>
</file>

<file path=word/_rels/footnotes.xml.rels><?xml version="1.0" encoding="UTF-8" standalone="yes"?>
<Relationships xmlns="http://schemas.openxmlformats.org/package/2006/relationships"><Relationship Id="rId8" Type="http://schemas.openxmlformats.org/officeDocument/2006/relationships/hyperlink" Target="https://www.revisor.mn.gov/laws/" TargetMode="External"/><Relationship Id="rId13" Type="http://schemas.openxmlformats.org/officeDocument/2006/relationships/hyperlink" Target="https://open.mitchellhamline.edu/wmlr/vol2/iss1/1/" TargetMode="External"/><Relationship Id="rId3" Type="http://schemas.openxmlformats.org/officeDocument/2006/relationships/hyperlink" Target="https://www.pinterest.com/pin/hennepin-island-from-minnesota-historical-society-photographer-benjamin-franklin-upton-1857--289145238561120817/" TargetMode="External"/><Relationship Id="rId7" Type="http://schemas.openxmlformats.org/officeDocument/2006/relationships/hyperlink" Target="https://www.revisor.mn.gov/statutes/archive" TargetMode="External"/><Relationship Id="rId12" Type="http://schemas.openxmlformats.org/officeDocument/2006/relationships/hyperlink" Target="https://mn.gov/law-library/research-links/supremecourthistory.jsp" TargetMode="External"/><Relationship Id="rId17" Type="http://schemas.openxmlformats.org/officeDocument/2006/relationships/hyperlink" Target="https://www.revisor.mn.gov/statutes/cite/504B.335" TargetMode="External"/><Relationship Id="rId2" Type="http://schemas.openxmlformats.org/officeDocument/2006/relationships/hyperlink" Target="https://scholar.google.com/scholar_case?case=3798907343072650476&amp;hl=en&amp;as_sdt=6,24" TargetMode="External"/><Relationship Id="rId16" Type="http://schemas.openxmlformats.org/officeDocument/2006/relationships/hyperlink" Target="https://scholar.google.com/scholar_case?case=577226114459796549&amp;hl=en&amp;as_sdt=6,24" TargetMode="External"/><Relationship Id="rId1" Type="http://schemas.openxmlformats.org/officeDocument/2006/relationships/hyperlink" Target="https://www.revisor.mn.gov/court_rules/gp/id/601/" TargetMode="External"/><Relationship Id="rId6" Type="http://schemas.openxmlformats.org/officeDocument/2006/relationships/hyperlink" Target="https://memory.loc.gov/service/gdc/lhbum/0866e/0866e.pdf" TargetMode="External"/><Relationship Id="rId11" Type="http://schemas.openxmlformats.org/officeDocument/2006/relationships/hyperlink" Target="https://www.revisor.mn.gov/laws/2005/0/10/" TargetMode="External"/><Relationship Id="rId5" Type="http://schemas.openxmlformats.org/officeDocument/2006/relationships/hyperlink" Target="https://www.google.com/maps/search/hennepin+island+size/@44.981709,-93.2542901,17z" TargetMode="External"/><Relationship Id="rId15" Type="http://schemas.openxmlformats.org/officeDocument/2006/relationships/hyperlink" Target="https://www.revisor.mn.gov/statutes/1851/document/misc/Preface/" TargetMode="External"/><Relationship Id="rId10" Type="http://schemas.openxmlformats.org/officeDocument/2006/relationships/hyperlink" Target="https://www.revisor.mn.gov/laws/" TargetMode="External"/><Relationship Id="rId4" Type="http://schemas.openxmlformats.org/officeDocument/2006/relationships/hyperlink" Target="https://doc-04-4k-apps-viewer.googleusercontent.com/viewer/secure/pdf/39637fa0gp0f18m771q1n2vn83a1lq0b/uev7csj96ec4be7qe4av6pu9" TargetMode="External"/><Relationship Id="rId9" Type="http://schemas.openxmlformats.org/officeDocument/2006/relationships/hyperlink" Target="https://www.revisor.mn.gov/statutes/1858/document/misc/Preface/" TargetMode="External"/><Relationship Id="rId14" Type="http://schemas.openxmlformats.org/officeDocument/2006/relationships/hyperlink" Target="https://www.revisor.mn.gov/statutes/1851/document/misc/Prefa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F5CF22-9297-49D4-9531-4F9E8D9E3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9</Pages>
  <Words>3341</Words>
  <Characters>19044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86</cp:revision>
  <cp:lastPrinted>2023-02-10T19:19:00Z</cp:lastPrinted>
  <dcterms:created xsi:type="dcterms:W3CDTF">2023-02-09T14:34:00Z</dcterms:created>
  <dcterms:modified xsi:type="dcterms:W3CDTF">2023-02-10T20:00:00Z</dcterms:modified>
</cp:coreProperties>
</file>