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3AEC1" w14:textId="5A1E5078" w:rsidR="00BB4E55" w:rsidRPr="004F367C" w:rsidRDefault="00BB4E55" w:rsidP="00BB4E55">
      <w:pPr>
        <w:rPr>
          <w:rFonts w:ascii="Times New Roman" w:hAnsi="Times New Roman" w:cs="Times New Roman"/>
          <w:b/>
          <w:bCs/>
          <w:sz w:val="28"/>
          <w:szCs w:val="28"/>
          <w:shd w:val="clear" w:color="auto" w:fill="FFFFFF"/>
        </w:rPr>
      </w:pPr>
      <w:r w:rsidRPr="004F367C">
        <w:rPr>
          <w:rFonts w:ascii="Times New Roman" w:hAnsi="Times New Roman" w:cs="Times New Roman"/>
          <w:b/>
          <w:bCs/>
          <w:sz w:val="28"/>
          <w:szCs w:val="28"/>
          <w:shd w:val="clear" w:color="auto" w:fill="FFFFFF"/>
        </w:rPr>
        <w:t xml:space="preserve">Commentary on </w:t>
      </w:r>
      <w:r w:rsidRPr="004F367C">
        <w:rPr>
          <w:rFonts w:ascii="Times New Roman" w:hAnsi="Times New Roman" w:cs="Times New Roman"/>
          <w:b/>
          <w:bCs/>
          <w:i/>
          <w:iCs/>
          <w:sz w:val="28"/>
          <w:szCs w:val="28"/>
          <w:shd w:val="clear" w:color="auto" w:fill="FFFFFF"/>
        </w:rPr>
        <w:t>Quinn v. LMC</w:t>
      </w:r>
      <w:r w:rsidRPr="004F367C">
        <w:rPr>
          <w:rFonts w:ascii="Times New Roman" w:hAnsi="Times New Roman" w:cs="Times New Roman"/>
          <w:b/>
          <w:bCs/>
          <w:sz w:val="28"/>
          <w:szCs w:val="28"/>
          <w:shd w:val="clear" w:color="auto" w:fill="FFFFFF"/>
        </w:rPr>
        <w:t>,</w:t>
      </w:r>
      <w:r w:rsidR="00200FA8" w:rsidRPr="004F367C">
        <w:rPr>
          <w:rFonts w:ascii="Times New Roman" w:hAnsi="Times New Roman" w:cs="Times New Roman"/>
          <w:b/>
          <w:bCs/>
          <w:sz w:val="28"/>
          <w:szCs w:val="28"/>
          <w:shd w:val="clear" w:color="auto" w:fill="FFFFFF"/>
        </w:rPr>
        <w:t xml:space="preserve"> --</w:t>
      </w:r>
      <w:r w:rsidRPr="004F367C">
        <w:rPr>
          <w:rFonts w:ascii="Times New Roman" w:hAnsi="Times New Roman" w:cs="Times New Roman"/>
          <w:b/>
          <w:bCs/>
          <w:sz w:val="28"/>
          <w:szCs w:val="28"/>
          <w:shd w:val="clear" w:color="auto" w:fill="FFFFFF"/>
        </w:rPr>
        <w:t xml:space="preserve"> a Case Holding It Was Illegal to Lockout a Long-Term Roommate of the Leaseholder Without a Court Order.</w:t>
      </w:r>
    </w:p>
    <w:p w14:paraId="2A244520" w14:textId="34663640" w:rsidR="000745D7" w:rsidRPr="003F51B7" w:rsidRDefault="000745D7" w:rsidP="00416A4A">
      <w:pPr>
        <w:rPr>
          <w:rFonts w:ascii="Times New Roman" w:hAnsi="Times New Roman" w:cs="Times New Roman"/>
          <w:b/>
          <w:bCs/>
          <w:sz w:val="28"/>
          <w:szCs w:val="28"/>
        </w:rPr>
      </w:pPr>
      <w:r w:rsidRPr="003F51B7">
        <w:rPr>
          <w:rFonts w:ascii="Times New Roman" w:hAnsi="Times New Roman" w:cs="Times New Roman"/>
          <w:b/>
          <w:bCs/>
          <w:sz w:val="28"/>
          <w:szCs w:val="28"/>
        </w:rPr>
        <w:t>PART 1</w:t>
      </w:r>
    </w:p>
    <w:p w14:paraId="7BCC49E4" w14:textId="3F138FF1" w:rsidR="00416A4A" w:rsidRPr="00D1363F" w:rsidRDefault="000745D7" w:rsidP="00416A4A">
      <w:pPr>
        <w:rPr>
          <w:rFonts w:ascii="Times New Roman" w:hAnsi="Times New Roman" w:cs="Times New Roman"/>
          <w:sz w:val="28"/>
          <w:szCs w:val="28"/>
          <w:u w:val="single"/>
        </w:rPr>
      </w:pPr>
      <w:r>
        <w:rPr>
          <w:rFonts w:ascii="Times New Roman" w:hAnsi="Times New Roman" w:cs="Times New Roman"/>
          <w:sz w:val="28"/>
          <w:szCs w:val="28"/>
          <w:u w:val="single"/>
        </w:rPr>
        <w:t>In</w:t>
      </w:r>
      <w:r w:rsidR="00416A4A" w:rsidRPr="00D1363F">
        <w:rPr>
          <w:rFonts w:ascii="Times New Roman" w:hAnsi="Times New Roman" w:cs="Times New Roman"/>
          <w:sz w:val="28"/>
          <w:szCs w:val="28"/>
          <w:u w:val="single"/>
        </w:rPr>
        <w:t>troduction</w:t>
      </w:r>
    </w:p>
    <w:p w14:paraId="1AF931FA" w14:textId="0A04B918" w:rsidR="00243561" w:rsidRDefault="00F268A5">
      <w:pPr>
        <w:rPr>
          <w:rFonts w:ascii="Times New Roman" w:hAnsi="Times New Roman" w:cs="Times New Roman"/>
          <w:bCs/>
          <w:sz w:val="28"/>
          <w:szCs w:val="28"/>
        </w:rPr>
      </w:pPr>
      <w:r w:rsidRPr="00D1363F">
        <w:rPr>
          <w:rFonts w:ascii="Times New Roman" w:hAnsi="Times New Roman" w:cs="Times New Roman"/>
          <w:sz w:val="28"/>
          <w:szCs w:val="28"/>
        </w:rPr>
        <w:t xml:space="preserve">On April </w:t>
      </w:r>
      <w:r w:rsidR="000444E7" w:rsidRPr="00D1363F">
        <w:rPr>
          <w:rFonts w:ascii="Times New Roman" w:hAnsi="Times New Roman" w:cs="Times New Roman"/>
          <w:sz w:val="28"/>
          <w:szCs w:val="28"/>
        </w:rPr>
        <w:t>4</w:t>
      </w:r>
      <w:r w:rsidRPr="00D1363F">
        <w:rPr>
          <w:rFonts w:ascii="Times New Roman" w:hAnsi="Times New Roman" w:cs="Times New Roman"/>
          <w:sz w:val="28"/>
          <w:szCs w:val="28"/>
        </w:rPr>
        <w:t>, 2022</w:t>
      </w:r>
      <w:r w:rsidR="00BB4E55">
        <w:rPr>
          <w:rFonts w:ascii="Times New Roman" w:hAnsi="Times New Roman" w:cs="Times New Roman"/>
          <w:sz w:val="28"/>
          <w:szCs w:val="28"/>
        </w:rPr>
        <w:t xml:space="preserve">, </w:t>
      </w:r>
      <w:r w:rsidRPr="00D1363F">
        <w:rPr>
          <w:rFonts w:ascii="Times New Roman" w:hAnsi="Times New Roman" w:cs="Times New Roman"/>
          <w:sz w:val="28"/>
          <w:szCs w:val="28"/>
        </w:rPr>
        <w:t xml:space="preserve">the Minnesota Court of Appeals </w:t>
      </w:r>
      <w:bookmarkStart w:id="0" w:name="_Hlk130218645"/>
      <w:r w:rsidRPr="00D1363F">
        <w:rPr>
          <w:rFonts w:ascii="Times New Roman" w:hAnsi="Times New Roman" w:cs="Times New Roman"/>
          <w:sz w:val="28"/>
          <w:szCs w:val="28"/>
        </w:rPr>
        <w:t xml:space="preserve">issued </w:t>
      </w:r>
      <w:hyperlink r:id="rId8" w:history="1">
        <w:r w:rsidR="00A220AC" w:rsidRPr="00D1363F">
          <w:rPr>
            <w:rStyle w:val="Hyperlink"/>
            <w:rFonts w:ascii="Times New Roman" w:hAnsi="Times New Roman" w:cs="Times New Roman"/>
            <w:bCs/>
            <w:i/>
            <w:sz w:val="28"/>
            <w:szCs w:val="28"/>
          </w:rPr>
          <w:t>Quinn</w:t>
        </w:r>
        <w:r w:rsidR="00A220AC" w:rsidRPr="00D1363F">
          <w:rPr>
            <w:rStyle w:val="Hyperlink"/>
            <w:rFonts w:ascii="Times New Roman" w:hAnsi="Times New Roman" w:cs="Times New Roman"/>
            <w:b/>
            <w:bCs/>
            <w:i/>
            <w:sz w:val="28"/>
            <w:szCs w:val="28"/>
          </w:rPr>
          <w:t xml:space="preserve"> v</w:t>
        </w:r>
        <w:r w:rsidR="00A220AC" w:rsidRPr="00D1363F">
          <w:rPr>
            <w:rStyle w:val="Hyperlink"/>
            <w:rFonts w:ascii="Times New Roman" w:hAnsi="Times New Roman" w:cs="Times New Roman"/>
            <w:i/>
            <w:sz w:val="28"/>
            <w:szCs w:val="28"/>
          </w:rPr>
          <w:t>. LMC NE Minneapolis Holdings, LLC</w:t>
        </w:r>
        <w:r w:rsidR="00A220AC" w:rsidRPr="00D1363F">
          <w:rPr>
            <w:rStyle w:val="Hyperlink"/>
            <w:rFonts w:ascii="Times New Roman" w:hAnsi="Times New Roman" w:cs="Times New Roman"/>
            <w:sz w:val="28"/>
            <w:szCs w:val="28"/>
          </w:rPr>
          <w:t xml:space="preserve">, </w:t>
        </w:r>
        <w:r w:rsidR="00A220AC">
          <w:rPr>
            <w:rStyle w:val="Hyperlink"/>
            <w:rFonts w:ascii="Times New Roman" w:hAnsi="Times New Roman" w:cs="Times New Roman"/>
            <w:sz w:val="28"/>
            <w:szCs w:val="28"/>
          </w:rPr>
          <w:t>972</w:t>
        </w:r>
        <w:r w:rsidR="00A220AC" w:rsidRPr="00D1363F">
          <w:rPr>
            <w:rStyle w:val="Hyperlink"/>
            <w:rFonts w:ascii="Times New Roman" w:hAnsi="Times New Roman" w:cs="Times New Roman"/>
            <w:sz w:val="28"/>
            <w:szCs w:val="28"/>
          </w:rPr>
          <w:t xml:space="preserve"> N.W.2d </w:t>
        </w:r>
        <w:r w:rsidR="00A220AC">
          <w:rPr>
            <w:rStyle w:val="Hyperlink"/>
            <w:rFonts w:ascii="Times New Roman" w:hAnsi="Times New Roman" w:cs="Times New Roman"/>
            <w:sz w:val="28"/>
            <w:szCs w:val="28"/>
          </w:rPr>
          <w:t>881</w:t>
        </w:r>
        <w:r w:rsidR="00A220AC" w:rsidRPr="00D1363F">
          <w:rPr>
            <w:rStyle w:val="Hyperlink"/>
            <w:rFonts w:ascii="Times New Roman" w:hAnsi="Times New Roman" w:cs="Times New Roman"/>
            <w:sz w:val="28"/>
            <w:szCs w:val="28"/>
          </w:rPr>
          <w:t xml:space="preserve"> (Minn. Ct. App. 2022)</w:t>
        </w:r>
      </w:hyperlink>
      <w:r w:rsidR="00A220AC">
        <w:rPr>
          <w:rFonts w:ascii="Times New Roman" w:hAnsi="Times New Roman" w:cs="Times New Roman"/>
          <w:bCs/>
          <w:sz w:val="28"/>
          <w:szCs w:val="28"/>
        </w:rPr>
        <w:t xml:space="preserve">, rev. granted (June 29, 2022), </w:t>
      </w:r>
      <w:hyperlink r:id="rId9" w:history="1">
        <w:r w:rsidR="00A220AC" w:rsidRPr="00517C08">
          <w:rPr>
            <w:rStyle w:val="Hyperlink"/>
            <w:rFonts w:ascii="Times New Roman" w:hAnsi="Times New Roman" w:cs="Times New Roman"/>
            <w:bCs/>
            <w:sz w:val="28"/>
            <w:szCs w:val="28"/>
          </w:rPr>
          <w:t>rev. dismissed (Feb. 17, 2023)</w:t>
        </w:r>
      </w:hyperlink>
      <w:r w:rsidR="004E70DE">
        <w:rPr>
          <w:rFonts w:ascii="Times New Roman" w:hAnsi="Times New Roman" w:cs="Times New Roman"/>
          <w:bCs/>
          <w:sz w:val="28"/>
          <w:szCs w:val="28"/>
        </w:rPr>
        <w:t xml:space="preserve">. </w:t>
      </w:r>
      <w:bookmarkEnd w:id="0"/>
      <w:r w:rsidR="004E70DE">
        <w:rPr>
          <w:rFonts w:ascii="Times New Roman" w:hAnsi="Times New Roman" w:cs="Times New Roman"/>
          <w:bCs/>
          <w:sz w:val="28"/>
          <w:szCs w:val="28"/>
        </w:rPr>
        <w:t>This</w:t>
      </w:r>
      <w:r w:rsidRPr="00D1363F">
        <w:rPr>
          <w:rFonts w:ascii="Times New Roman" w:hAnsi="Times New Roman" w:cs="Times New Roman"/>
          <w:sz w:val="28"/>
          <w:szCs w:val="28"/>
        </w:rPr>
        <w:t xml:space="preserve"> precedential opinion constru</w:t>
      </w:r>
      <w:r w:rsidR="004E70DE">
        <w:rPr>
          <w:rFonts w:ascii="Times New Roman" w:hAnsi="Times New Roman" w:cs="Times New Roman"/>
          <w:sz w:val="28"/>
          <w:szCs w:val="28"/>
        </w:rPr>
        <w:t>ed</w:t>
      </w:r>
      <w:r w:rsidRPr="00D1363F">
        <w:rPr>
          <w:rFonts w:ascii="Times New Roman" w:hAnsi="Times New Roman" w:cs="Times New Roman"/>
          <w:sz w:val="28"/>
          <w:szCs w:val="28"/>
        </w:rPr>
        <w:t xml:space="preserve"> the phrase </w:t>
      </w:r>
      <w:r w:rsidR="000444E7" w:rsidRPr="00D1363F">
        <w:rPr>
          <w:rFonts w:ascii="Times New Roman" w:hAnsi="Times New Roman" w:cs="Times New Roman"/>
          <w:sz w:val="28"/>
          <w:szCs w:val="28"/>
        </w:rPr>
        <w:t>“</w:t>
      </w:r>
      <w:r w:rsidRPr="00D1363F">
        <w:rPr>
          <w:rFonts w:ascii="Times New Roman" w:hAnsi="Times New Roman" w:cs="Times New Roman"/>
          <w:sz w:val="28"/>
          <w:szCs w:val="28"/>
        </w:rPr>
        <w:t>other regular occupants</w:t>
      </w:r>
      <w:r w:rsidR="000444E7" w:rsidRPr="00D1363F">
        <w:rPr>
          <w:rFonts w:ascii="Times New Roman" w:hAnsi="Times New Roman" w:cs="Times New Roman"/>
          <w:sz w:val="28"/>
          <w:szCs w:val="28"/>
        </w:rPr>
        <w:t>”</w:t>
      </w:r>
      <w:r w:rsidRPr="00D1363F">
        <w:rPr>
          <w:rFonts w:ascii="Times New Roman" w:hAnsi="Times New Roman" w:cs="Times New Roman"/>
          <w:sz w:val="28"/>
          <w:szCs w:val="28"/>
        </w:rPr>
        <w:t xml:space="preserve"> in </w:t>
      </w:r>
      <w:hyperlink r:id="rId10" w:history="1">
        <w:r w:rsidRPr="004E70DE">
          <w:rPr>
            <w:rStyle w:val="Hyperlink"/>
            <w:rFonts w:ascii="Times New Roman" w:hAnsi="Times New Roman" w:cs="Times New Roman"/>
            <w:sz w:val="28"/>
            <w:szCs w:val="28"/>
          </w:rPr>
          <w:t>Minn. Stat. § 504B.</w:t>
        </w:r>
        <w:r w:rsidR="00E67767" w:rsidRPr="004E70DE">
          <w:rPr>
            <w:rStyle w:val="Hyperlink"/>
            <w:rFonts w:ascii="Times New Roman" w:hAnsi="Times New Roman" w:cs="Times New Roman"/>
            <w:sz w:val="28"/>
            <w:szCs w:val="28"/>
          </w:rPr>
          <w:t>001</w:t>
        </w:r>
      </w:hyperlink>
      <w:r w:rsidRPr="00D1363F">
        <w:rPr>
          <w:rFonts w:ascii="Times New Roman" w:hAnsi="Times New Roman" w:cs="Times New Roman"/>
          <w:sz w:val="28"/>
          <w:szCs w:val="28"/>
        </w:rPr>
        <w:t xml:space="preserve"> as it applies to a lockout petition brought under </w:t>
      </w:r>
      <w:hyperlink r:id="rId11" w:history="1">
        <w:r w:rsidRPr="00A220AC">
          <w:rPr>
            <w:rStyle w:val="Hyperlink"/>
            <w:rFonts w:ascii="Times New Roman" w:hAnsi="Times New Roman" w:cs="Times New Roman"/>
            <w:sz w:val="28"/>
            <w:szCs w:val="28"/>
          </w:rPr>
          <w:t>Minn. Stat. § 504B.375</w:t>
        </w:r>
      </w:hyperlink>
      <w:r w:rsidR="000444E7" w:rsidRPr="00D1363F">
        <w:rPr>
          <w:rFonts w:ascii="Times New Roman" w:hAnsi="Times New Roman" w:cs="Times New Roman"/>
          <w:sz w:val="28"/>
          <w:szCs w:val="28"/>
        </w:rPr>
        <w:t>.</w:t>
      </w:r>
      <w:r w:rsidRPr="00D1363F">
        <w:rPr>
          <w:rFonts w:ascii="Times New Roman" w:hAnsi="Times New Roman" w:cs="Times New Roman"/>
          <w:sz w:val="28"/>
          <w:szCs w:val="28"/>
        </w:rPr>
        <w:t xml:space="preserve"> </w:t>
      </w:r>
      <w:r w:rsidR="00E67767">
        <w:rPr>
          <w:rFonts w:ascii="Times New Roman" w:hAnsi="Times New Roman" w:cs="Times New Roman"/>
          <w:bCs/>
          <w:sz w:val="28"/>
          <w:szCs w:val="28"/>
        </w:rPr>
        <w:t xml:space="preserve">The court’s </w:t>
      </w:r>
      <w:r w:rsidR="00A220AC" w:rsidRPr="00D1363F">
        <w:rPr>
          <w:rFonts w:ascii="Times New Roman" w:hAnsi="Times New Roman" w:cs="Times New Roman"/>
          <w:bCs/>
          <w:sz w:val="28"/>
          <w:szCs w:val="28"/>
        </w:rPr>
        <w:t>relatively broad</w:t>
      </w:r>
      <w:r w:rsidR="00A220AC">
        <w:rPr>
          <w:rFonts w:ascii="Times New Roman" w:hAnsi="Times New Roman" w:cs="Times New Roman"/>
          <w:bCs/>
          <w:sz w:val="28"/>
          <w:szCs w:val="28"/>
        </w:rPr>
        <w:t xml:space="preserve"> </w:t>
      </w:r>
      <w:r w:rsidR="00E67767">
        <w:rPr>
          <w:rFonts w:ascii="Times New Roman" w:hAnsi="Times New Roman" w:cs="Times New Roman"/>
          <w:bCs/>
          <w:sz w:val="28"/>
          <w:szCs w:val="28"/>
        </w:rPr>
        <w:t>construction of “other regular occupant” pr</w:t>
      </w:r>
      <w:r w:rsidR="00243561" w:rsidRPr="00D1363F">
        <w:rPr>
          <w:rFonts w:ascii="Times New Roman" w:hAnsi="Times New Roman" w:cs="Times New Roman"/>
          <w:bCs/>
          <w:sz w:val="28"/>
          <w:szCs w:val="28"/>
        </w:rPr>
        <w:t>otects the roommate of a tenant against lockout even after the tenant has vacated the apartment and left the (ex-)</w:t>
      </w:r>
      <w:r w:rsidR="00A220AC">
        <w:rPr>
          <w:rFonts w:ascii="Times New Roman" w:hAnsi="Times New Roman" w:cs="Times New Roman"/>
          <w:bCs/>
          <w:sz w:val="28"/>
          <w:szCs w:val="28"/>
        </w:rPr>
        <w:t xml:space="preserve"> </w:t>
      </w:r>
      <w:r w:rsidR="00243561" w:rsidRPr="00D1363F">
        <w:rPr>
          <w:rFonts w:ascii="Times New Roman" w:hAnsi="Times New Roman" w:cs="Times New Roman"/>
          <w:bCs/>
          <w:sz w:val="28"/>
          <w:szCs w:val="28"/>
        </w:rPr>
        <w:t xml:space="preserve">roommate </w:t>
      </w:r>
      <w:r w:rsidR="00A220AC">
        <w:rPr>
          <w:rFonts w:ascii="Times New Roman" w:hAnsi="Times New Roman" w:cs="Times New Roman"/>
          <w:bCs/>
          <w:sz w:val="28"/>
          <w:szCs w:val="28"/>
        </w:rPr>
        <w:t>to occupy</w:t>
      </w:r>
      <w:r w:rsidR="00243561" w:rsidRPr="00D1363F">
        <w:rPr>
          <w:rFonts w:ascii="Times New Roman" w:hAnsi="Times New Roman" w:cs="Times New Roman"/>
          <w:bCs/>
          <w:sz w:val="28"/>
          <w:szCs w:val="28"/>
        </w:rPr>
        <w:t xml:space="preserve"> the apartment alone</w:t>
      </w:r>
      <w:r w:rsidR="00243561">
        <w:rPr>
          <w:rFonts w:ascii="Times New Roman" w:hAnsi="Times New Roman" w:cs="Times New Roman"/>
          <w:bCs/>
          <w:sz w:val="28"/>
          <w:szCs w:val="28"/>
        </w:rPr>
        <w:t>.</w:t>
      </w:r>
      <w:r w:rsidR="004E70DE">
        <w:rPr>
          <w:rFonts w:ascii="Times New Roman" w:hAnsi="Times New Roman" w:cs="Times New Roman"/>
          <w:bCs/>
          <w:sz w:val="28"/>
          <w:szCs w:val="28"/>
        </w:rPr>
        <w:t xml:space="preserve"> The court held that a no-other-occupants clause in the tenant’s lease was just one factor in deciding if the roommate was an “other regular occupant.”</w:t>
      </w:r>
    </w:p>
    <w:p w14:paraId="2FB00721" w14:textId="7FDDE338" w:rsidR="00243561" w:rsidRDefault="00243561">
      <w:pPr>
        <w:rPr>
          <w:rFonts w:ascii="Times New Roman" w:hAnsi="Times New Roman" w:cs="Times New Roman"/>
          <w:sz w:val="28"/>
          <w:szCs w:val="28"/>
        </w:rPr>
      </w:pPr>
      <w:r>
        <w:rPr>
          <w:rFonts w:ascii="Times New Roman" w:hAnsi="Times New Roman" w:cs="Times New Roman"/>
          <w:bCs/>
          <w:sz w:val="28"/>
          <w:szCs w:val="28"/>
        </w:rPr>
        <w:t xml:space="preserve">The court’s analysis was based </w:t>
      </w:r>
      <w:r w:rsidRPr="00243561">
        <w:rPr>
          <w:rFonts w:ascii="Times New Roman" w:hAnsi="Times New Roman" w:cs="Times New Roman"/>
          <w:sz w:val="28"/>
          <w:szCs w:val="28"/>
        </w:rPr>
        <w:t>on dictionary definition</w:t>
      </w:r>
      <w:r w:rsidR="004E70DE">
        <w:rPr>
          <w:rFonts w:ascii="Times New Roman" w:hAnsi="Times New Roman" w:cs="Times New Roman"/>
          <w:sz w:val="28"/>
          <w:szCs w:val="28"/>
        </w:rPr>
        <w:t>s</w:t>
      </w:r>
      <w:r>
        <w:rPr>
          <w:rFonts w:ascii="Times New Roman" w:hAnsi="Times New Roman" w:cs="Times New Roman"/>
          <w:sz w:val="28"/>
          <w:szCs w:val="28"/>
        </w:rPr>
        <w:t xml:space="preserve"> of “regular” and </w:t>
      </w:r>
      <w:r w:rsidR="004E70DE">
        <w:rPr>
          <w:rFonts w:ascii="Times New Roman" w:hAnsi="Times New Roman" w:cs="Times New Roman"/>
          <w:sz w:val="28"/>
          <w:szCs w:val="28"/>
        </w:rPr>
        <w:t xml:space="preserve">on </w:t>
      </w:r>
      <w:r>
        <w:rPr>
          <w:rFonts w:ascii="Times New Roman" w:hAnsi="Times New Roman" w:cs="Times New Roman"/>
          <w:sz w:val="28"/>
          <w:szCs w:val="28"/>
        </w:rPr>
        <w:t>a</w:t>
      </w:r>
      <w:r w:rsidR="004E70DE">
        <w:rPr>
          <w:rFonts w:ascii="Times New Roman" w:hAnsi="Times New Roman" w:cs="Times New Roman"/>
          <w:sz w:val="28"/>
          <w:szCs w:val="28"/>
        </w:rPr>
        <w:t xml:space="preserve"> 1946</w:t>
      </w:r>
      <w:r>
        <w:rPr>
          <w:rFonts w:ascii="Times New Roman" w:hAnsi="Times New Roman" w:cs="Times New Roman"/>
          <w:sz w:val="28"/>
          <w:szCs w:val="28"/>
        </w:rPr>
        <w:t xml:space="preserve"> hotel</w:t>
      </w:r>
      <w:r w:rsidR="00A70C04">
        <w:rPr>
          <w:rFonts w:ascii="Times New Roman" w:hAnsi="Times New Roman" w:cs="Times New Roman"/>
          <w:sz w:val="28"/>
          <w:szCs w:val="28"/>
        </w:rPr>
        <w:t>-guest-versus-</w:t>
      </w:r>
      <w:r>
        <w:rPr>
          <w:rFonts w:ascii="Times New Roman" w:hAnsi="Times New Roman" w:cs="Times New Roman"/>
          <w:sz w:val="28"/>
          <w:szCs w:val="28"/>
        </w:rPr>
        <w:t xml:space="preserve">boarder case. In this </w:t>
      </w:r>
      <w:r w:rsidR="00BB4E55">
        <w:rPr>
          <w:rFonts w:ascii="Times New Roman" w:hAnsi="Times New Roman" w:cs="Times New Roman"/>
          <w:sz w:val="28"/>
          <w:szCs w:val="28"/>
        </w:rPr>
        <w:t>part</w:t>
      </w:r>
      <w:r>
        <w:rPr>
          <w:rFonts w:ascii="Times New Roman" w:hAnsi="Times New Roman" w:cs="Times New Roman"/>
          <w:sz w:val="28"/>
          <w:szCs w:val="28"/>
        </w:rPr>
        <w:t xml:space="preserve">, </w:t>
      </w:r>
      <w:r w:rsidR="00A70C04">
        <w:rPr>
          <w:rFonts w:ascii="Times New Roman" w:hAnsi="Times New Roman" w:cs="Times New Roman"/>
          <w:sz w:val="28"/>
          <w:szCs w:val="28"/>
        </w:rPr>
        <w:t>I analyze the same issue by reviewing</w:t>
      </w:r>
      <w:r>
        <w:rPr>
          <w:rFonts w:ascii="Times New Roman" w:hAnsi="Times New Roman" w:cs="Times New Roman"/>
          <w:sz w:val="28"/>
          <w:szCs w:val="28"/>
        </w:rPr>
        <w:t xml:space="preserve"> the history of the 1970s session laws underlying section 504B.375.</w:t>
      </w:r>
      <w:r w:rsidR="00EB26B5">
        <w:rPr>
          <w:rFonts w:ascii="Times New Roman" w:hAnsi="Times New Roman" w:cs="Times New Roman"/>
          <w:sz w:val="28"/>
          <w:szCs w:val="28"/>
        </w:rPr>
        <w:t xml:space="preserve"> I do so because section </w:t>
      </w:r>
      <w:r w:rsidR="00EB26B5" w:rsidRPr="00D1363F">
        <w:rPr>
          <w:rFonts w:ascii="Times New Roman" w:hAnsi="Times New Roman" w:cs="Times New Roman"/>
          <w:sz w:val="28"/>
          <w:szCs w:val="28"/>
        </w:rPr>
        <w:t>504B.375</w:t>
      </w:r>
      <w:r w:rsidR="00EB26B5">
        <w:rPr>
          <w:rFonts w:ascii="Times New Roman" w:hAnsi="Times New Roman" w:cs="Times New Roman"/>
          <w:sz w:val="28"/>
          <w:szCs w:val="28"/>
        </w:rPr>
        <w:t xml:space="preserve"> derives from </w:t>
      </w:r>
      <w:r w:rsidR="00EB26B5" w:rsidRPr="00D1363F">
        <w:rPr>
          <w:rFonts w:ascii="Times New Roman" w:hAnsi="Times New Roman" w:cs="Times New Roman"/>
          <w:sz w:val="28"/>
          <w:szCs w:val="28"/>
        </w:rPr>
        <w:t>Minn. Stat. § 5</w:t>
      </w:r>
      <w:r w:rsidR="00EB26B5">
        <w:rPr>
          <w:rFonts w:ascii="Times New Roman" w:hAnsi="Times New Roman" w:cs="Times New Roman"/>
          <w:sz w:val="28"/>
          <w:szCs w:val="28"/>
        </w:rPr>
        <w:t>66.175, which was first enacted in 1975.</w:t>
      </w:r>
    </w:p>
    <w:p w14:paraId="3A5C8AE3" w14:textId="517A5C17" w:rsidR="0072315C" w:rsidRPr="00D1363F" w:rsidRDefault="0072315C">
      <w:pPr>
        <w:rPr>
          <w:rFonts w:ascii="Times New Roman" w:hAnsi="Times New Roman" w:cs="Times New Roman"/>
          <w:bCs/>
          <w:sz w:val="28"/>
          <w:szCs w:val="28"/>
          <w:u w:val="single"/>
        </w:rPr>
      </w:pPr>
      <w:r w:rsidRPr="00D1363F">
        <w:rPr>
          <w:rFonts w:ascii="Times New Roman" w:hAnsi="Times New Roman" w:cs="Times New Roman"/>
          <w:bCs/>
          <w:sz w:val="28"/>
          <w:szCs w:val="28"/>
          <w:u w:val="single"/>
        </w:rPr>
        <w:t>Facts</w:t>
      </w:r>
    </w:p>
    <w:p w14:paraId="0B4902DB" w14:textId="7AD50A25" w:rsidR="000B39B6" w:rsidRPr="00D1363F" w:rsidRDefault="00065A5C" w:rsidP="002141F1">
      <w:pPr>
        <w:rPr>
          <w:rFonts w:ascii="Times New Roman" w:hAnsi="Times New Roman" w:cs="Times New Roman"/>
          <w:sz w:val="28"/>
          <w:szCs w:val="28"/>
        </w:rPr>
      </w:pPr>
      <w:r w:rsidRPr="00D1363F">
        <w:rPr>
          <w:rFonts w:ascii="Times New Roman" w:hAnsi="Times New Roman" w:cs="Times New Roman"/>
          <w:bCs/>
          <w:sz w:val="28"/>
          <w:szCs w:val="28"/>
        </w:rPr>
        <w:t>Briefly, h</w:t>
      </w:r>
      <w:r w:rsidR="0072315C" w:rsidRPr="00D1363F">
        <w:rPr>
          <w:rFonts w:ascii="Times New Roman" w:hAnsi="Times New Roman" w:cs="Times New Roman"/>
          <w:bCs/>
          <w:sz w:val="28"/>
          <w:szCs w:val="28"/>
        </w:rPr>
        <w:t>ere</w:t>
      </w:r>
      <w:r w:rsidRPr="00D1363F">
        <w:rPr>
          <w:rFonts w:ascii="Times New Roman" w:hAnsi="Times New Roman" w:cs="Times New Roman"/>
          <w:bCs/>
          <w:sz w:val="28"/>
          <w:szCs w:val="28"/>
        </w:rPr>
        <w:t xml:space="preserve"> is what happened.</w:t>
      </w:r>
      <w:r w:rsidRPr="00D1363F">
        <w:rPr>
          <w:rStyle w:val="FootnoteReference"/>
          <w:rFonts w:ascii="Times New Roman" w:hAnsi="Times New Roman" w:cs="Times New Roman"/>
          <w:bCs/>
          <w:sz w:val="28"/>
          <w:szCs w:val="28"/>
        </w:rPr>
        <w:footnoteReference w:id="1"/>
      </w:r>
      <w:r w:rsidRPr="00D1363F">
        <w:rPr>
          <w:rFonts w:ascii="Times New Roman" w:hAnsi="Times New Roman" w:cs="Times New Roman"/>
          <w:bCs/>
          <w:sz w:val="28"/>
          <w:szCs w:val="28"/>
        </w:rPr>
        <w:t xml:space="preserve"> </w:t>
      </w:r>
      <w:r w:rsidR="003920E2" w:rsidRPr="00D1363F">
        <w:rPr>
          <w:rFonts w:ascii="Times New Roman" w:hAnsi="Times New Roman" w:cs="Times New Roman"/>
          <w:bCs/>
          <w:sz w:val="28"/>
          <w:szCs w:val="28"/>
        </w:rPr>
        <w:t xml:space="preserve">Kera </w:t>
      </w:r>
      <w:r w:rsidRPr="00D1363F">
        <w:rPr>
          <w:rFonts w:ascii="Times New Roman" w:hAnsi="Times New Roman" w:cs="Times New Roman"/>
          <w:sz w:val="28"/>
          <w:szCs w:val="28"/>
        </w:rPr>
        <w:t>Quinn lived continuously</w:t>
      </w:r>
      <w:r w:rsidR="00EB1426">
        <w:rPr>
          <w:rFonts w:ascii="Times New Roman" w:hAnsi="Times New Roman" w:cs="Times New Roman"/>
          <w:sz w:val="28"/>
          <w:szCs w:val="28"/>
        </w:rPr>
        <w:t xml:space="preserve"> </w:t>
      </w:r>
      <w:r w:rsidR="00EB1426" w:rsidRPr="00D1363F">
        <w:rPr>
          <w:rFonts w:ascii="Times New Roman" w:hAnsi="Times New Roman" w:cs="Times New Roman"/>
          <w:sz w:val="28"/>
          <w:szCs w:val="28"/>
        </w:rPr>
        <w:t>with Jamie Smith</w:t>
      </w:r>
      <w:r w:rsidRPr="00D1363F">
        <w:rPr>
          <w:rFonts w:ascii="Times New Roman" w:hAnsi="Times New Roman" w:cs="Times New Roman"/>
          <w:sz w:val="28"/>
          <w:szCs w:val="28"/>
        </w:rPr>
        <w:t xml:space="preserve"> in </w:t>
      </w:r>
      <w:r w:rsidR="003920E2" w:rsidRPr="00D1363F">
        <w:rPr>
          <w:rFonts w:ascii="Times New Roman" w:hAnsi="Times New Roman" w:cs="Times New Roman"/>
          <w:sz w:val="28"/>
          <w:szCs w:val="28"/>
        </w:rPr>
        <w:t>a fancy Minneapolis</w:t>
      </w:r>
      <w:r w:rsidRPr="00D1363F">
        <w:rPr>
          <w:rFonts w:ascii="Times New Roman" w:hAnsi="Times New Roman" w:cs="Times New Roman"/>
          <w:sz w:val="28"/>
          <w:szCs w:val="28"/>
        </w:rPr>
        <w:t xml:space="preserve"> </w:t>
      </w:r>
      <w:r w:rsidR="003920E2" w:rsidRPr="00D1363F">
        <w:rPr>
          <w:rFonts w:ascii="Times New Roman" w:hAnsi="Times New Roman" w:cs="Times New Roman"/>
          <w:sz w:val="28"/>
          <w:szCs w:val="28"/>
        </w:rPr>
        <w:t>apartment owned by LMC</w:t>
      </w:r>
      <w:r w:rsidR="00690540">
        <w:rPr>
          <w:rFonts w:ascii="Times New Roman" w:hAnsi="Times New Roman" w:cs="Times New Roman"/>
          <w:sz w:val="28"/>
          <w:szCs w:val="28"/>
        </w:rPr>
        <w:t>. It w</w:t>
      </w:r>
      <w:r w:rsidRPr="00D1363F">
        <w:rPr>
          <w:rFonts w:ascii="Times New Roman" w:hAnsi="Times New Roman" w:cs="Times New Roman"/>
          <w:sz w:val="28"/>
          <w:szCs w:val="28"/>
        </w:rPr>
        <w:t xml:space="preserve">as </w:t>
      </w:r>
      <w:r w:rsidR="00690540">
        <w:rPr>
          <w:rFonts w:ascii="Times New Roman" w:hAnsi="Times New Roman" w:cs="Times New Roman"/>
          <w:sz w:val="28"/>
          <w:szCs w:val="28"/>
        </w:rPr>
        <w:t>Quinn’s</w:t>
      </w:r>
      <w:r w:rsidRPr="00D1363F">
        <w:rPr>
          <w:rFonts w:ascii="Times New Roman" w:hAnsi="Times New Roman" w:cs="Times New Roman"/>
          <w:sz w:val="28"/>
          <w:szCs w:val="28"/>
        </w:rPr>
        <w:t xml:space="preserve"> sole residence for more than two years. She used the building’s facilities (e.g.</w:t>
      </w:r>
      <w:r w:rsidR="00E56EFB">
        <w:rPr>
          <w:rFonts w:ascii="Times New Roman" w:hAnsi="Times New Roman" w:cs="Times New Roman"/>
          <w:sz w:val="28"/>
          <w:szCs w:val="28"/>
        </w:rPr>
        <w:t>,</w:t>
      </w:r>
      <w:r w:rsidRPr="00D1363F">
        <w:rPr>
          <w:rFonts w:ascii="Times New Roman" w:hAnsi="Times New Roman" w:cs="Times New Roman"/>
          <w:sz w:val="28"/>
          <w:szCs w:val="28"/>
        </w:rPr>
        <w:t xml:space="preserve"> the meeting room), received mail and visitors there, used the apartment's key fob (which she and Smith shared), walked by the concierge daily, and otherwise interacted with the building’s staff.</w:t>
      </w:r>
      <w:r w:rsidR="00054E04">
        <w:rPr>
          <w:rFonts w:ascii="Times New Roman" w:hAnsi="Times New Roman" w:cs="Times New Roman"/>
          <w:sz w:val="28"/>
          <w:szCs w:val="28"/>
        </w:rPr>
        <w:t xml:space="preserve"> There was no proof that Quinn was a su</w:t>
      </w:r>
      <w:r w:rsidR="000B39B6" w:rsidRPr="00D1363F">
        <w:rPr>
          <w:rFonts w:ascii="Times New Roman" w:hAnsi="Times New Roman" w:cs="Times New Roman"/>
          <w:sz w:val="28"/>
          <w:szCs w:val="28"/>
        </w:rPr>
        <w:t>btenant of Smith.</w:t>
      </w:r>
      <w:r w:rsidR="002D406D" w:rsidRPr="00D1363F">
        <w:rPr>
          <w:rStyle w:val="FootnoteReference"/>
          <w:rFonts w:ascii="Times New Roman" w:hAnsi="Times New Roman" w:cs="Times New Roman"/>
          <w:sz w:val="28"/>
          <w:szCs w:val="28"/>
        </w:rPr>
        <w:footnoteReference w:id="2"/>
      </w:r>
    </w:p>
    <w:p w14:paraId="0AFF3D9D" w14:textId="3C0C7E11" w:rsidR="000C2BA3" w:rsidRPr="00D1363F" w:rsidRDefault="000B39B6" w:rsidP="002141F1">
      <w:pPr>
        <w:rPr>
          <w:rFonts w:ascii="Times New Roman" w:hAnsi="Times New Roman" w:cs="Times New Roman"/>
          <w:sz w:val="28"/>
          <w:szCs w:val="28"/>
        </w:rPr>
      </w:pPr>
      <w:r w:rsidRPr="00D1363F">
        <w:rPr>
          <w:rFonts w:ascii="Times New Roman" w:hAnsi="Times New Roman" w:cs="Times New Roman"/>
          <w:sz w:val="28"/>
          <w:szCs w:val="28"/>
        </w:rPr>
        <w:lastRenderedPageBreak/>
        <w:t>Quinn was not on the lease with LMC; only Smith was. Smith’s lease ran from October 8, 2020 to April 7, 2021. Smith gave proper notice to terminate the lease</w:t>
      </w:r>
      <w:r w:rsidR="008C2C54">
        <w:rPr>
          <w:rFonts w:ascii="Times New Roman" w:hAnsi="Times New Roman" w:cs="Times New Roman"/>
          <w:sz w:val="28"/>
          <w:szCs w:val="28"/>
        </w:rPr>
        <w:t xml:space="preserve"> effective April 7</w:t>
      </w:r>
      <w:r w:rsidR="003920E2" w:rsidRPr="00D1363F">
        <w:rPr>
          <w:rFonts w:ascii="Times New Roman" w:hAnsi="Times New Roman" w:cs="Times New Roman"/>
          <w:sz w:val="28"/>
          <w:szCs w:val="28"/>
        </w:rPr>
        <w:t>. Smith</w:t>
      </w:r>
      <w:r w:rsidR="008A2616" w:rsidRPr="00D1363F">
        <w:rPr>
          <w:rFonts w:ascii="Times New Roman" w:hAnsi="Times New Roman" w:cs="Times New Roman"/>
          <w:sz w:val="28"/>
          <w:szCs w:val="28"/>
        </w:rPr>
        <w:t xml:space="preserve"> mov</w:t>
      </w:r>
      <w:r w:rsidR="003920E2" w:rsidRPr="00D1363F">
        <w:rPr>
          <w:rFonts w:ascii="Times New Roman" w:hAnsi="Times New Roman" w:cs="Times New Roman"/>
          <w:sz w:val="28"/>
          <w:szCs w:val="28"/>
        </w:rPr>
        <w:t>ed</w:t>
      </w:r>
      <w:r w:rsidR="008A2616" w:rsidRPr="00D1363F">
        <w:rPr>
          <w:rFonts w:ascii="Times New Roman" w:hAnsi="Times New Roman" w:cs="Times New Roman"/>
          <w:sz w:val="28"/>
          <w:szCs w:val="28"/>
        </w:rPr>
        <w:t xml:space="preserve"> out by April 7</w:t>
      </w:r>
      <w:r w:rsidR="003920E2" w:rsidRPr="00D1363F">
        <w:rPr>
          <w:rFonts w:ascii="Times New Roman" w:hAnsi="Times New Roman" w:cs="Times New Roman"/>
          <w:sz w:val="28"/>
          <w:szCs w:val="28"/>
        </w:rPr>
        <w:t xml:space="preserve"> although she apparently left behind some personal items</w:t>
      </w:r>
      <w:r w:rsidR="008A2616" w:rsidRPr="00D1363F">
        <w:rPr>
          <w:rFonts w:ascii="Times New Roman" w:hAnsi="Times New Roman" w:cs="Times New Roman"/>
          <w:sz w:val="28"/>
          <w:szCs w:val="28"/>
        </w:rPr>
        <w:t>.</w:t>
      </w:r>
      <w:r w:rsidR="008A2616" w:rsidRPr="00D1363F">
        <w:rPr>
          <w:rStyle w:val="FootnoteReference"/>
          <w:rFonts w:ascii="Times New Roman" w:hAnsi="Times New Roman" w:cs="Times New Roman"/>
          <w:sz w:val="28"/>
          <w:szCs w:val="28"/>
        </w:rPr>
        <w:footnoteReference w:id="3"/>
      </w:r>
    </w:p>
    <w:p w14:paraId="7CEB7065" w14:textId="77777777" w:rsidR="000B39B6" w:rsidRPr="00D1363F" w:rsidRDefault="000B39B6" w:rsidP="002141F1">
      <w:pPr>
        <w:rPr>
          <w:rFonts w:ascii="Times New Roman" w:hAnsi="Times New Roman" w:cs="Times New Roman"/>
          <w:sz w:val="28"/>
          <w:szCs w:val="28"/>
        </w:rPr>
      </w:pPr>
      <w:r w:rsidRPr="00D1363F">
        <w:rPr>
          <w:rFonts w:ascii="Times New Roman" w:hAnsi="Times New Roman" w:cs="Times New Roman"/>
          <w:sz w:val="28"/>
          <w:szCs w:val="28"/>
        </w:rPr>
        <w:t>Smith’s lease included these provisions:</w:t>
      </w:r>
    </w:p>
    <w:p w14:paraId="6F43D404" w14:textId="77777777" w:rsidR="000B39B6" w:rsidRPr="00D1363F" w:rsidRDefault="000B39B6" w:rsidP="000B39B6">
      <w:pPr>
        <w:pStyle w:val="NormalWeb"/>
        <w:ind w:left="720"/>
        <w:rPr>
          <w:sz w:val="28"/>
          <w:szCs w:val="28"/>
        </w:rPr>
      </w:pPr>
      <w:r w:rsidRPr="00D1363F">
        <w:rPr>
          <w:sz w:val="28"/>
          <w:szCs w:val="28"/>
        </w:rPr>
        <w:t>[Clause 2] No one else may occupy the apartment. Persons not listed above [on the lease] must not stay in the apartment for more than 14 consecutive days without our [LMC's] prior written consent, and no more than twice that many days in any one month….</w:t>
      </w:r>
    </w:p>
    <w:p w14:paraId="18298B13" w14:textId="77777777" w:rsidR="000B39B6" w:rsidRPr="00D1363F" w:rsidRDefault="000B39B6" w:rsidP="000B39B6">
      <w:pPr>
        <w:pStyle w:val="NormalWeb"/>
        <w:ind w:left="720"/>
        <w:rPr>
          <w:sz w:val="28"/>
          <w:szCs w:val="28"/>
        </w:rPr>
      </w:pPr>
      <w:r w:rsidRPr="00D1363F">
        <w:rPr>
          <w:sz w:val="28"/>
          <w:szCs w:val="28"/>
        </w:rPr>
        <w:t>[Clause 31] Replacing a resident, subletting, assignment, or granting a right or license to occupy is allowed only when we [LMC] expressly consent in writing….</w:t>
      </w:r>
    </w:p>
    <w:p w14:paraId="0CC927DB" w14:textId="0797CE27" w:rsidR="00751EA8" w:rsidRPr="00D1363F" w:rsidRDefault="000C2BA3" w:rsidP="002141F1">
      <w:pPr>
        <w:rPr>
          <w:rFonts w:ascii="Times New Roman" w:hAnsi="Times New Roman" w:cs="Times New Roman"/>
          <w:sz w:val="28"/>
          <w:szCs w:val="28"/>
        </w:rPr>
      </w:pPr>
      <w:r w:rsidRPr="00D1363F">
        <w:rPr>
          <w:rFonts w:ascii="Times New Roman" w:hAnsi="Times New Roman" w:cs="Times New Roman"/>
          <w:sz w:val="28"/>
          <w:szCs w:val="28"/>
        </w:rPr>
        <w:lastRenderedPageBreak/>
        <w:t>On</w:t>
      </w:r>
      <w:r w:rsidR="008A2616" w:rsidRPr="00D1363F">
        <w:rPr>
          <w:rFonts w:ascii="Times New Roman" w:hAnsi="Times New Roman" w:cs="Times New Roman"/>
          <w:sz w:val="28"/>
          <w:szCs w:val="28"/>
        </w:rPr>
        <w:t xml:space="preserve"> April 8, 2021 --</w:t>
      </w:r>
      <w:r w:rsidRPr="00D1363F">
        <w:rPr>
          <w:rFonts w:ascii="Times New Roman" w:hAnsi="Times New Roman" w:cs="Times New Roman"/>
          <w:sz w:val="28"/>
          <w:szCs w:val="28"/>
        </w:rPr>
        <w:t xml:space="preserve"> t</w:t>
      </w:r>
      <w:r w:rsidR="000B39B6" w:rsidRPr="00D1363F">
        <w:rPr>
          <w:rFonts w:ascii="Times New Roman" w:hAnsi="Times New Roman" w:cs="Times New Roman"/>
          <w:sz w:val="28"/>
          <w:szCs w:val="28"/>
        </w:rPr>
        <w:t xml:space="preserve">he day </w:t>
      </w:r>
      <w:r w:rsidR="008A2616" w:rsidRPr="00D1363F">
        <w:rPr>
          <w:rFonts w:ascii="Times New Roman" w:hAnsi="Times New Roman" w:cs="Times New Roman"/>
          <w:sz w:val="28"/>
          <w:szCs w:val="28"/>
        </w:rPr>
        <w:t>after Smith left for good and</w:t>
      </w:r>
      <w:r w:rsidR="000B39B6" w:rsidRPr="00D1363F">
        <w:rPr>
          <w:rFonts w:ascii="Times New Roman" w:hAnsi="Times New Roman" w:cs="Times New Roman"/>
          <w:sz w:val="28"/>
          <w:szCs w:val="28"/>
        </w:rPr>
        <w:t xml:space="preserve"> the day after the end of Smith’s lease</w:t>
      </w:r>
      <w:r w:rsidR="008A2616" w:rsidRPr="00D1363F">
        <w:rPr>
          <w:rFonts w:ascii="Times New Roman" w:hAnsi="Times New Roman" w:cs="Times New Roman"/>
          <w:sz w:val="28"/>
          <w:szCs w:val="28"/>
        </w:rPr>
        <w:t xml:space="preserve"> --</w:t>
      </w:r>
      <w:r w:rsidR="000B39B6" w:rsidRPr="00D1363F">
        <w:rPr>
          <w:rFonts w:ascii="Times New Roman" w:hAnsi="Times New Roman" w:cs="Times New Roman"/>
          <w:sz w:val="28"/>
          <w:szCs w:val="28"/>
        </w:rPr>
        <w:t xml:space="preserve"> LMC changed the locks on the apartment. This effectively locked out Quinn.</w:t>
      </w:r>
      <w:r w:rsidR="000B39B6" w:rsidRPr="00D1363F">
        <w:rPr>
          <w:rStyle w:val="FootnoteReference"/>
          <w:rFonts w:ascii="Times New Roman" w:hAnsi="Times New Roman" w:cs="Times New Roman"/>
          <w:sz w:val="28"/>
          <w:szCs w:val="28"/>
        </w:rPr>
        <w:footnoteReference w:id="4"/>
      </w:r>
    </w:p>
    <w:p w14:paraId="65CC5C79" w14:textId="221E1301" w:rsidR="00AF2AE0" w:rsidRPr="00D1363F" w:rsidRDefault="00AF2AE0" w:rsidP="002141F1">
      <w:pPr>
        <w:rPr>
          <w:rFonts w:ascii="Times New Roman" w:hAnsi="Times New Roman" w:cs="Times New Roman"/>
          <w:sz w:val="28"/>
          <w:szCs w:val="28"/>
          <w:u w:val="single"/>
        </w:rPr>
      </w:pPr>
      <w:r w:rsidRPr="00D1363F">
        <w:rPr>
          <w:rFonts w:ascii="Times New Roman" w:hAnsi="Times New Roman" w:cs="Times New Roman"/>
          <w:sz w:val="28"/>
          <w:szCs w:val="28"/>
          <w:u w:val="single"/>
        </w:rPr>
        <w:t>Procedur</w:t>
      </w:r>
      <w:r w:rsidR="00E4036F">
        <w:rPr>
          <w:rFonts w:ascii="Times New Roman" w:hAnsi="Times New Roman" w:cs="Times New Roman"/>
          <w:sz w:val="28"/>
          <w:szCs w:val="28"/>
          <w:u w:val="single"/>
        </w:rPr>
        <w:t>al history</w:t>
      </w:r>
    </w:p>
    <w:p w14:paraId="21E285FE" w14:textId="76E072B1" w:rsidR="00D22247" w:rsidRPr="00D1363F" w:rsidRDefault="00D22247" w:rsidP="00D22247">
      <w:pPr>
        <w:rPr>
          <w:rFonts w:ascii="Times New Roman" w:hAnsi="Times New Roman" w:cs="Times New Roman"/>
          <w:sz w:val="28"/>
          <w:szCs w:val="28"/>
        </w:rPr>
      </w:pPr>
      <w:r w:rsidRPr="00D1363F">
        <w:rPr>
          <w:rFonts w:ascii="Times New Roman" w:hAnsi="Times New Roman" w:cs="Times New Roman"/>
          <w:sz w:val="28"/>
          <w:szCs w:val="28"/>
        </w:rPr>
        <w:t>Quinn filed a</w:t>
      </w:r>
      <w:r w:rsidR="00BB0E5B" w:rsidRPr="00D1363F">
        <w:rPr>
          <w:rFonts w:ascii="Times New Roman" w:hAnsi="Times New Roman" w:cs="Times New Roman"/>
          <w:sz w:val="28"/>
          <w:szCs w:val="28"/>
        </w:rPr>
        <w:t xml:space="preserve"> “</w:t>
      </w:r>
      <w:r w:rsidRPr="00D1363F">
        <w:rPr>
          <w:rFonts w:ascii="Times New Roman" w:hAnsi="Times New Roman" w:cs="Times New Roman"/>
          <w:sz w:val="28"/>
          <w:szCs w:val="28"/>
        </w:rPr>
        <w:t>lockout petition</w:t>
      </w:r>
      <w:r w:rsidR="00BB0E5B" w:rsidRPr="00D1363F">
        <w:rPr>
          <w:rFonts w:ascii="Times New Roman" w:hAnsi="Times New Roman" w:cs="Times New Roman"/>
          <w:sz w:val="28"/>
          <w:szCs w:val="28"/>
        </w:rPr>
        <w:t>”</w:t>
      </w:r>
      <w:r w:rsidRPr="00D1363F">
        <w:rPr>
          <w:rFonts w:ascii="Times New Roman" w:hAnsi="Times New Roman" w:cs="Times New Roman"/>
          <w:sz w:val="28"/>
          <w:szCs w:val="28"/>
        </w:rPr>
        <w:t xml:space="preserve"> under </w:t>
      </w:r>
      <w:hyperlink r:id="rId12" w:history="1">
        <w:r w:rsidRPr="00E4036F">
          <w:rPr>
            <w:rStyle w:val="Hyperlink"/>
            <w:rFonts w:ascii="Times New Roman" w:hAnsi="Times New Roman" w:cs="Times New Roman"/>
            <w:sz w:val="28"/>
            <w:szCs w:val="28"/>
          </w:rPr>
          <w:t>Minn. Stat. § 504B.375</w:t>
        </w:r>
      </w:hyperlink>
      <w:r w:rsidRPr="00D1363F">
        <w:rPr>
          <w:rFonts w:ascii="Times New Roman" w:hAnsi="Times New Roman" w:cs="Times New Roman"/>
          <w:sz w:val="28"/>
          <w:szCs w:val="28"/>
        </w:rPr>
        <w:t xml:space="preserve">. </w:t>
      </w:r>
      <w:r w:rsidR="00BB0E5B" w:rsidRPr="00D1363F">
        <w:rPr>
          <w:rFonts w:ascii="Times New Roman" w:hAnsi="Times New Roman" w:cs="Times New Roman"/>
          <w:sz w:val="28"/>
          <w:szCs w:val="28"/>
        </w:rPr>
        <w:t>Section 504B.375 allows a “residential tenant” to be restored to possession when the “landlord” locks her out without a court order. Quinn</w:t>
      </w:r>
      <w:r w:rsidRPr="00D1363F">
        <w:rPr>
          <w:rFonts w:ascii="Times New Roman" w:hAnsi="Times New Roman" w:cs="Times New Roman"/>
          <w:sz w:val="28"/>
          <w:szCs w:val="28"/>
        </w:rPr>
        <w:t xml:space="preserve"> alleged that she was a “residential tenant” because she was an “other regular occupant” under </w:t>
      </w:r>
      <w:hyperlink r:id="rId13" w:history="1">
        <w:r w:rsidRPr="00E4036F">
          <w:rPr>
            <w:rStyle w:val="Hyperlink"/>
            <w:rFonts w:ascii="Times New Roman" w:hAnsi="Times New Roman" w:cs="Times New Roman"/>
            <w:sz w:val="28"/>
            <w:szCs w:val="28"/>
          </w:rPr>
          <w:t>Minn. Stat. § 504B.001, subd. 12</w:t>
        </w:r>
      </w:hyperlink>
      <w:r w:rsidR="0020663F">
        <w:rPr>
          <w:rFonts w:ascii="Times New Roman" w:hAnsi="Times New Roman" w:cs="Times New Roman"/>
          <w:sz w:val="28"/>
          <w:szCs w:val="28"/>
        </w:rPr>
        <w:t>,</w:t>
      </w:r>
      <w:r w:rsidRPr="00D1363F">
        <w:rPr>
          <w:rFonts w:ascii="Times New Roman" w:hAnsi="Times New Roman" w:cs="Times New Roman"/>
          <w:sz w:val="28"/>
          <w:szCs w:val="28"/>
        </w:rPr>
        <w:t xml:space="preserve"> which reads:</w:t>
      </w:r>
    </w:p>
    <w:p w14:paraId="0A3B2EC1" w14:textId="24577A3D" w:rsidR="00D22247" w:rsidRPr="00D1363F" w:rsidRDefault="00D22247" w:rsidP="00D22247">
      <w:pPr>
        <w:ind w:left="720"/>
        <w:rPr>
          <w:rFonts w:ascii="Times New Roman" w:hAnsi="Times New Roman" w:cs="Times New Roman"/>
          <w:sz w:val="28"/>
          <w:szCs w:val="28"/>
        </w:rPr>
      </w:pPr>
      <w:r w:rsidRPr="00D1363F">
        <w:rPr>
          <w:rFonts w:ascii="Times New Roman" w:hAnsi="Times New Roman" w:cs="Times New Roman"/>
          <w:sz w:val="28"/>
          <w:szCs w:val="28"/>
        </w:rPr>
        <w:t xml:space="preserve">Subd. 12. </w:t>
      </w:r>
      <w:r w:rsidRPr="00D1363F">
        <w:rPr>
          <w:rFonts w:ascii="Times New Roman" w:hAnsi="Times New Roman" w:cs="Times New Roman"/>
          <w:b/>
          <w:bCs/>
          <w:sz w:val="28"/>
          <w:szCs w:val="28"/>
        </w:rPr>
        <w:t>Residential tenant</w:t>
      </w:r>
      <w:r w:rsidRPr="00D1363F">
        <w:rPr>
          <w:rFonts w:ascii="Times New Roman" w:hAnsi="Times New Roman" w:cs="Times New Roman"/>
          <w:sz w:val="28"/>
          <w:szCs w:val="28"/>
        </w:rPr>
        <w:t xml:space="preserve">. "Residential tenant" means a person who is occupying a dwelling in a residential building under a lease or contract, whether oral or written, that requires the payment of money or exchange of services, all other regular occupants of that dwelling unit, or a resident of a manufactured home park. </w:t>
      </w:r>
    </w:p>
    <w:p w14:paraId="0605E566" w14:textId="473B5894" w:rsidR="00560D36" w:rsidRPr="00D1363F" w:rsidRDefault="000C2BA3" w:rsidP="002141F1">
      <w:pPr>
        <w:rPr>
          <w:rFonts w:ascii="Times New Roman" w:hAnsi="Times New Roman" w:cs="Times New Roman"/>
          <w:sz w:val="28"/>
          <w:szCs w:val="28"/>
        </w:rPr>
      </w:pPr>
      <w:r w:rsidRPr="00D1363F">
        <w:rPr>
          <w:rFonts w:ascii="Times New Roman" w:hAnsi="Times New Roman" w:cs="Times New Roman"/>
          <w:sz w:val="28"/>
          <w:szCs w:val="28"/>
        </w:rPr>
        <w:t xml:space="preserve">The trial court found that Quinn was an “other regular occupant” </w:t>
      </w:r>
      <w:r w:rsidR="00BB0E5B" w:rsidRPr="00D1363F">
        <w:rPr>
          <w:rFonts w:ascii="Times New Roman" w:hAnsi="Times New Roman" w:cs="Times New Roman"/>
          <w:sz w:val="28"/>
          <w:szCs w:val="28"/>
        </w:rPr>
        <w:t>based on the totality of the facts (as outlined above)</w:t>
      </w:r>
      <w:r w:rsidR="0020663F">
        <w:rPr>
          <w:rFonts w:ascii="Times New Roman" w:hAnsi="Times New Roman" w:cs="Times New Roman"/>
          <w:sz w:val="28"/>
          <w:szCs w:val="28"/>
        </w:rPr>
        <w:t xml:space="preserve"> and therefore</w:t>
      </w:r>
      <w:r w:rsidR="00BB0E5B" w:rsidRPr="00D1363F">
        <w:rPr>
          <w:rFonts w:ascii="Times New Roman" w:hAnsi="Times New Roman" w:cs="Times New Roman"/>
          <w:sz w:val="28"/>
          <w:szCs w:val="28"/>
        </w:rPr>
        <w:t xml:space="preserve"> </w:t>
      </w:r>
      <w:r w:rsidRPr="00D1363F">
        <w:rPr>
          <w:rFonts w:ascii="Times New Roman" w:hAnsi="Times New Roman" w:cs="Times New Roman"/>
          <w:sz w:val="28"/>
          <w:szCs w:val="28"/>
        </w:rPr>
        <w:t>was eligible to file her lockout petition under Minn. Stat. § 504B.375</w:t>
      </w:r>
      <w:r w:rsidR="0020663F">
        <w:rPr>
          <w:rFonts w:ascii="Times New Roman" w:hAnsi="Times New Roman" w:cs="Times New Roman"/>
          <w:sz w:val="28"/>
          <w:szCs w:val="28"/>
        </w:rPr>
        <w:t xml:space="preserve">. It </w:t>
      </w:r>
      <w:r w:rsidR="00BB0E5B" w:rsidRPr="00D1363F">
        <w:rPr>
          <w:rFonts w:ascii="Times New Roman" w:hAnsi="Times New Roman" w:cs="Times New Roman"/>
          <w:sz w:val="28"/>
          <w:szCs w:val="28"/>
        </w:rPr>
        <w:t xml:space="preserve">ordered LMC to restore her </w:t>
      </w:r>
      <w:r w:rsidR="0020663F">
        <w:rPr>
          <w:rFonts w:ascii="Times New Roman" w:hAnsi="Times New Roman" w:cs="Times New Roman"/>
          <w:sz w:val="28"/>
          <w:szCs w:val="28"/>
        </w:rPr>
        <w:t xml:space="preserve">to </w:t>
      </w:r>
      <w:r w:rsidR="00BB0E5B" w:rsidRPr="00D1363F">
        <w:rPr>
          <w:rFonts w:ascii="Times New Roman" w:hAnsi="Times New Roman" w:cs="Times New Roman"/>
          <w:sz w:val="28"/>
          <w:szCs w:val="28"/>
        </w:rPr>
        <w:t>possession by reactivating the key fob</w:t>
      </w:r>
      <w:r w:rsidRPr="00D1363F">
        <w:rPr>
          <w:rFonts w:ascii="Times New Roman" w:hAnsi="Times New Roman" w:cs="Times New Roman"/>
          <w:sz w:val="28"/>
          <w:szCs w:val="28"/>
        </w:rPr>
        <w:t>.</w:t>
      </w:r>
    </w:p>
    <w:p w14:paraId="7565B155" w14:textId="17FB9831" w:rsidR="00942BA5" w:rsidRDefault="000C2BA3" w:rsidP="002141F1">
      <w:pPr>
        <w:rPr>
          <w:rFonts w:ascii="Times New Roman" w:hAnsi="Times New Roman" w:cs="Times New Roman"/>
          <w:sz w:val="28"/>
          <w:szCs w:val="28"/>
        </w:rPr>
      </w:pPr>
      <w:r w:rsidRPr="00D1363F">
        <w:rPr>
          <w:rFonts w:ascii="Times New Roman" w:hAnsi="Times New Roman" w:cs="Times New Roman"/>
          <w:sz w:val="28"/>
          <w:szCs w:val="28"/>
        </w:rPr>
        <w:t>LMC appealed this ruling</w:t>
      </w:r>
      <w:r w:rsidR="00560D36" w:rsidRPr="00D1363F">
        <w:rPr>
          <w:rFonts w:ascii="Times New Roman" w:hAnsi="Times New Roman" w:cs="Times New Roman"/>
          <w:sz w:val="28"/>
          <w:szCs w:val="28"/>
        </w:rPr>
        <w:t>, claiming Quinn was a “trespasser” and not a ‘residential tenant”</w:t>
      </w:r>
      <w:r w:rsidR="003042E4" w:rsidRPr="00D1363F">
        <w:rPr>
          <w:rFonts w:ascii="Times New Roman" w:hAnsi="Times New Roman" w:cs="Times New Roman"/>
          <w:sz w:val="28"/>
          <w:szCs w:val="28"/>
        </w:rPr>
        <w:t xml:space="preserve">. </w:t>
      </w:r>
      <w:r w:rsidR="00942BA5">
        <w:rPr>
          <w:rFonts w:ascii="Times New Roman" w:hAnsi="Times New Roman" w:cs="Times New Roman"/>
          <w:sz w:val="28"/>
          <w:szCs w:val="28"/>
        </w:rPr>
        <w:t xml:space="preserve">LMC’s main argument </w:t>
      </w:r>
      <w:r w:rsidR="0066037D">
        <w:rPr>
          <w:rFonts w:ascii="Times New Roman" w:hAnsi="Times New Roman" w:cs="Times New Roman"/>
          <w:sz w:val="28"/>
          <w:szCs w:val="28"/>
        </w:rPr>
        <w:t>was</w:t>
      </w:r>
      <w:r w:rsidR="00942BA5">
        <w:rPr>
          <w:rFonts w:ascii="Times New Roman" w:hAnsi="Times New Roman" w:cs="Times New Roman"/>
          <w:sz w:val="28"/>
          <w:szCs w:val="28"/>
        </w:rPr>
        <w:t xml:space="preserve"> that Quinn was not a “regular” occupant because Smith’s lease disallowed Quinn or anybody other than Smith to occupy the apartment without LMC’s permission and no such permission had been given</w:t>
      </w:r>
      <w:r w:rsidR="00625E8A">
        <w:rPr>
          <w:rFonts w:ascii="Times New Roman" w:hAnsi="Times New Roman" w:cs="Times New Roman"/>
          <w:sz w:val="28"/>
          <w:szCs w:val="28"/>
        </w:rPr>
        <w:t xml:space="preserve">, and </w:t>
      </w:r>
      <w:r w:rsidR="0066037D">
        <w:rPr>
          <w:rFonts w:ascii="Times New Roman" w:hAnsi="Times New Roman" w:cs="Times New Roman"/>
          <w:sz w:val="28"/>
          <w:szCs w:val="28"/>
        </w:rPr>
        <w:t>therefore, Quinn was “irregular”</w:t>
      </w:r>
      <w:r w:rsidR="00942BA5">
        <w:rPr>
          <w:rFonts w:ascii="Times New Roman" w:hAnsi="Times New Roman" w:cs="Times New Roman"/>
          <w:sz w:val="28"/>
          <w:szCs w:val="28"/>
        </w:rPr>
        <w:t>.</w:t>
      </w:r>
    </w:p>
    <w:p w14:paraId="1C0AA8C5" w14:textId="0422C7C2" w:rsidR="000C2BA3" w:rsidRDefault="003042E4" w:rsidP="002141F1">
      <w:pPr>
        <w:rPr>
          <w:rFonts w:ascii="Times New Roman" w:hAnsi="Times New Roman" w:cs="Times New Roman"/>
          <w:sz w:val="28"/>
          <w:szCs w:val="28"/>
        </w:rPr>
      </w:pPr>
      <w:r w:rsidRPr="00D1363F">
        <w:rPr>
          <w:rFonts w:ascii="Times New Roman" w:hAnsi="Times New Roman" w:cs="Times New Roman"/>
          <w:sz w:val="28"/>
          <w:szCs w:val="28"/>
        </w:rPr>
        <w:t>T</w:t>
      </w:r>
      <w:r w:rsidR="000C2BA3" w:rsidRPr="00D1363F">
        <w:rPr>
          <w:rFonts w:ascii="Times New Roman" w:hAnsi="Times New Roman" w:cs="Times New Roman"/>
          <w:sz w:val="28"/>
          <w:szCs w:val="28"/>
        </w:rPr>
        <w:t xml:space="preserve">he </w:t>
      </w:r>
      <w:r w:rsidR="00E033C6" w:rsidRPr="00D1363F">
        <w:rPr>
          <w:rFonts w:ascii="Times New Roman" w:hAnsi="Times New Roman" w:cs="Times New Roman"/>
          <w:sz w:val="28"/>
          <w:szCs w:val="28"/>
        </w:rPr>
        <w:t>C</w:t>
      </w:r>
      <w:r w:rsidR="000C2BA3" w:rsidRPr="00D1363F">
        <w:rPr>
          <w:rFonts w:ascii="Times New Roman" w:hAnsi="Times New Roman" w:cs="Times New Roman"/>
          <w:sz w:val="28"/>
          <w:szCs w:val="28"/>
        </w:rPr>
        <w:t xml:space="preserve">ourt of </w:t>
      </w:r>
      <w:r w:rsidR="00E033C6" w:rsidRPr="00D1363F">
        <w:rPr>
          <w:rFonts w:ascii="Times New Roman" w:hAnsi="Times New Roman" w:cs="Times New Roman"/>
          <w:sz w:val="28"/>
          <w:szCs w:val="28"/>
        </w:rPr>
        <w:t>A</w:t>
      </w:r>
      <w:r w:rsidR="000C2BA3" w:rsidRPr="00D1363F">
        <w:rPr>
          <w:rFonts w:ascii="Times New Roman" w:hAnsi="Times New Roman" w:cs="Times New Roman"/>
          <w:sz w:val="28"/>
          <w:szCs w:val="28"/>
        </w:rPr>
        <w:t xml:space="preserve">ppeals affirmed </w:t>
      </w:r>
      <w:r w:rsidR="005B0FCF" w:rsidRPr="00D1363F">
        <w:rPr>
          <w:rFonts w:ascii="Times New Roman" w:hAnsi="Times New Roman" w:cs="Times New Roman"/>
          <w:sz w:val="28"/>
          <w:szCs w:val="28"/>
        </w:rPr>
        <w:t>the trial court and its use of totality of the facts to decide that Quinn was an “other regular occupant”</w:t>
      </w:r>
      <w:r w:rsidR="000C2BA3" w:rsidRPr="00D1363F">
        <w:rPr>
          <w:rFonts w:ascii="Times New Roman" w:hAnsi="Times New Roman" w:cs="Times New Roman"/>
          <w:sz w:val="28"/>
          <w:szCs w:val="28"/>
        </w:rPr>
        <w:t>.</w:t>
      </w:r>
      <w:r w:rsidR="00942BA5">
        <w:rPr>
          <w:rFonts w:ascii="Times New Roman" w:hAnsi="Times New Roman" w:cs="Times New Roman"/>
          <w:sz w:val="28"/>
          <w:szCs w:val="28"/>
        </w:rPr>
        <w:t xml:space="preserve"> It </w:t>
      </w:r>
      <w:r w:rsidR="0066037D">
        <w:rPr>
          <w:rFonts w:ascii="Times New Roman" w:hAnsi="Times New Roman" w:cs="Times New Roman"/>
          <w:sz w:val="28"/>
          <w:szCs w:val="28"/>
        </w:rPr>
        <w:t xml:space="preserve">affirmed </w:t>
      </w:r>
      <w:r w:rsidR="00E4036F">
        <w:rPr>
          <w:rFonts w:ascii="Times New Roman" w:hAnsi="Times New Roman" w:cs="Times New Roman"/>
          <w:sz w:val="28"/>
          <w:szCs w:val="28"/>
        </w:rPr>
        <w:t>that</w:t>
      </w:r>
      <w:r w:rsidR="00942BA5">
        <w:rPr>
          <w:rFonts w:ascii="Times New Roman" w:hAnsi="Times New Roman" w:cs="Times New Roman"/>
          <w:sz w:val="28"/>
          <w:szCs w:val="28"/>
        </w:rPr>
        <w:t xml:space="preserve"> the no-other-occupants clause in Smith’s lease </w:t>
      </w:r>
      <w:r w:rsidR="00E4036F">
        <w:rPr>
          <w:rFonts w:ascii="Times New Roman" w:hAnsi="Times New Roman" w:cs="Times New Roman"/>
          <w:sz w:val="28"/>
          <w:szCs w:val="28"/>
        </w:rPr>
        <w:t>w</w:t>
      </w:r>
      <w:r w:rsidR="00942BA5">
        <w:rPr>
          <w:rFonts w:ascii="Times New Roman" w:hAnsi="Times New Roman" w:cs="Times New Roman"/>
          <w:sz w:val="28"/>
          <w:szCs w:val="28"/>
        </w:rPr>
        <w:t>as just one of a number of the totality of facts to consider.</w:t>
      </w:r>
    </w:p>
    <w:p w14:paraId="0F27329B" w14:textId="77777777" w:rsidR="00676D72" w:rsidRDefault="00676D72" w:rsidP="002141F1">
      <w:pPr>
        <w:rPr>
          <w:rFonts w:ascii="Times New Roman" w:hAnsi="Times New Roman" w:cs="Times New Roman"/>
          <w:sz w:val="28"/>
          <w:szCs w:val="28"/>
        </w:rPr>
      </w:pPr>
    </w:p>
    <w:p w14:paraId="562AA384" w14:textId="61AD48AD" w:rsidR="00821397" w:rsidRPr="00821397" w:rsidRDefault="00821397" w:rsidP="002141F1">
      <w:pPr>
        <w:rPr>
          <w:rFonts w:ascii="Times New Roman" w:hAnsi="Times New Roman" w:cs="Times New Roman"/>
          <w:sz w:val="28"/>
          <w:szCs w:val="28"/>
          <w:u w:val="single"/>
        </w:rPr>
      </w:pPr>
      <w:r w:rsidRPr="00821397">
        <w:rPr>
          <w:rFonts w:ascii="Times New Roman" w:hAnsi="Times New Roman" w:cs="Times New Roman"/>
          <w:sz w:val="28"/>
          <w:szCs w:val="28"/>
          <w:u w:val="single"/>
        </w:rPr>
        <w:lastRenderedPageBreak/>
        <w:t>Analysis</w:t>
      </w:r>
    </w:p>
    <w:p w14:paraId="6475AFDE" w14:textId="6300C9BD" w:rsidR="00D537C5" w:rsidRDefault="00D537C5" w:rsidP="002141F1">
      <w:pPr>
        <w:rPr>
          <w:rFonts w:ascii="Times New Roman" w:hAnsi="Times New Roman" w:cs="Times New Roman"/>
          <w:sz w:val="28"/>
          <w:szCs w:val="28"/>
          <w:shd w:val="clear" w:color="auto" w:fill="FFFFFF"/>
        </w:rPr>
      </w:pPr>
      <w:r w:rsidRPr="0008027A">
        <w:rPr>
          <w:rFonts w:ascii="Times New Roman" w:hAnsi="Times New Roman" w:cs="Times New Roman"/>
          <w:sz w:val="28"/>
          <w:szCs w:val="28"/>
        </w:rPr>
        <w:t xml:space="preserve">Both the trial and appellate courts construed Minn. Stat. § 504B.375 and Minn. Stat. § 504B.001, subd. 12 primarily based on dictionary definitions of “regular” </w:t>
      </w:r>
      <w:r w:rsidR="002F6DE2" w:rsidRPr="0008027A">
        <w:rPr>
          <w:rFonts w:ascii="Times New Roman" w:hAnsi="Times New Roman" w:cs="Times New Roman"/>
          <w:sz w:val="28"/>
          <w:szCs w:val="28"/>
        </w:rPr>
        <w:t xml:space="preserve">and by analogy </w:t>
      </w:r>
      <w:r w:rsidR="002F6DE2" w:rsidRPr="002037B0">
        <w:rPr>
          <w:rFonts w:ascii="Times New Roman" w:hAnsi="Times New Roman" w:cs="Times New Roman"/>
          <w:sz w:val="28"/>
          <w:szCs w:val="28"/>
        </w:rPr>
        <w:t>to</w:t>
      </w:r>
      <w:r w:rsidR="00243561" w:rsidRPr="002037B0">
        <w:rPr>
          <w:rFonts w:ascii="Times New Roman" w:hAnsi="Times New Roman" w:cs="Times New Roman"/>
          <w:sz w:val="28"/>
          <w:szCs w:val="28"/>
        </w:rPr>
        <w:t xml:space="preserve"> </w:t>
      </w:r>
      <w:hyperlink r:id="rId14" w:history="1">
        <w:proofErr w:type="spellStart"/>
        <w:r w:rsidR="002A5357" w:rsidRPr="002037B0">
          <w:rPr>
            <w:rStyle w:val="Hyperlink"/>
            <w:rFonts w:ascii="Times New Roman" w:hAnsi="Times New Roman" w:cs="Times New Roman"/>
            <w:i/>
            <w:iCs/>
            <w:sz w:val="28"/>
            <w:szCs w:val="28"/>
            <w:shd w:val="clear" w:color="auto" w:fill="F1F1F1"/>
          </w:rPr>
          <w:t>Asseltyne</w:t>
        </w:r>
        <w:proofErr w:type="spellEnd"/>
        <w:r w:rsidR="002A5357" w:rsidRPr="002037B0">
          <w:rPr>
            <w:rStyle w:val="Hyperlink"/>
            <w:rFonts w:ascii="Times New Roman" w:hAnsi="Times New Roman" w:cs="Times New Roman"/>
            <w:i/>
            <w:iCs/>
            <w:sz w:val="28"/>
            <w:szCs w:val="28"/>
            <w:shd w:val="clear" w:color="auto" w:fill="F1F1F1"/>
          </w:rPr>
          <w:t xml:space="preserve"> v. Fay Hotel,</w:t>
        </w:r>
        <w:r w:rsidR="002A5357" w:rsidRPr="002037B0">
          <w:rPr>
            <w:rStyle w:val="Hyperlink"/>
            <w:rFonts w:ascii="Times New Roman" w:hAnsi="Times New Roman" w:cs="Times New Roman"/>
            <w:sz w:val="28"/>
            <w:szCs w:val="28"/>
            <w:shd w:val="clear" w:color="auto" w:fill="F1F1F1"/>
          </w:rPr>
          <w:t> 222 Minn. 91, 23 N.W.2d 357 (1946)</w:t>
        </w:r>
      </w:hyperlink>
      <w:r w:rsidR="002A5357" w:rsidRPr="0008027A">
        <w:rPr>
          <w:rFonts w:ascii="Times New Roman" w:hAnsi="Times New Roman" w:cs="Times New Roman"/>
          <w:sz w:val="28"/>
          <w:szCs w:val="28"/>
        </w:rPr>
        <w:t xml:space="preserve"> </w:t>
      </w:r>
      <w:r w:rsidR="004D3A44" w:rsidRPr="0008027A">
        <w:rPr>
          <w:rFonts w:ascii="Times New Roman" w:hAnsi="Times New Roman" w:cs="Times New Roman"/>
          <w:sz w:val="28"/>
          <w:szCs w:val="28"/>
        </w:rPr>
        <w:t xml:space="preserve">(using </w:t>
      </w:r>
      <w:r w:rsidR="00A73216" w:rsidRPr="0008027A">
        <w:rPr>
          <w:rFonts w:ascii="Times New Roman" w:hAnsi="Times New Roman" w:cs="Times New Roman"/>
          <w:sz w:val="28"/>
          <w:szCs w:val="28"/>
        </w:rPr>
        <w:t xml:space="preserve">totality of acts analysis to decide </w:t>
      </w:r>
      <w:r w:rsidR="002F6DE2" w:rsidRPr="0008027A">
        <w:rPr>
          <w:rFonts w:ascii="Times New Roman" w:hAnsi="Times New Roman" w:cs="Times New Roman"/>
          <w:sz w:val="28"/>
          <w:szCs w:val="28"/>
          <w:shd w:val="clear" w:color="auto" w:fill="FFFFFF"/>
        </w:rPr>
        <w:t>whether a woman was a boarder or a hotel guest when she paid a monthly rate to live in a hotel room as her sole residence</w:t>
      </w:r>
      <w:r w:rsidR="00A73216" w:rsidRPr="0008027A">
        <w:rPr>
          <w:rFonts w:ascii="Times New Roman" w:hAnsi="Times New Roman" w:cs="Times New Roman"/>
          <w:sz w:val="28"/>
          <w:szCs w:val="28"/>
          <w:shd w:val="clear" w:color="auto" w:fill="FFFFFF"/>
        </w:rPr>
        <w:t>)</w:t>
      </w:r>
      <w:r w:rsidR="002F6DE2" w:rsidRPr="0008027A">
        <w:rPr>
          <w:rFonts w:ascii="Times New Roman" w:hAnsi="Times New Roman" w:cs="Times New Roman"/>
          <w:sz w:val="28"/>
          <w:szCs w:val="28"/>
          <w:shd w:val="clear" w:color="auto" w:fill="FFFFFF"/>
        </w:rPr>
        <w:t>.</w:t>
      </w:r>
      <w:r w:rsidR="00243561" w:rsidRPr="0008027A">
        <w:rPr>
          <w:rFonts w:ascii="Times New Roman" w:hAnsi="Times New Roman" w:cs="Times New Roman"/>
          <w:sz w:val="28"/>
          <w:szCs w:val="28"/>
          <w:shd w:val="clear" w:color="auto" w:fill="FFFFFF"/>
        </w:rPr>
        <w:t xml:space="preserve"> </w:t>
      </w:r>
      <w:r w:rsidR="00EA522F" w:rsidRPr="0008027A">
        <w:rPr>
          <w:rFonts w:ascii="Times New Roman" w:hAnsi="Times New Roman" w:cs="Times New Roman"/>
          <w:sz w:val="28"/>
          <w:szCs w:val="28"/>
          <w:shd w:val="clear" w:color="auto" w:fill="FFFFFF"/>
        </w:rPr>
        <w:t xml:space="preserve">No effort was made to review the original language of either statute </w:t>
      </w:r>
      <w:r w:rsidR="0008027A">
        <w:rPr>
          <w:rFonts w:ascii="Times New Roman" w:hAnsi="Times New Roman" w:cs="Times New Roman"/>
          <w:sz w:val="28"/>
          <w:szCs w:val="28"/>
          <w:shd w:val="clear" w:color="auto" w:fill="FFFFFF"/>
        </w:rPr>
        <w:t>o</w:t>
      </w:r>
      <w:r w:rsidR="00EA522F" w:rsidRPr="0008027A">
        <w:rPr>
          <w:rFonts w:ascii="Times New Roman" w:hAnsi="Times New Roman" w:cs="Times New Roman"/>
          <w:sz w:val="28"/>
          <w:szCs w:val="28"/>
          <w:shd w:val="clear" w:color="auto" w:fill="FFFFFF"/>
        </w:rPr>
        <w:t>r their legislative histor</w:t>
      </w:r>
      <w:r w:rsidR="00625E8A">
        <w:rPr>
          <w:rFonts w:ascii="Times New Roman" w:hAnsi="Times New Roman" w:cs="Times New Roman"/>
          <w:sz w:val="28"/>
          <w:szCs w:val="28"/>
          <w:shd w:val="clear" w:color="auto" w:fill="FFFFFF"/>
        </w:rPr>
        <w:t>ies</w:t>
      </w:r>
      <w:r w:rsidR="00EA522F" w:rsidRPr="0008027A">
        <w:rPr>
          <w:rFonts w:ascii="Times New Roman" w:hAnsi="Times New Roman" w:cs="Times New Roman"/>
          <w:sz w:val="28"/>
          <w:szCs w:val="28"/>
          <w:shd w:val="clear" w:color="auto" w:fill="FFFFFF"/>
        </w:rPr>
        <w:t>. I do that below.</w:t>
      </w:r>
    </w:p>
    <w:p w14:paraId="5D0F5F74" w14:textId="60DD17AF" w:rsidR="00821397" w:rsidRPr="00821397" w:rsidRDefault="00821397" w:rsidP="00821397">
      <w:pPr>
        <w:ind w:left="720"/>
        <w:rPr>
          <w:rFonts w:ascii="Times New Roman" w:hAnsi="Times New Roman" w:cs="Times New Roman"/>
          <w:sz w:val="28"/>
          <w:szCs w:val="28"/>
          <w:u w:val="single"/>
          <w:shd w:val="clear" w:color="auto" w:fill="FFFFFF"/>
        </w:rPr>
      </w:pPr>
      <w:r>
        <w:rPr>
          <w:rFonts w:ascii="Times New Roman" w:hAnsi="Times New Roman" w:cs="Times New Roman"/>
          <w:sz w:val="28"/>
          <w:szCs w:val="28"/>
          <w:u w:val="single"/>
        </w:rPr>
        <w:t xml:space="preserve">When </w:t>
      </w:r>
      <w:r w:rsidRPr="00821397">
        <w:rPr>
          <w:rFonts w:ascii="Times New Roman" w:hAnsi="Times New Roman" w:cs="Times New Roman"/>
          <w:sz w:val="28"/>
          <w:szCs w:val="28"/>
          <w:u w:val="single"/>
        </w:rPr>
        <w:t xml:space="preserve">Minn. Stat. § 504B.375’s </w:t>
      </w:r>
      <w:r>
        <w:rPr>
          <w:rFonts w:ascii="Times New Roman" w:hAnsi="Times New Roman" w:cs="Times New Roman"/>
          <w:sz w:val="28"/>
          <w:szCs w:val="28"/>
          <w:u w:val="single"/>
        </w:rPr>
        <w:t xml:space="preserve">was </w:t>
      </w:r>
      <w:r w:rsidRPr="00821397">
        <w:rPr>
          <w:rFonts w:ascii="Times New Roman" w:hAnsi="Times New Roman" w:cs="Times New Roman"/>
          <w:sz w:val="28"/>
          <w:szCs w:val="28"/>
          <w:u w:val="single"/>
        </w:rPr>
        <w:t>enact</w:t>
      </w:r>
      <w:r>
        <w:rPr>
          <w:rFonts w:ascii="Times New Roman" w:hAnsi="Times New Roman" w:cs="Times New Roman"/>
          <w:sz w:val="28"/>
          <w:szCs w:val="28"/>
          <w:u w:val="single"/>
        </w:rPr>
        <w:t>ed</w:t>
      </w:r>
      <w:r w:rsidRPr="00821397">
        <w:rPr>
          <w:rFonts w:ascii="Times New Roman" w:hAnsi="Times New Roman" w:cs="Times New Roman"/>
          <w:sz w:val="28"/>
          <w:szCs w:val="28"/>
          <w:u w:val="single"/>
        </w:rPr>
        <w:t xml:space="preserve"> in 1975</w:t>
      </w:r>
      <w:r>
        <w:rPr>
          <w:rFonts w:ascii="Times New Roman" w:hAnsi="Times New Roman" w:cs="Times New Roman"/>
          <w:sz w:val="28"/>
          <w:szCs w:val="28"/>
          <w:u w:val="single"/>
        </w:rPr>
        <w:t xml:space="preserve"> the legislature selected the definition of “tenant” in the Tenant Remedies Act </w:t>
      </w:r>
      <w:r w:rsidR="00DD7371">
        <w:rPr>
          <w:rFonts w:ascii="Times New Roman" w:hAnsi="Times New Roman" w:cs="Times New Roman"/>
          <w:sz w:val="28"/>
          <w:szCs w:val="28"/>
          <w:u w:val="single"/>
        </w:rPr>
        <w:t xml:space="preserve">(“TRA”) </w:t>
      </w:r>
      <w:r>
        <w:rPr>
          <w:rFonts w:ascii="Times New Roman" w:hAnsi="Times New Roman" w:cs="Times New Roman"/>
          <w:sz w:val="28"/>
          <w:szCs w:val="28"/>
          <w:u w:val="single"/>
        </w:rPr>
        <w:t>to govern which occupants the new law protected</w:t>
      </w:r>
    </w:p>
    <w:p w14:paraId="2CB14B72" w14:textId="50AE1BA4" w:rsidR="00D1363F" w:rsidRDefault="00D1363F" w:rsidP="002141F1">
      <w:pPr>
        <w:rPr>
          <w:rFonts w:ascii="Times New Roman" w:hAnsi="Times New Roman" w:cs="Times New Roman"/>
          <w:sz w:val="28"/>
          <w:szCs w:val="28"/>
        </w:rPr>
      </w:pPr>
      <w:r w:rsidRPr="00D1363F">
        <w:rPr>
          <w:rFonts w:ascii="Times New Roman" w:hAnsi="Times New Roman" w:cs="Times New Roman"/>
          <w:sz w:val="28"/>
          <w:szCs w:val="28"/>
        </w:rPr>
        <w:t>Minn. Stat. § 504B.375</w:t>
      </w:r>
      <w:r>
        <w:rPr>
          <w:rFonts w:ascii="Times New Roman" w:hAnsi="Times New Roman" w:cs="Times New Roman"/>
          <w:sz w:val="28"/>
          <w:szCs w:val="28"/>
        </w:rPr>
        <w:t xml:space="preserve"> was originally enacted as </w:t>
      </w:r>
      <w:hyperlink r:id="rId15" w:anchor="search=%22566.175%22" w:history="1">
        <w:r w:rsidRPr="004D054F">
          <w:rPr>
            <w:rStyle w:val="Hyperlink"/>
            <w:rFonts w:ascii="Times New Roman" w:hAnsi="Times New Roman" w:cs="Times New Roman"/>
            <w:sz w:val="28"/>
            <w:szCs w:val="28"/>
          </w:rPr>
          <w:t>Minn. Stat. § 566.175 (197</w:t>
        </w:r>
        <w:r w:rsidR="002037B0" w:rsidRPr="004D054F">
          <w:rPr>
            <w:rStyle w:val="Hyperlink"/>
            <w:rFonts w:ascii="Times New Roman" w:hAnsi="Times New Roman" w:cs="Times New Roman"/>
            <w:sz w:val="28"/>
            <w:szCs w:val="28"/>
          </w:rPr>
          <w:t>5 Supp.</w:t>
        </w:r>
        <w:r w:rsidRPr="004D054F">
          <w:rPr>
            <w:rStyle w:val="Hyperlink"/>
            <w:rFonts w:ascii="Times New Roman" w:hAnsi="Times New Roman" w:cs="Times New Roman"/>
            <w:sz w:val="28"/>
            <w:szCs w:val="28"/>
          </w:rPr>
          <w:t>)</w:t>
        </w:r>
      </w:hyperlink>
      <w:r>
        <w:rPr>
          <w:rFonts w:ascii="Times New Roman" w:hAnsi="Times New Roman" w:cs="Times New Roman"/>
          <w:sz w:val="28"/>
          <w:szCs w:val="28"/>
        </w:rPr>
        <w:t xml:space="preserve"> as part of </w:t>
      </w:r>
      <w:hyperlink r:id="rId16" w:history="1">
        <w:r w:rsidRPr="004D054F">
          <w:rPr>
            <w:rStyle w:val="Hyperlink"/>
            <w:rFonts w:ascii="Times New Roman" w:hAnsi="Times New Roman" w:cs="Times New Roman"/>
            <w:sz w:val="28"/>
            <w:szCs w:val="28"/>
          </w:rPr>
          <w:t>197</w:t>
        </w:r>
        <w:r w:rsidR="00967947" w:rsidRPr="004D054F">
          <w:rPr>
            <w:rStyle w:val="Hyperlink"/>
            <w:rFonts w:ascii="Times New Roman" w:hAnsi="Times New Roman" w:cs="Times New Roman"/>
            <w:sz w:val="28"/>
            <w:szCs w:val="28"/>
          </w:rPr>
          <w:t>5</w:t>
        </w:r>
        <w:r w:rsidRPr="004D054F">
          <w:rPr>
            <w:rStyle w:val="Hyperlink"/>
            <w:rFonts w:ascii="Times New Roman" w:hAnsi="Times New Roman" w:cs="Times New Roman"/>
            <w:sz w:val="28"/>
            <w:szCs w:val="28"/>
          </w:rPr>
          <w:t xml:space="preserve"> Minn. Laws </w:t>
        </w:r>
        <w:proofErr w:type="spellStart"/>
        <w:r w:rsidRPr="004D054F">
          <w:rPr>
            <w:rStyle w:val="Hyperlink"/>
            <w:rFonts w:ascii="Times New Roman" w:hAnsi="Times New Roman" w:cs="Times New Roman"/>
            <w:sz w:val="28"/>
            <w:szCs w:val="28"/>
          </w:rPr>
          <w:t>ch.</w:t>
        </w:r>
        <w:proofErr w:type="spellEnd"/>
        <w:r w:rsidRPr="004D054F">
          <w:rPr>
            <w:rStyle w:val="Hyperlink"/>
            <w:rFonts w:ascii="Times New Roman" w:hAnsi="Times New Roman" w:cs="Times New Roman"/>
            <w:sz w:val="28"/>
            <w:szCs w:val="28"/>
          </w:rPr>
          <w:t xml:space="preserve"> 410</w:t>
        </w:r>
      </w:hyperlink>
      <w:r>
        <w:rPr>
          <w:rFonts w:ascii="Times New Roman" w:hAnsi="Times New Roman" w:cs="Times New Roman"/>
          <w:sz w:val="28"/>
          <w:szCs w:val="28"/>
        </w:rPr>
        <w:t xml:space="preserve">. </w:t>
      </w:r>
      <w:r w:rsidR="00F5448C">
        <w:rPr>
          <w:rFonts w:ascii="Times New Roman" w:hAnsi="Times New Roman" w:cs="Times New Roman"/>
          <w:sz w:val="28"/>
          <w:szCs w:val="28"/>
        </w:rPr>
        <w:t>It has been amended since but not in any way material to this case.</w:t>
      </w:r>
      <w:r w:rsidR="00F5448C">
        <w:rPr>
          <w:rStyle w:val="FootnoteReference"/>
          <w:rFonts w:ascii="Times New Roman" w:hAnsi="Times New Roman" w:cs="Times New Roman"/>
          <w:sz w:val="28"/>
          <w:szCs w:val="28"/>
        </w:rPr>
        <w:footnoteReference w:id="5"/>
      </w:r>
    </w:p>
    <w:p w14:paraId="6C78FF9E" w14:textId="4EF9C73B" w:rsidR="004C3612" w:rsidRDefault="004C3612" w:rsidP="002141F1">
      <w:pPr>
        <w:rPr>
          <w:rFonts w:ascii="Times New Roman" w:hAnsi="Times New Roman" w:cs="Times New Roman"/>
          <w:sz w:val="28"/>
          <w:szCs w:val="28"/>
        </w:rPr>
      </w:pPr>
      <w:r>
        <w:rPr>
          <w:rFonts w:ascii="Times New Roman" w:hAnsi="Times New Roman" w:cs="Times New Roman"/>
          <w:sz w:val="28"/>
          <w:szCs w:val="28"/>
        </w:rPr>
        <w:t>The original bill that became 197</w:t>
      </w:r>
      <w:r w:rsidR="00967947">
        <w:rPr>
          <w:rFonts w:ascii="Times New Roman" w:hAnsi="Times New Roman" w:cs="Times New Roman"/>
          <w:sz w:val="28"/>
          <w:szCs w:val="28"/>
        </w:rPr>
        <w:t>5</w:t>
      </w:r>
      <w:r>
        <w:rPr>
          <w:rFonts w:ascii="Times New Roman" w:hAnsi="Times New Roman" w:cs="Times New Roman"/>
          <w:sz w:val="28"/>
          <w:szCs w:val="28"/>
        </w:rPr>
        <w:t xml:space="preserve"> Minn. Laws </w:t>
      </w:r>
      <w:proofErr w:type="spellStart"/>
      <w:r>
        <w:rPr>
          <w:rFonts w:ascii="Times New Roman" w:hAnsi="Times New Roman" w:cs="Times New Roman"/>
          <w:sz w:val="28"/>
          <w:szCs w:val="28"/>
        </w:rPr>
        <w:t>ch.</w:t>
      </w:r>
      <w:proofErr w:type="spellEnd"/>
      <w:r>
        <w:rPr>
          <w:rFonts w:ascii="Times New Roman" w:hAnsi="Times New Roman" w:cs="Times New Roman"/>
          <w:sz w:val="28"/>
          <w:szCs w:val="28"/>
        </w:rPr>
        <w:t xml:space="preserve"> 410 had four substantive provisions.</w:t>
      </w:r>
      <w:r w:rsidR="00C332CD">
        <w:rPr>
          <w:rStyle w:val="FootnoteReference"/>
          <w:rFonts w:ascii="Times New Roman" w:hAnsi="Times New Roman" w:cs="Times New Roman"/>
          <w:sz w:val="28"/>
          <w:szCs w:val="28"/>
        </w:rPr>
        <w:footnoteReference w:id="6"/>
      </w:r>
      <w:r>
        <w:rPr>
          <w:rFonts w:ascii="Times New Roman" w:hAnsi="Times New Roman" w:cs="Times New Roman"/>
          <w:sz w:val="28"/>
          <w:szCs w:val="28"/>
        </w:rPr>
        <w:t xml:space="preserve"> </w:t>
      </w:r>
      <w:r w:rsidR="00967947">
        <w:rPr>
          <w:rFonts w:ascii="Times New Roman" w:hAnsi="Times New Roman" w:cs="Times New Roman"/>
          <w:sz w:val="28"/>
          <w:szCs w:val="28"/>
        </w:rPr>
        <w:t>S</w:t>
      </w:r>
      <w:r>
        <w:rPr>
          <w:rFonts w:ascii="Times New Roman" w:hAnsi="Times New Roman" w:cs="Times New Roman"/>
          <w:sz w:val="28"/>
          <w:szCs w:val="28"/>
        </w:rPr>
        <w:t>ection 1 dealt with personal</w:t>
      </w:r>
      <w:r w:rsidR="00DB5079">
        <w:rPr>
          <w:rFonts w:ascii="Times New Roman" w:hAnsi="Times New Roman" w:cs="Times New Roman"/>
          <w:sz w:val="28"/>
          <w:szCs w:val="28"/>
        </w:rPr>
        <w:t xml:space="preserve"> proper</w:t>
      </w:r>
      <w:r>
        <w:rPr>
          <w:rFonts w:ascii="Times New Roman" w:hAnsi="Times New Roman" w:cs="Times New Roman"/>
          <w:sz w:val="28"/>
          <w:szCs w:val="28"/>
        </w:rPr>
        <w:t>ty a tenant leaves behind after</w:t>
      </w:r>
      <w:r w:rsidR="00967947">
        <w:rPr>
          <w:rFonts w:ascii="Times New Roman" w:hAnsi="Times New Roman" w:cs="Times New Roman"/>
          <w:sz w:val="28"/>
          <w:szCs w:val="28"/>
        </w:rPr>
        <w:t xml:space="preserve"> </w:t>
      </w:r>
      <w:r>
        <w:rPr>
          <w:rFonts w:ascii="Times New Roman" w:hAnsi="Times New Roman" w:cs="Times New Roman"/>
          <w:sz w:val="28"/>
          <w:szCs w:val="28"/>
        </w:rPr>
        <w:t xml:space="preserve">vacating. The other three </w:t>
      </w:r>
      <w:r w:rsidR="00967947">
        <w:rPr>
          <w:rFonts w:ascii="Times New Roman" w:hAnsi="Times New Roman" w:cs="Times New Roman"/>
          <w:sz w:val="28"/>
          <w:szCs w:val="28"/>
        </w:rPr>
        <w:t>section</w:t>
      </w:r>
      <w:r w:rsidR="0066037D">
        <w:rPr>
          <w:rFonts w:ascii="Times New Roman" w:hAnsi="Times New Roman" w:cs="Times New Roman"/>
          <w:sz w:val="28"/>
          <w:szCs w:val="28"/>
        </w:rPr>
        <w:t>s</w:t>
      </w:r>
      <w:r w:rsidR="00967947">
        <w:rPr>
          <w:rFonts w:ascii="Times New Roman" w:hAnsi="Times New Roman" w:cs="Times New Roman"/>
          <w:sz w:val="28"/>
          <w:szCs w:val="28"/>
        </w:rPr>
        <w:t xml:space="preserve"> </w:t>
      </w:r>
      <w:r>
        <w:rPr>
          <w:rFonts w:ascii="Times New Roman" w:hAnsi="Times New Roman" w:cs="Times New Roman"/>
          <w:sz w:val="28"/>
          <w:szCs w:val="28"/>
        </w:rPr>
        <w:t>dealt with lockouts</w:t>
      </w:r>
      <w:r w:rsidR="0066037D">
        <w:rPr>
          <w:rFonts w:ascii="Times New Roman" w:hAnsi="Times New Roman" w:cs="Times New Roman"/>
          <w:sz w:val="28"/>
          <w:szCs w:val="28"/>
        </w:rPr>
        <w:t>:</w:t>
      </w:r>
      <w:r w:rsidR="00967947">
        <w:rPr>
          <w:rFonts w:ascii="Times New Roman" w:hAnsi="Times New Roman" w:cs="Times New Roman"/>
          <w:sz w:val="28"/>
          <w:szCs w:val="28"/>
        </w:rPr>
        <w:t xml:space="preserve"> </w:t>
      </w:r>
      <w:r>
        <w:rPr>
          <w:rFonts w:ascii="Times New Roman" w:hAnsi="Times New Roman" w:cs="Times New Roman"/>
          <w:sz w:val="28"/>
          <w:szCs w:val="28"/>
        </w:rPr>
        <w:t xml:space="preserve">section </w:t>
      </w:r>
      <w:r w:rsidR="00417F2C">
        <w:rPr>
          <w:rFonts w:ascii="Times New Roman" w:hAnsi="Times New Roman" w:cs="Times New Roman"/>
          <w:sz w:val="28"/>
          <w:szCs w:val="28"/>
        </w:rPr>
        <w:t>2</w:t>
      </w:r>
      <w:r>
        <w:rPr>
          <w:rFonts w:ascii="Times New Roman" w:hAnsi="Times New Roman" w:cs="Times New Roman"/>
          <w:sz w:val="28"/>
          <w:szCs w:val="28"/>
        </w:rPr>
        <w:t xml:space="preserve"> </w:t>
      </w:r>
      <w:r w:rsidR="00417F2C">
        <w:rPr>
          <w:rFonts w:ascii="Times New Roman" w:hAnsi="Times New Roman" w:cs="Times New Roman"/>
          <w:sz w:val="28"/>
          <w:szCs w:val="28"/>
        </w:rPr>
        <w:t>made</w:t>
      </w:r>
      <w:r>
        <w:rPr>
          <w:rFonts w:ascii="Times New Roman" w:hAnsi="Times New Roman" w:cs="Times New Roman"/>
          <w:sz w:val="28"/>
          <w:szCs w:val="28"/>
        </w:rPr>
        <w:t xml:space="preserve"> a lockout a crime, section </w:t>
      </w:r>
      <w:r w:rsidR="00417F2C">
        <w:rPr>
          <w:rFonts w:ascii="Times New Roman" w:hAnsi="Times New Roman" w:cs="Times New Roman"/>
          <w:sz w:val="28"/>
          <w:szCs w:val="28"/>
        </w:rPr>
        <w:t>3</w:t>
      </w:r>
      <w:r>
        <w:rPr>
          <w:rFonts w:ascii="Times New Roman" w:hAnsi="Times New Roman" w:cs="Times New Roman"/>
          <w:sz w:val="28"/>
          <w:szCs w:val="28"/>
        </w:rPr>
        <w:t xml:space="preserve"> provid</w:t>
      </w:r>
      <w:r w:rsidR="00417F2C">
        <w:rPr>
          <w:rFonts w:ascii="Times New Roman" w:hAnsi="Times New Roman" w:cs="Times New Roman"/>
          <w:sz w:val="28"/>
          <w:szCs w:val="28"/>
        </w:rPr>
        <w:t>ed</w:t>
      </w:r>
      <w:r>
        <w:rPr>
          <w:rFonts w:ascii="Times New Roman" w:hAnsi="Times New Roman" w:cs="Times New Roman"/>
          <w:sz w:val="28"/>
          <w:szCs w:val="28"/>
        </w:rPr>
        <w:t xml:space="preserve"> treble damages for </w:t>
      </w:r>
      <w:r w:rsidR="00011ECD">
        <w:rPr>
          <w:rFonts w:ascii="Times New Roman" w:hAnsi="Times New Roman" w:cs="Times New Roman"/>
          <w:sz w:val="28"/>
          <w:szCs w:val="28"/>
        </w:rPr>
        <w:t xml:space="preserve">illegally turning off utilities, and section </w:t>
      </w:r>
      <w:r w:rsidR="00417F2C">
        <w:rPr>
          <w:rFonts w:ascii="Times New Roman" w:hAnsi="Times New Roman" w:cs="Times New Roman"/>
          <w:sz w:val="28"/>
          <w:szCs w:val="28"/>
        </w:rPr>
        <w:t>5</w:t>
      </w:r>
      <w:r w:rsidR="00011ECD">
        <w:rPr>
          <w:rFonts w:ascii="Times New Roman" w:hAnsi="Times New Roman" w:cs="Times New Roman"/>
          <w:sz w:val="28"/>
          <w:szCs w:val="28"/>
        </w:rPr>
        <w:t xml:space="preserve"> became </w:t>
      </w:r>
      <w:hyperlink r:id="rId17" w:anchor="search=%22566.175%22" w:history="1">
        <w:r w:rsidR="00011ECD" w:rsidRPr="00A220AC">
          <w:rPr>
            <w:rStyle w:val="Hyperlink"/>
            <w:rFonts w:ascii="Times New Roman" w:hAnsi="Times New Roman" w:cs="Times New Roman"/>
            <w:sz w:val="28"/>
            <w:szCs w:val="28"/>
          </w:rPr>
          <w:t>Minn. Stat. § 566.175 (197</w:t>
        </w:r>
        <w:r w:rsidR="00A220AC" w:rsidRPr="00A220AC">
          <w:rPr>
            <w:rStyle w:val="Hyperlink"/>
            <w:rFonts w:ascii="Times New Roman" w:hAnsi="Times New Roman" w:cs="Times New Roman"/>
            <w:sz w:val="28"/>
            <w:szCs w:val="28"/>
          </w:rPr>
          <w:t>5 Supp.</w:t>
        </w:r>
        <w:r w:rsidR="00011ECD" w:rsidRPr="00A220AC">
          <w:rPr>
            <w:rStyle w:val="Hyperlink"/>
            <w:rFonts w:ascii="Times New Roman" w:hAnsi="Times New Roman" w:cs="Times New Roman"/>
            <w:sz w:val="28"/>
            <w:szCs w:val="28"/>
          </w:rPr>
          <w:t>)</w:t>
        </w:r>
      </w:hyperlink>
      <w:r w:rsidR="00DB5079">
        <w:rPr>
          <w:rFonts w:ascii="Times New Roman" w:hAnsi="Times New Roman" w:cs="Times New Roman"/>
          <w:sz w:val="28"/>
          <w:szCs w:val="28"/>
        </w:rPr>
        <w:t xml:space="preserve">, now </w:t>
      </w:r>
      <w:r w:rsidR="00DB5079" w:rsidRPr="00D1363F">
        <w:rPr>
          <w:rFonts w:ascii="Times New Roman" w:hAnsi="Times New Roman" w:cs="Times New Roman"/>
          <w:sz w:val="28"/>
          <w:szCs w:val="28"/>
        </w:rPr>
        <w:t>Minn. Stat. § 5</w:t>
      </w:r>
      <w:r w:rsidR="00DB5079">
        <w:rPr>
          <w:rFonts w:ascii="Times New Roman" w:hAnsi="Times New Roman" w:cs="Times New Roman"/>
          <w:sz w:val="28"/>
          <w:szCs w:val="28"/>
        </w:rPr>
        <w:t>04B.375</w:t>
      </w:r>
      <w:r w:rsidR="00011ECD">
        <w:rPr>
          <w:rFonts w:ascii="Times New Roman" w:hAnsi="Times New Roman" w:cs="Times New Roman"/>
          <w:sz w:val="28"/>
          <w:szCs w:val="28"/>
        </w:rPr>
        <w:t xml:space="preserve">. All </w:t>
      </w:r>
      <w:r>
        <w:rPr>
          <w:rFonts w:ascii="Times New Roman" w:hAnsi="Times New Roman" w:cs="Times New Roman"/>
          <w:sz w:val="28"/>
          <w:szCs w:val="28"/>
        </w:rPr>
        <w:t xml:space="preserve">simply referred to </w:t>
      </w:r>
      <w:r w:rsidR="00011ECD">
        <w:rPr>
          <w:rFonts w:ascii="Times New Roman" w:hAnsi="Times New Roman" w:cs="Times New Roman"/>
          <w:sz w:val="28"/>
          <w:szCs w:val="28"/>
        </w:rPr>
        <w:t>“</w:t>
      </w:r>
      <w:r>
        <w:rPr>
          <w:rFonts w:ascii="Times New Roman" w:hAnsi="Times New Roman" w:cs="Times New Roman"/>
          <w:sz w:val="28"/>
          <w:szCs w:val="28"/>
        </w:rPr>
        <w:t>tenants</w:t>
      </w:r>
      <w:r w:rsidR="00011ECD">
        <w:rPr>
          <w:rFonts w:ascii="Times New Roman" w:hAnsi="Times New Roman" w:cs="Times New Roman"/>
          <w:sz w:val="28"/>
          <w:szCs w:val="28"/>
        </w:rPr>
        <w:t>” without defining the term. This would have made the laws apply to both commercial and dwelling tenants.</w:t>
      </w:r>
      <w:r w:rsidR="00A5785C">
        <w:rPr>
          <w:rFonts w:ascii="Times New Roman" w:hAnsi="Times New Roman" w:cs="Times New Roman"/>
          <w:sz w:val="28"/>
          <w:szCs w:val="28"/>
        </w:rPr>
        <w:t xml:space="preserve"> In committee, an amendment was introduce</w:t>
      </w:r>
      <w:r w:rsidR="00EB1426">
        <w:rPr>
          <w:rFonts w:ascii="Times New Roman" w:hAnsi="Times New Roman" w:cs="Times New Roman"/>
          <w:sz w:val="28"/>
          <w:szCs w:val="28"/>
        </w:rPr>
        <w:t>d</w:t>
      </w:r>
      <w:r w:rsidR="00A5785C">
        <w:rPr>
          <w:rFonts w:ascii="Times New Roman" w:hAnsi="Times New Roman" w:cs="Times New Roman"/>
          <w:sz w:val="28"/>
          <w:szCs w:val="28"/>
        </w:rPr>
        <w:t xml:space="preserve"> that defined “tenant” in sections </w:t>
      </w:r>
      <w:r w:rsidR="00967947">
        <w:rPr>
          <w:rFonts w:ascii="Times New Roman" w:hAnsi="Times New Roman" w:cs="Times New Roman"/>
          <w:sz w:val="28"/>
          <w:szCs w:val="28"/>
        </w:rPr>
        <w:t>1,2,3 and 5</w:t>
      </w:r>
      <w:r w:rsidR="00A5785C">
        <w:rPr>
          <w:rFonts w:ascii="Times New Roman" w:hAnsi="Times New Roman" w:cs="Times New Roman"/>
          <w:sz w:val="28"/>
          <w:szCs w:val="28"/>
        </w:rPr>
        <w:t xml:space="preserve"> as a “tenant” within the meaning of </w:t>
      </w:r>
      <w:hyperlink r:id="rId18" w:history="1">
        <w:r w:rsidR="000F1985" w:rsidRPr="00DB5079">
          <w:rPr>
            <w:rStyle w:val="Hyperlink"/>
            <w:rFonts w:ascii="Times New Roman" w:hAnsi="Times New Roman" w:cs="Times New Roman"/>
            <w:sz w:val="28"/>
            <w:szCs w:val="28"/>
          </w:rPr>
          <w:t>Minn. Stat. § 566.18, subdivision 2</w:t>
        </w:r>
        <w:r w:rsidR="00DB5079" w:rsidRPr="00DB5079">
          <w:rPr>
            <w:rStyle w:val="Hyperlink"/>
            <w:rFonts w:ascii="Times New Roman" w:hAnsi="Times New Roman" w:cs="Times New Roman"/>
            <w:sz w:val="28"/>
            <w:szCs w:val="28"/>
          </w:rPr>
          <w:t xml:space="preserve"> [197</w:t>
        </w:r>
        <w:r w:rsidR="00DB5079">
          <w:rPr>
            <w:rStyle w:val="Hyperlink"/>
            <w:rFonts w:ascii="Times New Roman" w:hAnsi="Times New Roman" w:cs="Times New Roman"/>
            <w:sz w:val="28"/>
            <w:szCs w:val="28"/>
          </w:rPr>
          <w:t>3 Supp.</w:t>
        </w:r>
      </w:hyperlink>
      <w:r w:rsidR="00DB5079">
        <w:rPr>
          <w:rFonts w:ascii="Times New Roman" w:hAnsi="Times New Roman" w:cs="Times New Roman"/>
          <w:sz w:val="28"/>
          <w:szCs w:val="28"/>
        </w:rPr>
        <w:t>]</w:t>
      </w:r>
      <w:r w:rsidR="00A5785C">
        <w:rPr>
          <w:rFonts w:ascii="Times New Roman" w:hAnsi="Times New Roman" w:cs="Times New Roman"/>
          <w:sz w:val="28"/>
          <w:szCs w:val="28"/>
        </w:rPr>
        <w:t>, which read:</w:t>
      </w:r>
    </w:p>
    <w:p w14:paraId="21A778BB" w14:textId="007E06FD" w:rsidR="001F6981" w:rsidRPr="00861C0C" w:rsidRDefault="001F6981" w:rsidP="001F6981">
      <w:pPr>
        <w:ind w:left="720"/>
        <w:rPr>
          <w:rFonts w:ascii="Times New Roman" w:hAnsi="Times New Roman" w:cs="Times New Roman"/>
          <w:sz w:val="28"/>
          <w:szCs w:val="28"/>
        </w:rPr>
      </w:pPr>
      <w:r w:rsidRPr="00861C0C">
        <w:rPr>
          <w:rFonts w:ascii="Times New Roman" w:hAnsi="Times New Roman" w:cs="Times New Roman"/>
          <w:sz w:val="28"/>
          <w:szCs w:val="28"/>
        </w:rPr>
        <w:lastRenderedPageBreak/>
        <w:t>Subd. 2. "Tenant" means any person who is occupying a dwelling in a building as defined in subdivision 7</w:t>
      </w:r>
      <w:r w:rsidR="004F367C">
        <w:rPr>
          <w:rFonts w:ascii="Times New Roman" w:hAnsi="Times New Roman" w:cs="Times New Roman"/>
          <w:sz w:val="28"/>
          <w:szCs w:val="28"/>
        </w:rPr>
        <w:t xml:space="preserve">, </w:t>
      </w:r>
      <w:r w:rsidRPr="00861C0C">
        <w:rPr>
          <w:rFonts w:ascii="Times New Roman" w:hAnsi="Times New Roman" w:cs="Times New Roman"/>
          <w:sz w:val="28"/>
          <w:szCs w:val="28"/>
        </w:rPr>
        <w:t>under any agreement, lease, or contract, whether oral or written, and for whatever period of time, which requires the payment of moneys as rent</w:t>
      </w:r>
      <w:r w:rsidR="00110F1E">
        <w:rPr>
          <w:rFonts w:ascii="Times New Roman" w:hAnsi="Times New Roman" w:cs="Times New Roman"/>
          <w:sz w:val="28"/>
          <w:szCs w:val="28"/>
        </w:rPr>
        <w:t xml:space="preserve"> fo</w:t>
      </w:r>
      <w:r w:rsidRPr="00861C0C">
        <w:rPr>
          <w:rFonts w:ascii="Times New Roman" w:hAnsi="Times New Roman" w:cs="Times New Roman"/>
          <w:sz w:val="28"/>
          <w:szCs w:val="28"/>
        </w:rPr>
        <w:t xml:space="preserve">r the use of the dwelling </w:t>
      </w:r>
      <w:r w:rsidR="00861C0C">
        <w:rPr>
          <w:rFonts w:ascii="Times New Roman" w:hAnsi="Times New Roman" w:cs="Times New Roman"/>
          <w:sz w:val="28"/>
          <w:szCs w:val="28"/>
        </w:rPr>
        <w:t>unit</w:t>
      </w:r>
      <w:r w:rsidRPr="00861C0C">
        <w:rPr>
          <w:rFonts w:ascii="Times New Roman" w:hAnsi="Times New Roman" w:cs="Times New Roman"/>
          <w:sz w:val="28"/>
          <w:szCs w:val="28"/>
        </w:rPr>
        <w:t xml:space="preserve">. and all other regular occupants of such dwelling unit. </w:t>
      </w:r>
    </w:p>
    <w:p w14:paraId="62944278" w14:textId="4A403FB1" w:rsidR="00A5785C" w:rsidRDefault="00A5785C" w:rsidP="001F6981">
      <w:pPr>
        <w:rPr>
          <w:rFonts w:ascii="Times New Roman" w:hAnsi="Times New Roman" w:cs="Times New Roman"/>
          <w:sz w:val="28"/>
          <w:szCs w:val="28"/>
        </w:rPr>
      </w:pPr>
      <w:r>
        <w:rPr>
          <w:rFonts w:ascii="Times New Roman" w:hAnsi="Times New Roman" w:cs="Times New Roman"/>
          <w:sz w:val="28"/>
          <w:szCs w:val="28"/>
        </w:rPr>
        <w:t xml:space="preserve">As a result, commercial tenants were excluded from the protection of the new laws but both traditional dwelling tenants </w:t>
      </w:r>
      <w:r w:rsidR="00DB69D5">
        <w:rPr>
          <w:rFonts w:ascii="Times New Roman" w:hAnsi="Times New Roman" w:cs="Times New Roman"/>
          <w:sz w:val="28"/>
          <w:szCs w:val="28"/>
        </w:rPr>
        <w:t>and</w:t>
      </w:r>
      <w:r>
        <w:rPr>
          <w:rFonts w:ascii="Times New Roman" w:hAnsi="Times New Roman" w:cs="Times New Roman"/>
          <w:sz w:val="28"/>
          <w:szCs w:val="28"/>
        </w:rPr>
        <w:t xml:space="preserve"> “other regular</w:t>
      </w:r>
      <w:r w:rsidR="00967947">
        <w:rPr>
          <w:rFonts w:ascii="Times New Roman" w:hAnsi="Times New Roman" w:cs="Times New Roman"/>
          <w:sz w:val="28"/>
          <w:szCs w:val="28"/>
        </w:rPr>
        <w:t xml:space="preserve"> [dwelling]</w:t>
      </w:r>
      <w:r>
        <w:rPr>
          <w:rFonts w:ascii="Times New Roman" w:hAnsi="Times New Roman" w:cs="Times New Roman"/>
          <w:sz w:val="28"/>
          <w:szCs w:val="28"/>
        </w:rPr>
        <w:t xml:space="preserve"> occupants” were included.</w:t>
      </w:r>
      <w:r w:rsidR="00165CB4">
        <w:rPr>
          <w:rFonts w:ascii="Times New Roman" w:hAnsi="Times New Roman" w:cs="Times New Roman"/>
          <w:sz w:val="28"/>
          <w:szCs w:val="28"/>
        </w:rPr>
        <w:t xml:space="preserve"> The committee amendments made it through the process and were enacted.</w:t>
      </w:r>
    </w:p>
    <w:p w14:paraId="7CC65BA9" w14:textId="44373595" w:rsidR="00DF1170" w:rsidRPr="00470665" w:rsidRDefault="00DF1170" w:rsidP="002141F1">
      <w:pPr>
        <w:rPr>
          <w:rFonts w:ascii="Times New Roman" w:hAnsi="Times New Roman" w:cs="Times New Roman"/>
          <w:sz w:val="28"/>
          <w:szCs w:val="28"/>
        </w:rPr>
      </w:pPr>
      <w:r w:rsidRPr="00470665">
        <w:rPr>
          <w:rFonts w:ascii="Times New Roman" w:hAnsi="Times New Roman" w:cs="Times New Roman"/>
          <w:sz w:val="28"/>
          <w:szCs w:val="28"/>
        </w:rPr>
        <w:t>Had the 1975 legislature wanted to protect only traditional dwelling tenants, it could have used language like that in the security</w:t>
      </w:r>
      <w:r w:rsidR="001F6981">
        <w:rPr>
          <w:rFonts w:ascii="Times New Roman" w:hAnsi="Times New Roman" w:cs="Times New Roman"/>
          <w:sz w:val="28"/>
          <w:szCs w:val="28"/>
        </w:rPr>
        <w:t>-</w:t>
      </w:r>
      <w:r w:rsidRPr="00470665">
        <w:rPr>
          <w:rFonts w:ascii="Times New Roman" w:hAnsi="Times New Roman" w:cs="Times New Roman"/>
          <w:sz w:val="28"/>
          <w:szCs w:val="28"/>
        </w:rPr>
        <w:t xml:space="preserve">deposit statute, </w:t>
      </w:r>
      <w:hyperlink r:id="rId19" w:history="1">
        <w:r w:rsidRPr="00470665">
          <w:rPr>
            <w:rStyle w:val="Hyperlink"/>
            <w:rFonts w:ascii="Times New Roman" w:hAnsi="Times New Roman" w:cs="Times New Roman"/>
            <w:sz w:val="28"/>
            <w:szCs w:val="28"/>
          </w:rPr>
          <w:t xml:space="preserve">Minn. Stat. § 504.20 (1973), 1973 Minn. Laws </w:t>
        </w:r>
        <w:proofErr w:type="spellStart"/>
        <w:r w:rsidRPr="00470665">
          <w:rPr>
            <w:rStyle w:val="Hyperlink"/>
            <w:rFonts w:ascii="Times New Roman" w:hAnsi="Times New Roman" w:cs="Times New Roman"/>
            <w:sz w:val="28"/>
            <w:szCs w:val="28"/>
          </w:rPr>
          <w:t>ch.</w:t>
        </w:r>
        <w:proofErr w:type="spellEnd"/>
        <w:r w:rsidRPr="00470665">
          <w:rPr>
            <w:rStyle w:val="Hyperlink"/>
            <w:rFonts w:ascii="Times New Roman" w:hAnsi="Times New Roman" w:cs="Times New Roman"/>
            <w:sz w:val="28"/>
            <w:szCs w:val="28"/>
          </w:rPr>
          <w:t xml:space="preserve"> 561, s. 1</w:t>
        </w:r>
      </w:hyperlink>
      <w:r w:rsidRPr="00470665">
        <w:rPr>
          <w:rFonts w:ascii="Times New Roman" w:hAnsi="Times New Roman" w:cs="Times New Roman"/>
          <w:sz w:val="28"/>
          <w:szCs w:val="28"/>
        </w:rPr>
        <w:t xml:space="preserve"> (“Any deposit of money, the function of which is to secure the performance of a </w:t>
      </w:r>
      <w:r w:rsidRPr="00470665">
        <w:rPr>
          <w:rFonts w:ascii="Times New Roman" w:hAnsi="Times New Roman" w:cs="Times New Roman"/>
          <w:sz w:val="28"/>
          <w:szCs w:val="28"/>
          <w:u w:val="single"/>
        </w:rPr>
        <w:t>residential rental agreement</w:t>
      </w:r>
      <w:r w:rsidRPr="00470665">
        <w:rPr>
          <w:rFonts w:ascii="Times New Roman" w:hAnsi="Times New Roman" w:cs="Times New Roman"/>
          <w:sz w:val="28"/>
          <w:szCs w:val="28"/>
        </w:rPr>
        <w:t xml:space="preserve"> </w:t>
      </w:r>
      <w:r w:rsidR="00903C92">
        <w:rPr>
          <w:rFonts w:ascii="Times New Roman" w:hAnsi="Times New Roman" w:cs="Times New Roman"/>
          <w:sz w:val="28"/>
          <w:szCs w:val="28"/>
        </w:rPr>
        <w:t xml:space="preserve">… shall be governed by … this section </w:t>
      </w:r>
      <w:r w:rsidRPr="00470665">
        <w:rPr>
          <w:rFonts w:ascii="Times New Roman" w:hAnsi="Times New Roman" w:cs="Times New Roman"/>
          <w:sz w:val="28"/>
          <w:szCs w:val="28"/>
        </w:rPr>
        <w:t>[emphasis added]”). Instead</w:t>
      </w:r>
      <w:r w:rsidR="00EB1426">
        <w:rPr>
          <w:rFonts w:ascii="Times New Roman" w:hAnsi="Times New Roman" w:cs="Times New Roman"/>
          <w:sz w:val="28"/>
          <w:szCs w:val="28"/>
        </w:rPr>
        <w:t>,</w:t>
      </w:r>
      <w:r w:rsidRPr="00470665">
        <w:rPr>
          <w:rFonts w:ascii="Times New Roman" w:hAnsi="Times New Roman" w:cs="Times New Roman"/>
          <w:sz w:val="28"/>
          <w:szCs w:val="28"/>
        </w:rPr>
        <w:t xml:space="preserve"> its new anti-lockout laws protected “other regular occupants” as well as traditional dwelling tenants.</w:t>
      </w:r>
    </w:p>
    <w:p w14:paraId="557B7BBE" w14:textId="260CDF84" w:rsidR="00165CB4" w:rsidRDefault="004C36BD" w:rsidP="002141F1">
      <w:pPr>
        <w:rPr>
          <w:rFonts w:ascii="Times New Roman" w:hAnsi="Times New Roman" w:cs="Times New Roman"/>
          <w:sz w:val="28"/>
          <w:szCs w:val="28"/>
        </w:rPr>
      </w:pPr>
      <w:r>
        <w:rPr>
          <w:rFonts w:ascii="Times New Roman" w:hAnsi="Times New Roman" w:cs="Times New Roman"/>
          <w:sz w:val="28"/>
          <w:szCs w:val="28"/>
        </w:rPr>
        <w:t xml:space="preserve">When all the landlord-tenant statutes in chapters 504 and 566 were recodified in 1999, wherever </w:t>
      </w:r>
      <w:r w:rsidR="0066037D">
        <w:rPr>
          <w:rFonts w:ascii="Times New Roman" w:hAnsi="Times New Roman" w:cs="Times New Roman"/>
          <w:sz w:val="28"/>
          <w:szCs w:val="28"/>
        </w:rPr>
        <w:t>a</w:t>
      </w:r>
      <w:r>
        <w:rPr>
          <w:rFonts w:ascii="Times New Roman" w:hAnsi="Times New Roman" w:cs="Times New Roman"/>
          <w:sz w:val="28"/>
          <w:szCs w:val="28"/>
        </w:rPr>
        <w:t xml:space="preserve"> prior law used “tenant” </w:t>
      </w:r>
      <w:r w:rsidR="00945E55">
        <w:rPr>
          <w:rFonts w:ascii="Times New Roman" w:hAnsi="Times New Roman" w:cs="Times New Roman"/>
          <w:sz w:val="28"/>
          <w:szCs w:val="28"/>
        </w:rPr>
        <w:t>with</w:t>
      </w:r>
      <w:r>
        <w:rPr>
          <w:rFonts w:ascii="Times New Roman" w:hAnsi="Times New Roman" w:cs="Times New Roman"/>
          <w:sz w:val="28"/>
          <w:szCs w:val="28"/>
        </w:rPr>
        <w:t xml:space="preserve">in the meaning of </w:t>
      </w:r>
      <w:r w:rsidR="00291A32">
        <w:rPr>
          <w:rFonts w:ascii="Times New Roman" w:hAnsi="Times New Roman" w:cs="Times New Roman"/>
          <w:sz w:val="28"/>
          <w:szCs w:val="28"/>
        </w:rPr>
        <w:t xml:space="preserve">Minn. Stat. </w:t>
      </w:r>
      <w:r w:rsidR="00291A32" w:rsidRPr="00D1363F">
        <w:rPr>
          <w:rFonts w:ascii="Times New Roman" w:hAnsi="Times New Roman" w:cs="Times New Roman"/>
          <w:sz w:val="28"/>
          <w:szCs w:val="28"/>
        </w:rPr>
        <w:t>§ 5</w:t>
      </w:r>
      <w:r w:rsidR="00291A32">
        <w:rPr>
          <w:rFonts w:ascii="Times New Roman" w:hAnsi="Times New Roman" w:cs="Times New Roman"/>
          <w:sz w:val="28"/>
          <w:szCs w:val="28"/>
        </w:rPr>
        <w:t>66.18, subdivision 2 (1998)</w:t>
      </w:r>
      <w:r>
        <w:rPr>
          <w:rFonts w:ascii="Times New Roman" w:hAnsi="Times New Roman" w:cs="Times New Roman"/>
          <w:sz w:val="28"/>
          <w:szCs w:val="28"/>
        </w:rPr>
        <w:t>, the new statute used the phrase “residential tenant’ and a definition of “residential tenant” was put into the definitional statute</w:t>
      </w:r>
      <w:r w:rsidR="00945E55">
        <w:rPr>
          <w:rFonts w:ascii="Times New Roman" w:hAnsi="Times New Roman" w:cs="Times New Roman"/>
          <w:sz w:val="28"/>
          <w:szCs w:val="28"/>
        </w:rPr>
        <w:t xml:space="preserve">, </w:t>
      </w:r>
      <w:r w:rsidRPr="00D1363F">
        <w:rPr>
          <w:rFonts w:ascii="Times New Roman" w:hAnsi="Times New Roman" w:cs="Times New Roman"/>
          <w:sz w:val="28"/>
          <w:szCs w:val="28"/>
        </w:rPr>
        <w:t>Minn. Stat. § 504B.001</w:t>
      </w:r>
      <w:r>
        <w:rPr>
          <w:rFonts w:ascii="Times New Roman" w:hAnsi="Times New Roman" w:cs="Times New Roman"/>
          <w:sz w:val="28"/>
          <w:szCs w:val="28"/>
        </w:rPr>
        <w:t xml:space="preserve"> </w:t>
      </w:r>
      <w:r w:rsidR="00945E55">
        <w:rPr>
          <w:rFonts w:ascii="Times New Roman" w:hAnsi="Times New Roman" w:cs="Times New Roman"/>
          <w:sz w:val="28"/>
          <w:szCs w:val="28"/>
        </w:rPr>
        <w:t>(</w:t>
      </w:r>
      <w:r>
        <w:rPr>
          <w:rFonts w:ascii="Times New Roman" w:hAnsi="Times New Roman" w:cs="Times New Roman"/>
          <w:sz w:val="28"/>
          <w:szCs w:val="28"/>
        </w:rPr>
        <w:t>at subdivision 12</w:t>
      </w:r>
      <w:r w:rsidR="00945E55">
        <w:rPr>
          <w:rFonts w:ascii="Times New Roman" w:hAnsi="Times New Roman" w:cs="Times New Roman"/>
          <w:sz w:val="28"/>
          <w:szCs w:val="28"/>
        </w:rPr>
        <w:t>)</w:t>
      </w:r>
      <w:r>
        <w:rPr>
          <w:rFonts w:ascii="Times New Roman" w:hAnsi="Times New Roman" w:cs="Times New Roman"/>
          <w:sz w:val="28"/>
          <w:szCs w:val="28"/>
        </w:rPr>
        <w:t>.</w:t>
      </w:r>
      <w:r w:rsidR="005F0F02">
        <w:rPr>
          <w:rStyle w:val="FootnoteReference"/>
          <w:rFonts w:ascii="Times New Roman" w:hAnsi="Times New Roman" w:cs="Times New Roman"/>
          <w:sz w:val="28"/>
          <w:szCs w:val="28"/>
        </w:rPr>
        <w:footnoteReference w:id="7"/>
      </w:r>
    </w:p>
    <w:p w14:paraId="56E785C5" w14:textId="597800A9" w:rsidR="00DD7371" w:rsidRPr="00DD7371" w:rsidRDefault="00DD7371" w:rsidP="00DD7371">
      <w:pPr>
        <w:ind w:left="720"/>
        <w:rPr>
          <w:rFonts w:ascii="Times New Roman" w:hAnsi="Times New Roman" w:cs="Times New Roman"/>
          <w:sz w:val="28"/>
          <w:szCs w:val="28"/>
          <w:u w:val="single"/>
          <w:shd w:val="clear" w:color="auto" w:fill="FFFFFF"/>
        </w:rPr>
      </w:pPr>
      <w:r>
        <w:rPr>
          <w:rFonts w:ascii="Times New Roman" w:hAnsi="Times New Roman" w:cs="Times New Roman"/>
          <w:sz w:val="28"/>
          <w:szCs w:val="28"/>
          <w:u w:val="single"/>
        </w:rPr>
        <w:t>The definition of “tenant” in the TRA was designed to help traditional tenants as well as licensee-type roommates with repair problems.</w:t>
      </w:r>
    </w:p>
    <w:p w14:paraId="7F772C3E" w14:textId="1A865756" w:rsidR="000F1985" w:rsidRDefault="000F1985" w:rsidP="002141F1">
      <w:pPr>
        <w:rPr>
          <w:rFonts w:ascii="Times New Roman" w:hAnsi="Times New Roman" w:cs="Times New Roman"/>
          <w:sz w:val="28"/>
          <w:szCs w:val="28"/>
        </w:rPr>
      </w:pPr>
      <w:r>
        <w:rPr>
          <w:rFonts w:ascii="Times New Roman" w:hAnsi="Times New Roman" w:cs="Times New Roman"/>
          <w:sz w:val="28"/>
          <w:szCs w:val="28"/>
        </w:rPr>
        <w:t xml:space="preserve">Minn. Stat. </w:t>
      </w:r>
      <w:r w:rsidRPr="00D1363F">
        <w:rPr>
          <w:rFonts w:ascii="Times New Roman" w:hAnsi="Times New Roman" w:cs="Times New Roman"/>
          <w:sz w:val="28"/>
          <w:szCs w:val="28"/>
        </w:rPr>
        <w:t>§ 5</w:t>
      </w:r>
      <w:r>
        <w:rPr>
          <w:rFonts w:ascii="Times New Roman" w:hAnsi="Times New Roman" w:cs="Times New Roman"/>
          <w:sz w:val="28"/>
          <w:szCs w:val="28"/>
        </w:rPr>
        <w:t xml:space="preserve">66.18 was the definitional section of a group of statutes, Minn. Stat. </w:t>
      </w:r>
      <w:r w:rsidRPr="00D1363F">
        <w:rPr>
          <w:rFonts w:ascii="Times New Roman" w:hAnsi="Times New Roman" w:cs="Times New Roman"/>
          <w:sz w:val="28"/>
          <w:szCs w:val="28"/>
        </w:rPr>
        <w:t>§ 5</w:t>
      </w:r>
      <w:r>
        <w:rPr>
          <w:rFonts w:ascii="Times New Roman" w:hAnsi="Times New Roman" w:cs="Times New Roman"/>
          <w:sz w:val="28"/>
          <w:szCs w:val="28"/>
        </w:rPr>
        <w:t>66.18-566.33</w:t>
      </w:r>
      <w:r w:rsidR="005E5BE8">
        <w:rPr>
          <w:rFonts w:ascii="Times New Roman" w:hAnsi="Times New Roman" w:cs="Times New Roman"/>
          <w:sz w:val="28"/>
          <w:szCs w:val="28"/>
        </w:rPr>
        <w:t>,</w:t>
      </w:r>
      <w:r>
        <w:rPr>
          <w:rFonts w:ascii="Times New Roman" w:hAnsi="Times New Roman" w:cs="Times New Roman"/>
          <w:sz w:val="28"/>
          <w:szCs w:val="28"/>
        </w:rPr>
        <w:t xml:space="preserve"> called the Tenant Remedies Act</w:t>
      </w:r>
      <w:r w:rsidR="00711F2C">
        <w:rPr>
          <w:rFonts w:ascii="Times New Roman" w:hAnsi="Times New Roman" w:cs="Times New Roman"/>
          <w:sz w:val="28"/>
          <w:szCs w:val="28"/>
        </w:rPr>
        <w:t xml:space="preserve"> (“TRA”)</w:t>
      </w:r>
      <w:r>
        <w:rPr>
          <w:rFonts w:ascii="Times New Roman" w:hAnsi="Times New Roman" w:cs="Times New Roman"/>
          <w:sz w:val="28"/>
          <w:szCs w:val="28"/>
        </w:rPr>
        <w:t>. Th</w:t>
      </w:r>
      <w:r w:rsidR="00711F2C">
        <w:rPr>
          <w:rFonts w:ascii="Times New Roman" w:hAnsi="Times New Roman" w:cs="Times New Roman"/>
          <w:sz w:val="28"/>
          <w:szCs w:val="28"/>
        </w:rPr>
        <w:t>e TRA</w:t>
      </w:r>
      <w:r>
        <w:rPr>
          <w:rFonts w:ascii="Times New Roman" w:hAnsi="Times New Roman" w:cs="Times New Roman"/>
          <w:sz w:val="28"/>
          <w:szCs w:val="28"/>
        </w:rPr>
        <w:t xml:space="preserve"> </w:t>
      </w:r>
      <w:r w:rsidR="00711F2C">
        <w:rPr>
          <w:rFonts w:ascii="Times New Roman" w:hAnsi="Times New Roman" w:cs="Times New Roman"/>
          <w:sz w:val="28"/>
          <w:szCs w:val="28"/>
        </w:rPr>
        <w:t xml:space="preserve">was enacted as </w:t>
      </w:r>
      <w:hyperlink r:id="rId20" w:history="1">
        <w:r w:rsidR="00EB1426" w:rsidRPr="00291A32">
          <w:rPr>
            <w:rStyle w:val="Hyperlink"/>
            <w:rFonts w:ascii="Times New Roman" w:hAnsi="Times New Roman" w:cs="Times New Roman"/>
            <w:sz w:val="28"/>
            <w:szCs w:val="28"/>
          </w:rPr>
          <w:t xml:space="preserve">1973 Minn. Laws </w:t>
        </w:r>
        <w:proofErr w:type="spellStart"/>
        <w:r w:rsidR="00EB1426" w:rsidRPr="00291A32">
          <w:rPr>
            <w:rStyle w:val="Hyperlink"/>
            <w:rFonts w:ascii="Times New Roman" w:hAnsi="Times New Roman" w:cs="Times New Roman"/>
            <w:sz w:val="28"/>
            <w:szCs w:val="28"/>
          </w:rPr>
          <w:t>ch.</w:t>
        </w:r>
        <w:proofErr w:type="spellEnd"/>
        <w:r w:rsidR="00EB1426" w:rsidRPr="00291A32">
          <w:rPr>
            <w:rStyle w:val="Hyperlink"/>
            <w:rFonts w:ascii="Times New Roman" w:hAnsi="Times New Roman" w:cs="Times New Roman"/>
            <w:sz w:val="28"/>
            <w:szCs w:val="28"/>
          </w:rPr>
          <w:t xml:space="preserve"> 611, s. </w:t>
        </w:r>
        <w:r w:rsidR="00291A32" w:rsidRPr="00291A32">
          <w:rPr>
            <w:rStyle w:val="Hyperlink"/>
            <w:rFonts w:ascii="Times New Roman" w:hAnsi="Times New Roman" w:cs="Times New Roman"/>
            <w:sz w:val="28"/>
            <w:szCs w:val="28"/>
          </w:rPr>
          <w:t>13-28</w:t>
        </w:r>
      </w:hyperlink>
      <w:r w:rsidR="00711F2C">
        <w:rPr>
          <w:rFonts w:ascii="Times New Roman" w:hAnsi="Times New Roman" w:cs="Times New Roman"/>
          <w:sz w:val="28"/>
          <w:szCs w:val="28"/>
        </w:rPr>
        <w:t xml:space="preserve">. It </w:t>
      </w:r>
      <w:r>
        <w:rPr>
          <w:rFonts w:ascii="Times New Roman" w:hAnsi="Times New Roman" w:cs="Times New Roman"/>
          <w:sz w:val="28"/>
          <w:szCs w:val="28"/>
        </w:rPr>
        <w:t xml:space="preserve">provided a procedure dwelling occupants </w:t>
      </w:r>
      <w:r>
        <w:rPr>
          <w:rFonts w:ascii="Times New Roman" w:hAnsi="Times New Roman" w:cs="Times New Roman"/>
          <w:sz w:val="28"/>
          <w:szCs w:val="28"/>
        </w:rPr>
        <w:lastRenderedPageBreak/>
        <w:t xml:space="preserve">could use to enforce their right to repair when the “owner” did not obey a city inspector’s order to </w:t>
      </w:r>
      <w:r w:rsidR="00F5180D">
        <w:rPr>
          <w:rFonts w:ascii="Times New Roman" w:hAnsi="Times New Roman" w:cs="Times New Roman"/>
          <w:sz w:val="28"/>
          <w:szCs w:val="28"/>
        </w:rPr>
        <w:t xml:space="preserve">fix the unit </w:t>
      </w:r>
      <w:r>
        <w:rPr>
          <w:rFonts w:ascii="Times New Roman" w:hAnsi="Times New Roman" w:cs="Times New Roman"/>
          <w:sz w:val="28"/>
          <w:szCs w:val="28"/>
        </w:rPr>
        <w:t>up to the city’s tenan</w:t>
      </w:r>
      <w:r w:rsidR="00F5180D">
        <w:rPr>
          <w:rFonts w:ascii="Times New Roman" w:hAnsi="Times New Roman" w:cs="Times New Roman"/>
          <w:sz w:val="28"/>
          <w:szCs w:val="28"/>
        </w:rPr>
        <w:t>cy</w:t>
      </w:r>
      <w:r>
        <w:rPr>
          <w:rFonts w:ascii="Times New Roman" w:hAnsi="Times New Roman" w:cs="Times New Roman"/>
          <w:sz w:val="28"/>
          <w:szCs w:val="28"/>
        </w:rPr>
        <w:t>-repair code.</w:t>
      </w:r>
    </w:p>
    <w:p w14:paraId="58CE5A28" w14:textId="5EB2FE3A" w:rsidR="00711F2C" w:rsidRDefault="00711F2C" w:rsidP="002141F1">
      <w:pPr>
        <w:rPr>
          <w:rFonts w:ascii="Times New Roman" w:hAnsi="Times New Roman" w:cs="Times New Roman"/>
          <w:sz w:val="28"/>
          <w:szCs w:val="28"/>
        </w:rPr>
      </w:pPr>
      <w:r>
        <w:rPr>
          <w:rFonts w:ascii="Times New Roman" w:hAnsi="Times New Roman" w:cs="Times New Roman"/>
          <w:sz w:val="28"/>
          <w:szCs w:val="28"/>
        </w:rPr>
        <w:t xml:space="preserve">Why did the TRA use an expansive definition of “tenant”? Committee minutes shed no light on the issue and tape recordings of floor and committee debates </w:t>
      </w:r>
      <w:r w:rsidR="00945E55">
        <w:rPr>
          <w:rFonts w:ascii="Times New Roman" w:hAnsi="Times New Roman" w:cs="Times New Roman"/>
          <w:sz w:val="28"/>
          <w:szCs w:val="28"/>
        </w:rPr>
        <w:t>have</w:t>
      </w:r>
      <w:r>
        <w:rPr>
          <w:rFonts w:ascii="Times New Roman" w:hAnsi="Times New Roman" w:cs="Times New Roman"/>
          <w:sz w:val="28"/>
          <w:szCs w:val="28"/>
        </w:rPr>
        <w:t xml:space="preserve"> long since</w:t>
      </w:r>
      <w:r w:rsidR="00945E55">
        <w:rPr>
          <w:rFonts w:ascii="Times New Roman" w:hAnsi="Times New Roman" w:cs="Times New Roman"/>
          <w:sz w:val="28"/>
          <w:szCs w:val="28"/>
        </w:rPr>
        <w:t xml:space="preserve"> been</w:t>
      </w:r>
      <w:r>
        <w:rPr>
          <w:rFonts w:ascii="Times New Roman" w:hAnsi="Times New Roman" w:cs="Times New Roman"/>
          <w:sz w:val="28"/>
          <w:szCs w:val="28"/>
        </w:rPr>
        <w:t xml:space="preserve"> destroyed. However, some history of the 1971 legislative session is instructive.</w:t>
      </w:r>
    </w:p>
    <w:p w14:paraId="788E10F7" w14:textId="7308B642" w:rsidR="00711F2C" w:rsidRDefault="00E014FA" w:rsidP="002141F1">
      <w:pPr>
        <w:rPr>
          <w:rFonts w:ascii="Times New Roman" w:hAnsi="Times New Roman" w:cs="Times New Roman"/>
          <w:sz w:val="28"/>
          <w:szCs w:val="28"/>
        </w:rPr>
      </w:pPr>
      <w:r>
        <w:rPr>
          <w:rFonts w:ascii="Times New Roman" w:hAnsi="Times New Roman" w:cs="Times New Roman"/>
          <w:sz w:val="28"/>
          <w:szCs w:val="28"/>
        </w:rPr>
        <w:t xml:space="preserve">A package of three tenants’ rights bills was introduced in </w:t>
      </w:r>
      <w:r w:rsidR="00FC579D">
        <w:rPr>
          <w:rFonts w:ascii="Times New Roman" w:hAnsi="Times New Roman" w:cs="Times New Roman"/>
          <w:sz w:val="28"/>
          <w:szCs w:val="28"/>
        </w:rPr>
        <w:t>1971 – 1971 HF 1161, 1971 HF 1162, and 1971 HF 1163.</w:t>
      </w:r>
      <w:r w:rsidR="001B1131">
        <w:rPr>
          <w:rStyle w:val="FootnoteReference"/>
          <w:rFonts w:ascii="Times New Roman" w:hAnsi="Times New Roman" w:cs="Times New Roman"/>
          <w:sz w:val="28"/>
          <w:szCs w:val="28"/>
        </w:rPr>
        <w:footnoteReference w:id="8"/>
      </w:r>
      <w:r w:rsidR="00FC579D" w:rsidRPr="00053731">
        <w:rPr>
          <w:rFonts w:ascii="Times New Roman" w:hAnsi="Times New Roman" w:cs="Times New Roman"/>
          <w:color w:val="FF0000"/>
          <w:sz w:val="28"/>
          <w:szCs w:val="28"/>
        </w:rPr>
        <w:t xml:space="preserve"> </w:t>
      </w:r>
      <w:r w:rsidR="00FC579D">
        <w:rPr>
          <w:rFonts w:ascii="Times New Roman" w:hAnsi="Times New Roman" w:cs="Times New Roman"/>
          <w:sz w:val="28"/>
          <w:szCs w:val="28"/>
        </w:rPr>
        <w:t>H</w:t>
      </w:r>
      <w:r w:rsidR="00053731">
        <w:rPr>
          <w:rFonts w:ascii="Times New Roman" w:hAnsi="Times New Roman" w:cs="Times New Roman"/>
          <w:sz w:val="28"/>
          <w:szCs w:val="28"/>
        </w:rPr>
        <w:t>F</w:t>
      </w:r>
      <w:r w:rsidR="00FC579D">
        <w:rPr>
          <w:rFonts w:ascii="Times New Roman" w:hAnsi="Times New Roman" w:cs="Times New Roman"/>
          <w:sz w:val="28"/>
          <w:szCs w:val="28"/>
        </w:rPr>
        <w:t xml:space="preserve">1161 became what is known as the Covenants of Habitability, now codified at </w:t>
      </w:r>
      <w:hyperlink r:id="rId21" w:history="1">
        <w:r w:rsidR="00FC579D" w:rsidRPr="00053731">
          <w:rPr>
            <w:rStyle w:val="Hyperlink"/>
            <w:rFonts w:ascii="Times New Roman" w:hAnsi="Times New Roman" w:cs="Times New Roman"/>
            <w:sz w:val="28"/>
            <w:szCs w:val="28"/>
          </w:rPr>
          <w:t>Minn. Stat. § 504B.161</w:t>
        </w:r>
      </w:hyperlink>
      <w:r w:rsidR="00FC579D">
        <w:rPr>
          <w:rFonts w:ascii="Times New Roman" w:hAnsi="Times New Roman" w:cs="Times New Roman"/>
          <w:sz w:val="28"/>
          <w:szCs w:val="28"/>
        </w:rPr>
        <w:t>. H</w:t>
      </w:r>
      <w:r w:rsidR="00332484">
        <w:rPr>
          <w:rFonts w:ascii="Times New Roman" w:hAnsi="Times New Roman" w:cs="Times New Roman"/>
          <w:sz w:val="28"/>
          <w:szCs w:val="28"/>
        </w:rPr>
        <w:t>F</w:t>
      </w:r>
      <w:r w:rsidR="00FC579D">
        <w:rPr>
          <w:rFonts w:ascii="Times New Roman" w:hAnsi="Times New Roman" w:cs="Times New Roman"/>
          <w:sz w:val="28"/>
          <w:szCs w:val="28"/>
        </w:rPr>
        <w:t>1162 became the statute protecting tenants against anti-retaliatory terminations of periodic leases</w:t>
      </w:r>
      <w:r w:rsidR="005E5BE8">
        <w:rPr>
          <w:rFonts w:ascii="Times New Roman" w:hAnsi="Times New Roman" w:cs="Times New Roman"/>
          <w:sz w:val="28"/>
          <w:szCs w:val="28"/>
        </w:rPr>
        <w:t>,</w:t>
      </w:r>
      <w:r w:rsidR="00FC579D">
        <w:rPr>
          <w:rFonts w:ascii="Times New Roman" w:hAnsi="Times New Roman" w:cs="Times New Roman"/>
          <w:sz w:val="28"/>
          <w:szCs w:val="28"/>
        </w:rPr>
        <w:t xml:space="preserve"> now codified at </w:t>
      </w:r>
      <w:hyperlink r:id="rId22" w:history="1">
        <w:r w:rsidR="00FC579D" w:rsidRPr="00053731">
          <w:rPr>
            <w:rStyle w:val="Hyperlink"/>
            <w:rFonts w:ascii="Times New Roman" w:hAnsi="Times New Roman" w:cs="Times New Roman"/>
            <w:sz w:val="28"/>
            <w:szCs w:val="28"/>
          </w:rPr>
          <w:t>Minn. Stat. § 504B.285, subd. 2</w:t>
        </w:r>
      </w:hyperlink>
      <w:r w:rsidR="00FC579D">
        <w:rPr>
          <w:rFonts w:ascii="Times New Roman" w:hAnsi="Times New Roman" w:cs="Times New Roman"/>
          <w:sz w:val="28"/>
          <w:szCs w:val="28"/>
        </w:rPr>
        <w:t>.</w:t>
      </w:r>
      <w:r w:rsidR="00332484">
        <w:rPr>
          <w:rFonts w:ascii="Times New Roman" w:hAnsi="Times New Roman" w:cs="Times New Roman"/>
          <w:sz w:val="28"/>
          <w:szCs w:val="28"/>
        </w:rPr>
        <w:t xml:space="preserve"> HF1163 was the TRA in nearly the same form as the law passed in 1973.</w:t>
      </w:r>
      <w:r w:rsidR="00A5031F">
        <w:rPr>
          <w:rStyle w:val="FootnoteReference"/>
          <w:rFonts w:ascii="Times New Roman" w:hAnsi="Times New Roman" w:cs="Times New Roman"/>
          <w:sz w:val="28"/>
          <w:szCs w:val="28"/>
        </w:rPr>
        <w:footnoteReference w:id="9"/>
      </w:r>
      <w:r w:rsidR="00332484">
        <w:rPr>
          <w:rFonts w:ascii="Times New Roman" w:hAnsi="Times New Roman" w:cs="Times New Roman"/>
          <w:sz w:val="28"/>
          <w:szCs w:val="28"/>
        </w:rPr>
        <w:t xml:space="preserve"> </w:t>
      </w:r>
      <w:r w:rsidR="00CC6A63">
        <w:rPr>
          <w:rFonts w:ascii="Times New Roman" w:hAnsi="Times New Roman" w:cs="Times New Roman"/>
          <w:sz w:val="28"/>
          <w:szCs w:val="28"/>
        </w:rPr>
        <w:t>The first two files made it through the process and were signed into law that May.</w:t>
      </w:r>
      <w:r w:rsidR="00CC6A63">
        <w:rPr>
          <w:rStyle w:val="FootnoteReference"/>
          <w:rFonts w:ascii="Times New Roman" w:hAnsi="Times New Roman" w:cs="Times New Roman"/>
          <w:sz w:val="28"/>
          <w:szCs w:val="28"/>
        </w:rPr>
        <w:footnoteReference w:id="10"/>
      </w:r>
      <w:r w:rsidR="00CC6A63" w:rsidRPr="00053731">
        <w:rPr>
          <w:rFonts w:ascii="Times New Roman" w:hAnsi="Times New Roman" w:cs="Times New Roman"/>
          <w:color w:val="FF0000"/>
          <w:sz w:val="28"/>
          <w:szCs w:val="28"/>
        </w:rPr>
        <w:t xml:space="preserve"> </w:t>
      </w:r>
      <w:r w:rsidR="00332484">
        <w:rPr>
          <w:rFonts w:ascii="Times New Roman" w:hAnsi="Times New Roman" w:cs="Times New Roman"/>
          <w:sz w:val="28"/>
          <w:szCs w:val="28"/>
        </w:rPr>
        <w:t xml:space="preserve">As discussed in </w:t>
      </w:r>
      <w:hyperlink r:id="rId23" w:history="1">
        <w:r w:rsidR="00053731" w:rsidRPr="001B1131">
          <w:rPr>
            <w:rStyle w:val="Hyperlink"/>
            <w:rFonts w:ascii="Times New Roman" w:hAnsi="Times New Roman" w:cs="Times New Roman"/>
            <w:sz w:val="28"/>
            <w:szCs w:val="28"/>
          </w:rPr>
          <w:t>this</w:t>
        </w:r>
        <w:r w:rsidR="00332484" w:rsidRPr="001B1131">
          <w:rPr>
            <w:rStyle w:val="Hyperlink"/>
            <w:rFonts w:ascii="Times New Roman" w:hAnsi="Times New Roman" w:cs="Times New Roman"/>
            <w:sz w:val="28"/>
            <w:szCs w:val="28"/>
          </w:rPr>
          <w:t xml:space="preserve"> news articl</w:t>
        </w:r>
        <w:r w:rsidR="00522914">
          <w:rPr>
            <w:rStyle w:val="Hyperlink"/>
            <w:rFonts w:ascii="Times New Roman" w:hAnsi="Times New Roman" w:cs="Times New Roman"/>
            <w:sz w:val="28"/>
            <w:szCs w:val="28"/>
          </w:rPr>
          <w:t>e from the May 28, 1971 Minneapolis Star</w:t>
        </w:r>
      </w:hyperlink>
      <w:r w:rsidR="00332484">
        <w:rPr>
          <w:rFonts w:ascii="Times New Roman" w:hAnsi="Times New Roman" w:cs="Times New Roman"/>
          <w:sz w:val="28"/>
          <w:szCs w:val="28"/>
        </w:rPr>
        <w:t>, HF1163 died due to horse-trading at the end of the legislative session.</w:t>
      </w:r>
      <w:r w:rsidR="0051150B">
        <w:rPr>
          <w:rStyle w:val="FootnoteReference"/>
          <w:rFonts w:ascii="Times New Roman" w:hAnsi="Times New Roman" w:cs="Times New Roman"/>
          <w:sz w:val="28"/>
          <w:szCs w:val="28"/>
        </w:rPr>
        <w:footnoteReference w:id="11"/>
      </w:r>
    </w:p>
    <w:p w14:paraId="7D0BF0D0" w14:textId="0CBD5A56" w:rsidR="00A659BB" w:rsidRDefault="00A659BB" w:rsidP="002141F1">
      <w:pPr>
        <w:rPr>
          <w:rFonts w:ascii="Times New Roman" w:hAnsi="Times New Roman" w:cs="Times New Roman"/>
          <w:sz w:val="28"/>
          <w:szCs w:val="28"/>
        </w:rPr>
      </w:pPr>
      <w:r>
        <w:rPr>
          <w:rFonts w:ascii="Times New Roman" w:hAnsi="Times New Roman" w:cs="Times New Roman"/>
          <w:sz w:val="28"/>
          <w:szCs w:val="28"/>
        </w:rPr>
        <w:t xml:space="preserve">What is noteworthy about this package of bills is that </w:t>
      </w:r>
      <w:r w:rsidR="00053731">
        <w:rPr>
          <w:rFonts w:ascii="Times New Roman" w:hAnsi="Times New Roman" w:cs="Times New Roman"/>
          <w:sz w:val="28"/>
          <w:szCs w:val="28"/>
        </w:rPr>
        <w:t>both</w:t>
      </w:r>
      <w:r>
        <w:rPr>
          <w:rFonts w:ascii="Times New Roman" w:hAnsi="Times New Roman" w:cs="Times New Roman"/>
          <w:sz w:val="28"/>
          <w:szCs w:val="28"/>
        </w:rPr>
        <w:t xml:space="preserve"> bills affording dwelling occupants repair</w:t>
      </w:r>
      <w:r w:rsidR="00FD489D">
        <w:rPr>
          <w:rFonts w:ascii="Times New Roman" w:hAnsi="Times New Roman" w:cs="Times New Roman"/>
          <w:sz w:val="28"/>
          <w:szCs w:val="28"/>
        </w:rPr>
        <w:t xml:space="preserve"> rights</w:t>
      </w:r>
      <w:r>
        <w:rPr>
          <w:rFonts w:ascii="Times New Roman" w:hAnsi="Times New Roman" w:cs="Times New Roman"/>
          <w:sz w:val="28"/>
          <w:szCs w:val="28"/>
        </w:rPr>
        <w:t xml:space="preserve"> </w:t>
      </w:r>
      <w:r w:rsidR="00375DF1">
        <w:rPr>
          <w:rFonts w:ascii="Times New Roman" w:hAnsi="Times New Roman" w:cs="Times New Roman"/>
          <w:sz w:val="28"/>
          <w:szCs w:val="28"/>
        </w:rPr>
        <w:t xml:space="preserve">– HF1161 and HF1163 -- </w:t>
      </w:r>
      <w:r>
        <w:rPr>
          <w:rFonts w:ascii="Times New Roman" w:hAnsi="Times New Roman" w:cs="Times New Roman"/>
          <w:sz w:val="28"/>
          <w:szCs w:val="28"/>
        </w:rPr>
        <w:t xml:space="preserve">protected </w:t>
      </w:r>
      <w:r w:rsidR="00053731">
        <w:rPr>
          <w:rFonts w:ascii="Times New Roman" w:hAnsi="Times New Roman" w:cs="Times New Roman"/>
          <w:sz w:val="28"/>
          <w:szCs w:val="28"/>
        </w:rPr>
        <w:t>more than</w:t>
      </w:r>
      <w:r>
        <w:rPr>
          <w:rFonts w:ascii="Times New Roman" w:hAnsi="Times New Roman" w:cs="Times New Roman"/>
          <w:sz w:val="28"/>
          <w:szCs w:val="28"/>
        </w:rPr>
        <w:t xml:space="preserve"> traditional dwelling tenants</w:t>
      </w:r>
      <w:r w:rsidR="009A7B58">
        <w:rPr>
          <w:rFonts w:ascii="Times New Roman" w:hAnsi="Times New Roman" w:cs="Times New Roman"/>
          <w:sz w:val="28"/>
          <w:szCs w:val="28"/>
        </w:rPr>
        <w:t xml:space="preserve">. </w:t>
      </w:r>
      <w:r w:rsidR="00070613">
        <w:rPr>
          <w:rFonts w:ascii="Times New Roman" w:hAnsi="Times New Roman" w:cs="Times New Roman"/>
          <w:sz w:val="28"/>
          <w:szCs w:val="28"/>
        </w:rPr>
        <w:t xml:space="preserve">The original </w:t>
      </w:r>
      <w:r w:rsidR="009A7B58">
        <w:rPr>
          <w:rFonts w:ascii="Times New Roman" w:hAnsi="Times New Roman" w:cs="Times New Roman"/>
          <w:sz w:val="28"/>
          <w:szCs w:val="28"/>
        </w:rPr>
        <w:t xml:space="preserve">HF1161 </w:t>
      </w:r>
      <w:r w:rsidR="00070613">
        <w:rPr>
          <w:rFonts w:ascii="Times New Roman" w:hAnsi="Times New Roman" w:cs="Times New Roman"/>
          <w:sz w:val="28"/>
          <w:szCs w:val="28"/>
        </w:rPr>
        <w:t>bill</w:t>
      </w:r>
      <w:r w:rsidR="00070613">
        <w:rPr>
          <w:rStyle w:val="FootnoteReference"/>
          <w:rFonts w:ascii="Times New Roman" w:hAnsi="Times New Roman" w:cs="Times New Roman"/>
          <w:sz w:val="28"/>
          <w:szCs w:val="28"/>
        </w:rPr>
        <w:footnoteReference w:id="12"/>
      </w:r>
      <w:r w:rsidR="00070613">
        <w:rPr>
          <w:rFonts w:ascii="Times New Roman" w:hAnsi="Times New Roman" w:cs="Times New Roman"/>
          <w:sz w:val="28"/>
          <w:szCs w:val="28"/>
        </w:rPr>
        <w:t xml:space="preserve"> </w:t>
      </w:r>
      <w:r w:rsidR="009A7B58">
        <w:rPr>
          <w:rFonts w:ascii="Times New Roman" w:hAnsi="Times New Roman" w:cs="Times New Roman"/>
          <w:sz w:val="28"/>
          <w:szCs w:val="28"/>
        </w:rPr>
        <w:t>began as follows:</w:t>
      </w:r>
    </w:p>
    <w:p w14:paraId="38DCE212" w14:textId="5F4E6B0B" w:rsidR="00625E8A" w:rsidRDefault="00070613" w:rsidP="00625E8A">
      <w:pPr>
        <w:ind w:left="720"/>
        <w:rPr>
          <w:rFonts w:ascii="Times New Roman" w:hAnsi="Times New Roman" w:cs="Times New Roman"/>
          <w:sz w:val="28"/>
          <w:szCs w:val="28"/>
        </w:rPr>
      </w:pPr>
      <w:r w:rsidRPr="00070613">
        <w:rPr>
          <w:rFonts w:ascii="Times New Roman" w:hAnsi="Times New Roman" w:cs="Times New Roman"/>
          <w:bCs/>
          <w:sz w:val="28"/>
          <w:szCs w:val="28"/>
        </w:rPr>
        <w:t>[504.18] Subdivision 1</w:t>
      </w:r>
      <w:r w:rsidRPr="00070613">
        <w:rPr>
          <w:rFonts w:ascii="Times New Roman" w:hAnsi="Times New Roman" w:cs="Times New Roman"/>
          <w:sz w:val="28"/>
          <w:szCs w:val="28"/>
        </w:rPr>
        <w:t xml:space="preserve">. In every lease or </w:t>
      </w:r>
      <w:r w:rsidRPr="00070613">
        <w:rPr>
          <w:rFonts w:ascii="Times New Roman" w:hAnsi="Times New Roman" w:cs="Times New Roman"/>
          <w:sz w:val="28"/>
          <w:szCs w:val="28"/>
          <w:u w:val="single"/>
        </w:rPr>
        <w:t>license</w:t>
      </w:r>
      <w:r w:rsidRPr="00070613">
        <w:rPr>
          <w:rFonts w:ascii="Times New Roman" w:hAnsi="Times New Roman" w:cs="Times New Roman"/>
          <w:sz w:val="28"/>
          <w:szCs w:val="28"/>
        </w:rPr>
        <w:t xml:space="preserve"> of residential premises, whether in writing or </w:t>
      </w:r>
      <w:proofErr w:type="spellStart"/>
      <w:r w:rsidRPr="00070613">
        <w:rPr>
          <w:rFonts w:ascii="Times New Roman" w:hAnsi="Times New Roman" w:cs="Times New Roman"/>
          <w:sz w:val="28"/>
          <w:szCs w:val="28"/>
        </w:rPr>
        <w:t>parol</w:t>
      </w:r>
      <w:proofErr w:type="spellEnd"/>
      <w:r w:rsidRPr="00070613">
        <w:rPr>
          <w:rFonts w:ascii="Times New Roman" w:hAnsi="Times New Roman" w:cs="Times New Roman"/>
          <w:sz w:val="28"/>
          <w:szCs w:val="28"/>
        </w:rPr>
        <w:t xml:space="preserve">, the lessor </w:t>
      </w:r>
      <w:r w:rsidRPr="00070613">
        <w:rPr>
          <w:rFonts w:ascii="Times New Roman" w:hAnsi="Times New Roman" w:cs="Times New Roman"/>
          <w:sz w:val="28"/>
          <w:szCs w:val="28"/>
          <w:u w:val="single"/>
        </w:rPr>
        <w:t>or licensor</w:t>
      </w:r>
      <w:r w:rsidRPr="00070613">
        <w:rPr>
          <w:rFonts w:ascii="Times New Roman" w:hAnsi="Times New Roman" w:cs="Times New Roman"/>
          <w:sz w:val="28"/>
          <w:szCs w:val="28"/>
        </w:rPr>
        <w:t xml:space="preserve"> covenants: </w:t>
      </w:r>
    </w:p>
    <w:p w14:paraId="279E7A0F" w14:textId="24BB19E3" w:rsidR="00070613" w:rsidRPr="00070613" w:rsidRDefault="00070613" w:rsidP="00625E8A">
      <w:pPr>
        <w:ind w:left="1440"/>
        <w:rPr>
          <w:rFonts w:ascii="Times New Roman" w:hAnsi="Times New Roman" w:cs="Times New Roman"/>
          <w:sz w:val="28"/>
          <w:szCs w:val="28"/>
        </w:rPr>
      </w:pPr>
      <w:r w:rsidRPr="00070613">
        <w:rPr>
          <w:rFonts w:ascii="Times New Roman" w:hAnsi="Times New Roman" w:cs="Times New Roman"/>
          <w:sz w:val="28"/>
          <w:szCs w:val="28"/>
        </w:rPr>
        <w:t xml:space="preserve">(a) That the premises and all common areas are fit for the use intended by the parties.  </w:t>
      </w:r>
    </w:p>
    <w:p w14:paraId="1F6F58A8" w14:textId="77777777" w:rsidR="00625E8A" w:rsidRDefault="00070613" w:rsidP="00625E8A">
      <w:pPr>
        <w:ind w:left="1440"/>
        <w:rPr>
          <w:rFonts w:ascii="Times New Roman" w:hAnsi="Times New Roman" w:cs="Times New Roman"/>
          <w:sz w:val="28"/>
          <w:szCs w:val="28"/>
        </w:rPr>
      </w:pPr>
      <w:r w:rsidRPr="00070613">
        <w:rPr>
          <w:rFonts w:ascii="Times New Roman" w:hAnsi="Times New Roman" w:cs="Times New Roman"/>
          <w:sz w:val="28"/>
          <w:szCs w:val="28"/>
        </w:rPr>
        <w:lastRenderedPageBreak/>
        <w:t xml:space="preserve">(b) To keep the premises in reasonable repair during the term of the lease or license, and </w:t>
      </w:r>
    </w:p>
    <w:p w14:paraId="4A549AE6" w14:textId="6A64286A" w:rsidR="00070613" w:rsidRPr="00070613" w:rsidRDefault="00070613" w:rsidP="00625E8A">
      <w:pPr>
        <w:ind w:left="1440"/>
        <w:rPr>
          <w:rFonts w:ascii="Times New Roman" w:hAnsi="Times New Roman" w:cs="Times New Roman"/>
          <w:sz w:val="28"/>
          <w:szCs w:val="28"/>
        </w:rPr>
      </w:pPr>
      <w:r w:rsidRPr="00070613">
        <w:rPr>
          <w:rFonts w:ascii="Times New Roman" w:hAnsi="Times New Roman" w:cs="Times New Roman"/>
          <w:sz w:val="28"/>
          <w:szCs w:val="28"/>
        </w:rPr>
        <w:t xml:space="preserve">[c] to comply with the applicable health and safety laws of the state and of the local unit of government where the premises are located, except when the disrepair or violation of the applicable health or safety laws has been caused by the willful, malicious, or irresponsible conduct of the lessee </w:t>
      </w:r>
      <w:r w:rsidRPr="00070613">
        <w:rPr>
          <w:rFonts w:ascii="Times New Roman" w:hAnsi="Times New Roman" w:cs="Times New Roman"/>
          <w:sz w:val="28"/>
          <w:szCs w:val="28"/>
          <w:u w:val="single"/>
        </w:rPr>
        <w:t>or licensee.</w:t>
      </w:r>
    </w:p>
    <w:p w14:paraId="01075D64" w14:textId="77777777" w:rsidR="00070613" w:rsidRDefault="00F5383A" w:rsidP="002141F1">
      <w:pPr>
        <w:rPr>
          <w:rFonts w:ascii="Times New Roman" w:hAnsi="Times New Roman" w:cs="Times New Roman"/>
          <w:sz w:val="28"/>
          <w:szCs w:val="28"/>
        </w:rPr>
      </w:pPr>
      <w:r>
        <w:rPr>
          <w:rFonts w:ascii="Times New Roman" w:hAnsi="Times New Roman" w:cs="Times New Roman"/>
          <w:sz w:val="28"/>
          <w:szCs w:val="28"/>
        </w:rPr>
        <w:t>(</w:t>
      </w:r>
      <w:proofErr w:type="gramStart"/>
      <w:r>
        <w:rPr>
          <w:rFonts w:ascii="Times New Roman" w:hAnsi="Times New Roman" w:cs="Times New Roman"/>
          <w:sz w:val="28"/>
          <w:szCs w:val="28"/>
        </w:rPr>
        <w:t>emphasis</w:t>
      </w:r>
      <w:proofErr w:type="gramEnd"/>
      <w:r>
        <w:rPr>
          <w:rFonts w:ascii="Times New Roman" w:hAnsi="Times New Roman" w:cs="Times New Roman"/>
          <w:sz w:val="28"/>
          <w:szCs w:val="28"/>
        </w:rPr>
        <w:t xml:space="preserve"> added). </w:t>
      </w:r>
    </w:p>
    <w:p w14:paraId="738775C9" w14:textId="2485F0B1" w:rsidR="00087EA7" w:rsidRDefault="0027053B" w:rsidP="002141F1">
      <w:pPr>
        <w:rPr>
          <w:rFonts w:ascii="Times New Roman" w:hAnsi="Times New Roman" w:cs="Times New Roman"/>
          <w:sz w:val="28"/>
          <w:szCs w:val="28"/>
        </w:rPr>
      </w:pPr>
      <w:r>
        <w:rPr>
          <w:rFonts w:ascii="Times New Roman" w:hAnsi="Times New Roman" w:cs="Times New Roman"/>
          <w:sz w:val="28"/>
          <w:szCs w:val="28"/>
        </w:rPr>
        <w:t>Unlike with a lease, with a license the occupant/licensee doesn’t have full possession of a particular space</w:t>
      </w:r>
      <w:r w:rsidR="002A28D2">
        <w:rPr>
          <w:rFonts w:ascii="Times New Roman" w:hAnsi="Times New Roman" w:cs="Times New Roman"/>
          <w:sz w:val="28"/>
          <w:szCs w:val="28"/>
        </w:rPr>
        <w:t>. I</w:t>
      </w:r>
      <w:r>
        <w:rPr>
          <w:rFonts w:ascii="Times New Roman" w:hAnsi="Times New Roman" w:cs="Times New Roman"/>
          <w:sz w:val="28"/>
          <w:szCs w:val="28"/>
        </w:rPr>
        <w:t>nstead, he has the right to use a space but not exclusively.</w:t>
      </w:r>
      <w:r>
        <w:rPr>
          <w:rStyle w:val="FootnoteReference"/>
          <w:rFonts w:ascii="Times New Roman" w:hAnsi="Times New Roman" w:cs="Times New Roman"/>
          <w:sz w:val="28"/>
          <w:szCs w:val="28"/>
        </w:rPr>
        <w:footnoteReference w:id="13"/>
      </w:r>
      <w:r>
        <w:rPr>
          <w:rFonts w:ascii="Times New Roman" w:hAnsi="Times New Roman" w:cs="Times New Roman"/>
          <w:sz w:val="28"/>
          <w:szCs w:val="28"/>
        </w:rPr>
        <w:t xml:space="preserve"> </w:t>
      </w:r>
      <w:r w:rsidR="00D32255">
        <w:rPr>
          <w:rFonts w:ascii="Times New Roman" w:hAnsi="Times New Roman" w:cs="Times New Roman"/>
          <w:sz w:val="28"/>
          <w:szCs w:val="28"/>
        </w:rPr>
        <w:t>Th</w:t>
      </w:r>
      <w:r w:rsidR="002A28D2">
        <w:rPr>
          <w:rFonts w:ascii="Times New Roman" w:hAnsi="Times New Roman" w:cs="Times New Roman"/>
          <w:sz w:val="28"/>
          <w:szCs w:val="28"/>
        </w:rPr>
        <w:t>erefore, the</w:t>
      </w:r>
      <w:r w:rsidR="00D32255">
        <w:rPr>
          <w:rFonts w:ascii="Times New Roman" w:hAnsi="Times New Roman" w:cs="Times New Roman"/>
          <w:sz w:val="28"/>
          <w:szCs w:val="28"/>
        </w:rPr>
        <w:t xml:space="preserve"> bill and eventual law protected not just traditional tenants but also occupants that could be moved around, such as in a boarding-house or invited</w:t>
      </w:r>
      <w:r w:rsidR="00375DF1">
        <w:rPr>
          <w:rFonts w:ascii="Times New Roman" w:hAnsi="Times New Roman" w:cs="Times New Roman"/>
          <w:sz w:val="28"/>
          <w:szCs w:val="28"/>
        </w:rPr>
        <w:t>-</w:t>
      </w:r>
      <w:r w:rsidR="00D32255">
        <w:rPr>
          <w:rFonts w:ascii="Times New Roman" w:hAnsi="Times New Roman" w:cs="Times New Roman"/>
          <w:sz w:val="28"/>
          <w:szCs w:val="28"/>
        </w:rPr>
        <w:t xml:space="preserve">roommate situation. </w:t>
      </w:r>
    </w:p>
    <w:p w14:paraId="05133EA5" w14:textId="5E6D6ECB" w:rsidR="000F1985" w:rsidRDefault="00F5383A" w:rsidP="002141F1">
      <w:pPr>
        <w:rPr>
          <w:rFonts w:ascii="Times New Roman" w:hAnsi="Times New Roman" w:cs="Times New Roman"/>
          <w:sz w:val="28"/>
          <w:szCs w:val="28"/>
        </w:rPr>
      </w:pPr>
      <w:r>
        <w:rPr>
          <w:rFonts w:ascii="Times New Roman" w:hAnsi="Times New Roman" w:cs="Times New Roman"/>
          <w:sz w:val="28"/>
          <w:szCs w:val="28"/>
        </w:rPr>
        <w:t xml:space="preserve">Thus, </w:t>
      </w:r>
      <w:r w:rsidR="00D32255">
        <w:rPr>
          <w:rFonts w:ascii="Times New Roman" w:hAnsi="Times New Roman" w:cs="Times New Roman"/>
          <w:sz w:val="28"/>
          <w:szCs w:val="28"/>
        </w:rPr>
        <w:t xml:space="preserve">this law, now </w:t>
      </w:r>
      <w:r w:rsidR="00087EA7">
        <w:rPr>
          <w:rFonts w:ascii="Times New Roman" w:hAnsi="Times New Roman" w:cs="Times New Roman"/>
          <w:sz w:val="28"/>
          <w:szCs w:val="28"/>
        </w:rPr>
        <w:t xml:space="preserve">codified at </w:t>
      </w:r>
      <w:r w:rsidR="00D32255">
        <w:rPr>
          <w:rFonts w:ascii="Times New Roman" w:hAnsi="Times New Roman" w:cs="Times New Roman"/>
          <w:sz w:val="28"/>
          <w:szCs w:val="28"/>
        </w:rPr>
        <w:t xml:space="preserve">Minn. Stat. §504B.161, protected Ms. </w:t>
      </w:r>
      <w:r>
        <w:rPr>
          <w:rFonts w:ascii="Times New Roman" w:hAnsi="Times New Roman" w:cs="Times New Roman"/>
          <w:sz w:val="28"/>
          <w:szCs w:val="28"/>
        </w:rPr>
        <w:t>Quinn</w:t>
      </w:r>
      <w:r w:rsidR="00087EA7">
        <w:rPr>
          <w:rFonts w:ascii="Times New Roman" w:hAnsi="Times New Roman" w:cs="Times New Roman"/>
          <w:sz w:val="28"/>
          <w:szCs w:val="28"/>
        </w:rPr>
        <w:t>. Even though she was not a subtenant with a specific area that was hers alone (an area she could exclude Smith and others from), s</w:t>
      </w:r>
      <w:r>
        <w:rPr>
          <w:rFonts w:ascii="Times New Roman" w:hAnsi="Times New Roman" w:cs="Times New Roman"/>
          <w:sz w:val="28"/>
          <w:szCs w:val="28"/>
        </w:rPr>
        <w:t>he was a licensee</w:t>
      </w:r>
      <w:r w:rsidR="00087EA7">
        <w:rPr>
          <w:rFonts w:ascii="Times New Roman" w:hAnsi="Times New Roman" w:cs="Times New Roman"/>
          <w:sz w:val="28"/>
          <w:szCs w:val="28"/>
        </w:rPr>
        <w:t xml:space="preserve"> (she had the use of the apartment, paying $400 per month for this right).</w:t>
      </w:r>
    </w:p>
    <w:p w14:paraId="183100A4" w14:textId="54AE96A6" w:rsidR="00470665" w:rsidRDefault="001F5BAC" w:rsidP="002141F1">
      <w:pPr>
        <w:rPr>
          <w:rFonts w:ascii="Times New Roman" w:hAnsi="Times New Roman" w:cs="Times New Roman"/>
          <w:sz w:val="28"/>
          <w:szCs w:val="28"/>
        </w:rPr>
      </w:pPr>
      <w:r>
        <w:rPr>
          <w:rFonts w:ascii="Times New Roman" w:hAnsi="Times New Roman" w:cs="Times New Roman"/>
          <w:color w:val="222222"/>
          <w:sz w:val="28"/>
          <w:szCs w:val="28"/>
          <w:shd w:val="clear" w:color="auto" w:fill="FFFFFF"/>
        </w:rPr>
        <w:t>The TRA (HF1163 and later the 1973 law) could not use th</w:t>
      </w:r>
      <w:r w:rsidR="005F02E2">
        <w:rPr>
          <w:rFonts w:ascii="Times New Roman" w:hAnsi="Times New Roman" w:cs="Times New Roman"/>
          <w:color w:val="222222"/>
          <w:sz w:val="28"/>
          <w:szCs w:val="28"/>
          <w:shd w:val="clear" w:color="auto" w:fill="FFFFFF"/>
        </w:rPr>
        <w:t>e</w:t>
      </w:r>
      <w:r>
        <w:rPr>
          <w:rFonts w:ascii="Times New Roman" w:hAnsi="Times New Roman" w:cs="Times New Roman"/>
          <w:color w:val="222222"/>
          <w:sz w:val="28"/>
          <w:szCs w:val="28"/>
          <w:shd w:val="clear" w:color="auto" w:fill="FFFFFF"/>
        </w:rPr>
        <w:t xml:space="preserve"> same exact language</w:t>
      </w:r>
      <w:r w:rsidR="00053731">
        <w:rPr>
          <w:rFonts w:ascii="Times New Roman" w:hAnsi="Times New Roman" w:cs="Times New Roman"/>
          <w:color w:val="222222"/>
          <w:sz w:val="28"/>
          <w:szCs w:val="28"/>
          <w:shd w:val="clear" w:color="auto" w:fill="FFFFFF"/>
        </w:rPr>
        <w:t xml:space="preserve"> as HF1161</w:t>
      </w:r>
      <w:r>
        <w:rPr>
          <w:rFonts w:ascii="Times New Roman" w:hAnsi="Times New Roman" w:cs="Times New Roman"/>
          <w:color w:val="222222"/>
          <w:sz w:val="28"/>
          <w:szCs w:val="28"/>
          <w:shd w:val="clear" w:color="auto" w:fill="FFFFFF"/>
        </w:rPr>
        <w:t>. The TRA</w:t>
      </w:r>
      <w:r w:rsidR="00110F1E">
        <w:rPr>
          <w:rFonts w:ascii="Times New Roman" w:hAnsi="Times New Roman" w:cs="Times New Roman"/>
          <w:color w:val="222222"/>
          <w:sz w:val="28"/>
          <w:szCs w:val="28"/>
          <w:shd w:val="clear" w:color="auto" w:fill="FFFFFF"/>
        </w:rPr>
        <w:t xml:space="preserve"> as written in 1971 and 1973</w:t>
      </w:r>
      <w:r>
        <w:rPr>
          <w:rFonts w:ascii="Times New Roman" w:hAnsi="Times New Roman" w:cs="Times New Roman"/>
          <w:color w:val="222222"/>
          <w:sz w:val="28"/>
          <w:szCs w:val="28"/>
          <w:shd w:val="clear" w:color="auto" w:fill="FFFFFF"/>
        </w:rPr>
        <w:t xml:space="preserve"> </w:t>
      </w:r>
      <w:r w:rsidR="00053731">
        <w:rPr>
          <w:rFonts w:ascii="Times New Roman" w:hAnsi="Times New Roman" w:cs="Times New Roman"/>
          <w:color w:val="222222"/>
          <w:sz w:val="28"/>
          <w:szCs w:val="28"/>
          <w:shd w:val="clear" w:color="auto" w:fill="FFFFFF"/>
        </w:rPr>
        <w:t>wa</w:t>
      </w:r>
      <w:r>
        <w:rPr>
          <w:rFonts w:ascii="Times New Roman" w:hAnsi="Times New Roman" w:cs="Times New Roman"/>
          <w:color w:val="222222"/>
          <w:sz w:val="28"/>
          <w:szCs w:val="28"/>
          <w:shd w:val="clear" w:color="auto" w:fill="FFFFFF"/>
        </w:rPr>
        <w:t xml:space="preserve">s a </w:t>
      </w:r>
      <w:r w:rsidR="00053731">
        <w:rPr>
          <w:rFonts w:ascii="Times New Roman" w:hAnsi="Times New Roman" w:cs="Times New Roman"/>
          <w:color w:val="222222"/>
          <w:sz w:val="28"/>
          <w:szCs w:val="28"/>
          <w:shd w:val="clear" w:color="auto" w:fill="FFFFFF"/>
        </w:rPr>
        <w:t>procedure</w:t>
      </w:r>
      <w:r>
        <w:rPr>
          <w:rFonts w:ascii="Times New Roman" w:hAnsi="Times New Roman" w:cs="Times New Roman"/>
          <w:color w:val="222222"/>
          <w:sz w:val="28"/>
          <w:szCs w:val="28"/>
          <w:shd w:val="clear" w:color="auto" w:fill="FFFFFF"/>
        </w:rPr>
        <w:t xml:space="preserve"> to enforce subparagraph </w:t>
      </w:r>
      <w:r w:rsidR="00A87186">
        <w:rPr>
          <w:rFonts w:ascii="Times New Roman" w:hAnsi="Times New Roman" w:cs="Times New Roman"/>
          <w:color w:val="222222"/>
          <w:sz w:val="28"/>
          <w:szCs w:val="28"/>
          <w:shd w:val="clear" w:color="auto" w:fill="FFFFFF"/>
        </w:rPr>
        <w:t>[c]</w:t>
      </w:r>
      <w:r>
        <w:rPr>
          <w:rFonts w:ascii="Times New Roman" w:hAnsi="Times New Roman" w:cs="Times New Roman"/>
          <w:color w:val="222222"/>
          <w:sz w:val="28"/>
          <w:szCs w:val="28"/>
          <w:shd w:val="clear" w:color="auto" w:fill="FFFFFF"/>
        </w:rPr>
        <w:t xml:space="preserve"> above – compliance with rental codes.</w:t>
      </w:r>
      <w:r w:rsidR="00110F1E">
        <w:rPr>
          <w:rFonts w:ascii="Times New Roman" w:hAnsi="Times New Roman" w:cs="Times New Roman"/>
          <w:color w:val="222222"/>
          <w:sz w:val="28"/>
          <w:szCs w:val="28"/>
          <w:shd w:val="clear" w:color="auto" w:fill="FFFFFF"/>
        </w:rPr>
        <w:t xml:space="preserve"> </w:t>
      </w:r>
      <w:r w:rsidR="00D078F9">
        <w:rPr>
          <w:rFonts w:ascii="Times New Roman" w:hAnsi="Times New Roman" w:cs="Times New Roman"/>
          <w:color w:val="222222"/>
          <w:sz w:val="28"/>
          <w:szCs w:val="28"/>
          <w:shd w:val="clear" w:color="auto" w:fill="FFFFFF"/>
        </w:rPr>
        <w:t>A</w:t>
      </w:r>
      <w:r w:rsidR="00110F1E">
        <w:rPr>
          <w:rFonts w:ascii="Times New Roman" w:hAnsi="Times New Roman" w:cs="Times New Roman"/>
          <w:color w:val="222222"/>
          <w:sz w:val="28"/>
          <w:szCs w:val="28"/>
          <w:shd w:val="clear" w:color="auto" w:fill="FFFFFF"/>
        </w:rPr>
        <w:t xml:space="preserve"> traditional owner/licensee situation would not be relevant because that pairing involves no renter. Instead, the TRA defined a “tenant” (now “residential tenant”) as </w:t>
      </w:r>
      <w:r w:rsidR="007A345F">
        <w:rPr>
          <w:rFonts w:ascii="Times New Roman" w:hAnsi="Times New Roman" w:cs="Times New Roman"/>
          <w:color w:val="222222"/>
          <w:sz w:val="28"/>
          <w:szCs w:val="28"/>
          <w:shd w:val="clear" w:color="auto" w:fill="FFFFFF"/>
        </w:rPr>
        <w:t>“</w:t>
      </w:r>
      <w:r w:rsidR="00110F1E">
        <w:rPr>
          <w:rFonts w:ascii="Times New Roman" w:hAnsi="Times New Roman" w:cs="Times New Roman"/>
          <w:color w:val="222222"/>
          <w:sz w:val="28"/>
          <w:szCs w:val="28"/>
          <w:shd w:val="clear" w:color="auto" w:fill="FFFFFF"/>
        </w:rPr>
        <w:t>a person</w:t>
      </w:r>
      <w:r w:rsidR="007A345F">
        <w:rPr>
          <w:rFonts w:ascii="Times New Roman" w:hAnsi="Times New Roman" w:cs="Times New Roman"/>
          <w:color w:val="222222"/>
          <w:sz w:val="28"/>
          <w:szCs w:val="28"/>
          <w:shd w:val="clear" w:color="auto" w:fill="FFFFFF"/>
        </w:rPr>
        <w:t xml:space="preserve"> </w:t>
      </w:r>
      <w:r w:rsidR="007A345F" w:rsidRPr="00861C0C">
        <w:rPr>
          <w:rFonts w:ascii="Times New Roman" w:hAnsi="Times New Roman" w:cs="Times New Roman"/>
          <w:sz w:val="28"/>
          <w:szCs w:val="28"/>
        </w:rPr>
        <w:t xml:space="preserve">who is occupying a dwelling </w:t>
      </w:r>
      <w:r w:rsidR="007A345F">
        <w:rPr>
          <w:rFonts w:ascii="Times New Roman" w:hAnsi="Times New Roman" w:cs="Times New Roman"/>
          <w:sz w:val="28"/>
          <w:szCs w:val="28"/>
        </w:rPr>
        <w:t xml:space="preserve">… </w:t>
      </w:r>
      <w:r w:rsidR="007A345F" w:rsidRPr="00861C0C">
        <w:rPr>
          <w:rFonts w:ascii="Times New Roman" w:hAnsi="Times New Roman" w:cs="Times New Roman"/>
          <w:sz w:val="28"/>
          <w:szCs w:val="28"/>
        </w:rPr>
        <w:t xml:space="preserve">under any agreement, lease, or contract, </w:t>
      </w:r>
      <w:r w:rsidR="007A345F">
        <w:rPr>
          <w:rFonts w:ascii="Times New Roman" w:hAnsi="Times New Roman" w:cs="Times New Roman"/>
          <w:sz w:val="28"/>
          <w:szCs w:val="28"/>
        </w:rPr>
        <w:t>…</w:t>
      </w:r>
      <w:r w:rsidR="007A345F" w:rsidRPr="00861C0C">
        <w:rPr>
          <w:rFonts w:ascii="Times New Roman" w:hAnsi="Times New Roman" w:cs="Times New Roman"/>
          <w:sz w:val="28"/>
          <w:szCs w:val="28"/>
        </w:rPr>
        <w:t xml:space="preserve"> which requires the payment of moneys as </w:t>
      </w:r>
      <w:r w:rsidR="007A345F" w:rsidRPr="007A345F">
        <w:rPr>
          <w:rFonts w:ascii="Times New Roman" w:hAnsi="Times New Roman" w:cs="Times New Roman"/>
          <w:sz w:val="28"/>
          <w:szCs w:val="28"/>
          <w:u w:val="single"/>
        </w:rPr>
        <w:t>rent</w:t>
      </w:r>
      <w:r w:rsidR="007A345F">
        <w:rPr>
          <w:rFonts w:ascii="Times New Roman" w:hAnsi="Times New Roman" w:cs="Times New Roman"/>
          <w:sz w:val="28"/>
          <w:szCs w:val="28"/>
        </w:rPr>
        <w:t xml:space="preserve"> fo</w:t>
      </w:r>
      <w:r w:rsidR="007A345F" w:rsidRPr="00861C0C">
        <w:rPr>
          <w:rFonts w:ascii="Times New Roman" w:hAnsi="Times New Roman" w:cs="Times New Roman"/>
          <w:sz w:val="28"/>
          <w:szCs w:val="28"/>
        </w:rPr>
        <w:t xml:space="preserve">r the use of the dwelling </w:t>
      </w:r>
      <w:r w:rsidR="007A345F">
        <w:rPr>
          <w:rFonts w:ascii="Times New Roman" w:hAnsi="Times New Roman" w:cs="Times New Roman"/>
          <w:sz w:val="28"/>
          <w:szCs w:val="28"/>
        </w:rPr>
        <w:t xml:space="preserve">unit” – </w:t>
      </w:r>
      <w:r w:rsidR="00AE767C">
        <w:rPr>
          <w:rFonts w:ascii="Times New Roman" w:hAnsi="Times New Roman" w:cs="Times New Roman"/>
          <w:sz w:val="28"/>
          <w:szCs w:val="28"/>
        </w:rPr>
        <w:t>i.e.,</w:t>
      </w:r>
      <w:r w:rsidR="007A345F">
        <w:rPr>
          <w:rFonts w:ascii="Times New Roman" w:hAnsi="Times New Roman" w:cs="Times New Roman"/>
          <w:sz w:val="28"/>
          <w:szCs w:val="28"/>
        </w:rPr>
        <w:t xml:space="preserve"> a </w:t>
      </w:r>
      <w:r w:rsidR="007A345F">
        <w:rPr>
          <w:rFonts w:ascii="Times New Roman" w:hAnsi="Times New Roman" w:cs="Times New Roman"/>
          <w:sz w:val="28"/>
          <w:szCs w:val="28"/>
        </w:rPr>
        <w:lastRenderedPageBreak/>
        <w:t xml:space="preserve">traditional tenant since “rent” is a term of art describing payment by a traditional tenant – </w:t>
      </w:r>
      <w:r w:rsidR="007A345F" w:rsidRPr="004447EA">
        <w:rPr>
          <w:rFonts w:ascii="Times New Roman" w:hAnsi="Times New Roman" w:cs="Times New Roman"/>
          <w:b/>
          <w:bCs/>
          <w:sz w:val="28"/>
          <w:szCs w:val="28"/>
          <w:u w:val="single"/>
        </w:rPr>
        <w:t>plus</w:t>
      </w:r>
      <w:r w:rsidR="007A345F">
        <w:rPr>
          <w:rFonts w:ascii="Times New Roman" w:hAnsi="Times New Roman" w:cs="Times New Roman"/>
          <w:sz w:val="28"/>
          <w:szCs w:val="28"/>
        </w:rPr>
        <w:t xml:space="preserve"> possible second person</w:t>
      </w:r>
      <w:r w:rsidR="00FD489D">
        <w:rPr>
          <w:rFonts w:ascii="Times New Roman" w:hAnsi="Times New Roman" w:cs="Times New Roman"/>
          <w:sz w:val="28"/>
          <w:szCs w:val="28"/>
        </w:rPr>
        <w:t>s</w:t>
      </w:r>
      <w:r w:rsidR="007A345F">
        <w:rPr>
          <w:rFonts w:ascii="Times New Roman" w:hAnsi="Times New Roman" w:cs="Times New Roman"/>
          <w:sz w:val="28"/>
          <w:szCs w:val="28"/>
        </w:rPr>
        <w:t xml:space="preserve"> – “other regular occupant</w:t>
      </w:r>
      <w:r w:rsidR="00FD489D">
        <w:rPr>
          <w:rFonts w:ascii="Times New Roman" w:hAnsi="Times New Roman" w:cs="Times New Roman"/>
          <w:sz w:val="28"/>
          <w:szCs w:val="28"/>
        </w:rPr>
        <w:t>s</w:t>
      </w:r>
      <w:r w:rsidR="007A345F">
        <w:rPr>
          <w:rFonts w:ascii="Times New Roman" w:hAnsi="Times New Roman" w:cs="Times New Roman"/>
          <w:sz w:val="28"/>
          <w:szCs w:val="28"/>
        </w:rPr>
        <w:t xml:space="preserve">” who </w:t>
      </w:r>
      <w:r w:rsidR="00A87186">
        <w:rPr>
          <w:rFonts w:ascii="Times New Roman" w:hAnsi="Times New Roman" w:cs="Times New Roman"/>
          <w:sz w:val="28"/>
          <w:szCs w:val="28"/>
        </w:rPr>
        <w:t>are</w:t>
      </w:r>
      <w:r w:rsidR="007A345F">
        <w:rPr>
          <w:rFonts w:ascii="Times New Roman" w:hAnsi="Times New Roman" w:cs="Times New Roman"/>
          <w:sz w:val="28"/>
          <w:szCs w:val="28"/>
        </w:rPr>
        <w:t xml:space="preserve"> also there, possibly living for free or possibly paying a fee for a license.</w:t>
      </w:r>
      <w:r w:rsidR="00D078F9">
        <w:rPr>
          <w:rFonts w:ascii="Times New Roman" w:hAnsi="Times New Roman" w:cs="Times New Roman"/>
          <w:sz w:val="28"/>
          <w:szCs w:val="28"/>
        </w:rPr>
        <w:t xml:space="preserve"> This allowed the second person – a licensee of the main tenant – the ability to enforce her rights to </w:t>
      </w:r>
      <w:r w:rsidR="00A87186">
        <w:rPr>
          <w:rFonts w:ascii="Times New Roman" w:hAnsi="Times New Roman" w:cs="Times New Roman"/>
          <w:sz w:val="28"/>
          <w:szCs w:val="28"/>
        </w:rPr>
        <w:t xml:space="preserve">code-required </w:t>
      </w:r>
      <w:r w:rsidR="00D078F9">
        <w:rPr>
          <w:rFonts w:ascii="Times New Roman" w:hAnsi="Times New Roman" w:cs="Times New Roman"/>
          <w:sz w:val="28"/>
          <w:szCs w:val="28"/>
        </w:rPr>
        <w:t>repair</w:t>
      </w:r>
      <w:r w:rsidR="00A87186">
        <w:rPr>
          <w:rFonts w:ascii="Times New Roman" w:hAnsi="Times New Roman" w:cs="Times New Roman"/>
          <w:sz w:val="28"/>
          <w:szCs w:val="28"/>
        </w:rPr>
        <w:t>s a</w:t>
      </w:r>
      <w:r w:rsidR="00D078F9">
        <w:rPr>
          <w:rFonts w:ascii="Times New Roman" w:hAnsi="Times New Roman" w:cs="Times New Roman"/>
          <w:sz w:val="28"/>
          <w:szCs w:val="28"/>
        </w:rPr>
        <w:t>gainst the main tenant (who might be collecting a license fee) as well as</w:t>
      </w:r>
      <w:r w:rsidR="00053731">
        <w:rPr>
          <w:rFonts w:ascii="Times New Roman" w:hAnsi="Times New Roman" w:cs="Times New Roman"/>
          <w:sz w:val="28"/>
          <w:szCs w:val="28"/>
        </w:rPr>
        <w:t xml:space="preserve"> against</w:t>
      </w:r>
      <w:r w:rsidR="00D078F9">
        <w:rPr>
          <w:rFonts w:ascii="Times New Roman" w:hAnsi="Times New Roman" w:cs="Times New Roman"/>
          <w:sz w:val="28"/>
          <w:szCs w:val="28"/>
        </w:rPr>
        <w:t xml:space="preserve"> the landlord of the main tenant.</w:t>
      </w:r>
    </w:p>
    <w:p w14:paraId="4F7C46C9" w14:textId="22CB9432" w:rsidR="00CD6543" w:rsidRDefault="00AB55D3" w:rsidP="002141F1">
      <w:pPr>
        <w:rPr>
          <w:rFonts w:ascii="Times New Roman" w:hAnsi="Times New Roman" w:cs="Times New Roman"/>
          <w:sz w:val="28"/>
          <w:szCs w:val="28"/>
        </w:rPr>
      </w:pPr>
      <w:r>
        <w:rPr>
          <w:rFonts w:ascii="Times New Roman" w:hAnsi="Times New Roman" w:cs="Times New Roman"/>
          <w:sz w:val="28"/>
          <w:szCs w:val="28"/>
        </w:rPr>
        <w:t>Note</w:t>
      </w:r>
      <w:r w:rsidR="00CD6543">
        <w:rPr>
          <w:rFonts w:ascii="Times New Roman" w:hAnsi="Times New Roman" w:cs="Times New Roman"/>
          <w:sz w:val="28"/>
          <w:szCs w:val="28"/>
        </w:rPr>
        <w:t xml:space="preserve"> </w:t>
      </w:r>
      <w:r w:rsidR="00DB69D5">
        <w:rPr>
          <w:rFonts w:ascii="Times New Roman" w:hAnsi="Times New Roman" w:cs="Times New Roman"/>
          <w:sz w:val="28"/>
          <w:szCs w:val="28"/>
        </w:rPr>
        <w:t xml:space="preserve">that </w:t>
      </w:r>
      <w:r w:rsidR="00CD6543">
        <w:rPr>
          <w:rFonts w:ascii="Times New Roman" w:hAnsi="Times New Roman" w:cs="Times New Roman"/>
          <w:sz w:val="28"/>
          <w:szCs w:val="28"/>
        </w:rPr>
        <w:t>the TRA defined “owner’ is a very broad</w:t>
      </w:r>
      <w:r w:rsidR="00625E8A">
        <w:rPr>
          <w:rFonts w:ascii="Times New Roman" w:hAnsi="Times New Roman" w:cs="Times New Roman"/>
          <w:sz w:val="28"/>
          <w:szCs w:val="28"/>
        </w:rPr>
        <w:t xml:space="preserve">ly </w:t>
      </w:r>
      <w:r w:rsidR="00CD6543">
        <w:rPr>
          <w:rFonts w:ascii="Times New Roman" w:hAnsi="Times New Roman" w:cs="Times New Roman"/>
          <w:sz w:val="28"/>
          <w:szCs w:val="28"/>
        </w:rPr>
        <w:t>as follows:</w:t>
      </w:r>
    </w:p>
    <w:p w14:paraId="615E6BDF" w14:textId="77010C0A" w:rsidR="00CD6543" w:rsidRPr="006407B4" w:rsidRDefault="00136470" w:rsidP="00136470">
      <w:pPr>
        <w:ind w:left="720"/>
        <w:rPr>
          <w:rFonts w:ascii="Times New Roman" w:hAnsi="Times New Roman" w:cs="Times New Roman"/>
          <w:sz w:val="28"/>
          <w:szCs w:val="28"/>
        </w:rPr>
      </w:pPr>
      <w:r w:rsidRPr="006407B4">
        <w:rPr>
          <w:rFonts w:ascii="Times New Roman" w:hAnsi="Times New Roman" w:cs="Times New Roman"/>
          <w:sz w:val="28"/>
          <w:szCs w:val="28"/>
        </w:rPr>
        <w:t xml:space="preserve">Subd. 3. "Owner" means the owner or owners of the freehold of the premises or lesser estate therein, contract vendee, receiver, executor, trustee, </w:t>
      </w:r>
      <w:r w:rsidRPr="006407B4">
        <w:rPr>
          <w:rFonts w:ascii="Times New Roman" w:hAnsi="Times New Roman" w:cs="Times New Roman"/>
          <w:sz w:val="28"/>
          <w:szCs w:val="28"/>
          <w:u w:val="single"/>
        </w:rPr>
        <w:t>lessee</w:t>
      </w:r>
      <w:r w:rsidRPr="006407B4">
        <w:rPr>
          <w:rFonts w:ascii="Times New Roman" w:hAnsi="Times New Roman" w:cs="Times New Roman"/>
          <w:sz w:val="28"/>
          <w:szCs w:val="28"/>
        </w:rPr>
        <w:t xml:space="preserve">, agent, </w:t>
      </w:r>
      <w:r w:rsidRPr="006407B4">
        <w:rPr>
          <w:rFonts w:ascii="Times New Roman" w:hAnsi="Times New Roman" w:cs="Times New Roman"/>
          <w:sz w:val="28"/>
          <w:szCs w:val="28"/>
          <w:u w:val="single"/>
        </w:rPr>
        <w:t>or any other person</w:t>
      </w:r>
      <w:r w:rsidRPr="006407B4">
        <w:rPr>
          <w:rFonts w:ascii="Times New Roman" w:hAnsi="Times New Roman" w:cs="Times New Roman"/>
          <w:sz w:val="28"/>
          <w:szCs w:val="28"/>
        </w:rPr>
        <w:t xml:space="preserve">, firm or corporation </w:t>
      </w:r>
      <w:r w:rsidRPr="006407B4">
        <w:rPr>
          <w:rFonts w:ascii="Times New Roman" w:hAnsi="Times New Roman" w:cs="Times New Roman"/>
          <w:sz w:val="28"/>
          <w:szCs w:val="28"/>
          <w:u w:val="single"/>
        </w:rPr>
        <w:t>directly or indirectly in control of a building</w:t>
      </w:r>
      <w:r w:rsidRPr="006407B4">
        <w:rPr>
          <w:rFonts w:ascii="Times New Roman" w:hAnsi="Times New Roman" w:cs="Times New Roman"/>
          <w:sz w:val="28"/>
          <w:szCs w:val="28"/>
        </w:rPr>
        <w:t xml:space="preserve"> subject to the provision of the act.</w:t>
      </w:r>
      <w:r w:rsidR="006407B4">
        <w:rPr>
          <w:rFonts w:ascii="Times New Roman" w:hAnsi="Times New Roman" w:cs="Times New Roman"/>
          <w:sz w:val="28"/>
          <w:szCs w:val="28"/>
        </w:rPr>
        <w:t xml:space="preserve"> [emphasis added]</w:t>
      </w:r>
    </w:p>
    <w:p w14:paraId="1F443B4E" w14:textId="0642DC37" w:rsidR="007C3274" w:rsidRDefault="00000000" w:rsidP="002141F1">
      <w:pPr>
        <w:rPr>
          <w:rFonts w:ascii="Times New Roman" w:hAnsi="Times New Roman" w:cs="Times New Roman"/>
          <w:sz w:val="28"/>
          <w:szCs w:val="28"/>
        </w:rPr>
      </w:pPr>
      <w:hyperlink r:id="rId24" w:history="1">
        <w:r w:rsidR="007C3274" w:rsidRPr="007C3274">
          <w:rPr>
            <w:rStyle w:val="Hyperlink"/>
            <w:rFonts w:ascii="Times New Roman" w:hAnsi="Times New Roman" w:cs="Times New Roman"/>
            <w:sz w:val="28"/>
            <w:szCs w:val="28"/>
          </w:rPr>
          <w:t xml:space="preserve">1973 Minn. Laws </w:t>
        </w:r>
        <w:proofErr w:type="spellStart"/>
        <w:r w:rsidR="007C3274" w:rsidRPr="007C3274">
          <w:rPr>
            <w:rStyle w:val="Hyperlink"/>
            <w:rFonts w:ascii="Times New Roman" w:hAnsi="Times New Roman" w:cs="Times New Roman"/>
            <w:sz w:val="28"/>
            <w:szCs w:val="28"/>
          </w:rPr>
          <w:t>ch.</w:t>
        </w:r>
        <w:proofErr w:type="spellEnd"/>
        <w:r w:rsidR="007C3274" w:rsidRPr="007C3274">
          <w:rPr>
            <w:rStyle w:val="Hyperlink"/>
            <w:rFonts w:ascii="Times New Roman" w:hAnsi="Times New Roman" w:cs="Times New Roman"/>
            <w:sz w:val="28"/>
            <w:szCs w:val="28"/>
          </w:rPr>
          <w:t xml:space="preserve"> 611, s. 18, subd. 3</w:t>
        </w:r>
      </w:hyperlink>
      <w:r w:rsidR="005F02E2" w:rsidRPr="007C3274">
        <w:rPr>
          <w:rFonts w:ascii="Times New Roman" w:hAnsi="Times New Roman" w:cs="Times New Roman"/>
          <w:sz w:val="28"/>
          <w:szCs w:val="28"/>
        </w:rPr>
        <w:t xml:space="preserve"> </w:t>
      </w:r>
      <w:r w:rsidR="00136470" w:rsidRPr="00136470">
        <w:rPr>
          <w:rFonts w:ascii="Times New Roman" w:hAnsi="Times New Roman" w:cs="Times New Roman"/>
          <w:sz w:val="28"/>
          <w:szCs w:val="28"/>
        </w:rPr>
        <w:t>This is consistent with the idea that a main dwelling tenant could be an “owner”. The current statute changed the word “owner” to “landlord” but kept the broad definition.</w:t>
      </w:r>
      <w:r w:rsidR="00E73374">
        <w:rPr>
          <w:rFonts w:ascii="Times New Roman" w:hAnsi="Times New Roman" w:cs="Times New Roman"/>
          <w:sz w:val="28"/>
          <w:szCs w:val="28"/>
        </w:rPr>
        <w:t xml:space="preserve"> </w:t>
      </w:r>
      <w:hyperlink r:id="rId25" w:history="1">
        <w:r w:rsidR="00E73374" w:rsidRPr="00053731">
          <w:rPr>
            <w:rStyle w:val="Hyperlink"/>
            <w:rFonts w:ascii="Times New Roman" w:hAnsi="Times New Roman" w:cs="Times New Roman"/>
            <w:sz w:val="28"/>
            <w:szCs w:val="28"/>
          </w:rPr>
          <w:t>Minn. Stat. § 504B.001, subd. 7</w:t>
        </w:r>
      </w:hyperlink>
      <w:r w:rsidR="00FD489D">
        <w:rPr>
          <w:rFonts w:ascii="Times New Roman" w:hAnsi="Times New Roman" w:cs="Times New Roman"/>
          <w:sz w:val="28"/>
          <w:szCs w:val="28"/>
        </w:rPr>
        <w:t xml:space="preserve">, </w:t>
      </w:r>
      <w:hyperlink r:id="rId26" w:history="1">
        <w:r w:rsidR="007C3274" w:rsidRPr="00E8724B">
          <w:rPr>
            <w:rStyle w:val="Hyperlink"/>
            <w:rFonts w:ascii="Times New Roman" w:hAnsi="Times New Roman" w:cs="Times New Roman"/>
            <w:sz w:val="28"/>
            <w:szCs w:val="28"/>
          </w:rPr>
          <w:t>1999 Minn. Laws. Ch. 199, art. 1, s. 1, subd. 7</w:t>
        </w:r>
      </w:hyperlink>
      <w:r w:rsidR="00E8724B">
        <w:rPr>
          <w:rFonts w:ascii="Times New Roman" w:hAnsi="Times New Roman" w:cs="Times New Roman"/>
          <w:sz w:val="28"/>
          <w:szCs w:val="28"/>
        </w:rPr>
        <w:t>.</w:t>
      </w:r>
    </w:p>
    <w:p w14:paraId="1B3EA1C3" w14:textId="5033AFE3" w:rsidR="00484D0C" w:rsidRDefault="007C3274" w:rsidP="002141F1">
      <w:pPr>
        <w:rPr>
          <w:rFonts w:ascii="Times New Roman" w:hAnsi="Times New Roman" w:cs="Times New Roman"/>
          <w:sz w:val="28"/>
          <w:szCs w:val="28"/>
        </w:rPr>
      </w:pPr>
      <w:r>
        <w:rPr>
          <w:rFonts w:ascii="Times New Roman" w:hAnsi="Times New Roman" w:cs="Times New Roman"/>
          <w:sz w:val="28"/>
          <w:szCs w:val="28"/>
        </w:rPr>
        <w:t>In</w:t>
      </w:r>
      <w:r w:rsidR="00136470">
        <w:rPr>
          <w:rFonts w:ascii="Times New Roman" w:hAnsi="Times New Roman" w:cs="Times New Roman"/>
          <w:sz w:val="28"/>
          <w:szCs w:val="28"/>
        </w:rPr>
        <w:t xml:space="preserve"> summary, “other regular occupant</w:t>
      </w:r>
      <w:r w:rsidR="00A87186">
        <w:rPr>
          <w:rFonts w:ascii="Times New Roman" w:hAnsi="Times New Roman" w:cs="Times New Roman"/>
          <w:sz w:val="28"/>
          <w:szCs w:val="28"/>
        </w:rPr>
        <w:t>s</w:t>
      </w:r>
      <w:r w:rsidR="00136470">
        <w:rPr>
          <w:rFonts w:ascii="Times New Roman" w:hAnsi="Times New Roman" w:cs="Times New Roman"/>
          <w:sz w:val="28"/>
          <w:szCs w:val="28"/>
        </w:rPr>
        <w:t>” includes persons in the unit with the permission of the main tenant, like licensee</w:t>
      </w:r>
      <w:r w:rsidR="00A87186">
        <w:rPr>
          <w:rFonts w:ascii="Times New Roman" w:hAnsi="Times New Roman" w:cs="Times New Roman"/>
          <w:sz w:val="28"/>
          <w:szCs w:val="28"/>
        </w:rPr>
        <w:t>s</w:t>
      </w:r>
      <w:r w:rsidR="00821397">
        <w:rPr>
          <w:rFonts w:ascii="Times New Roman" w:hAnsi="Times New Roman" w:cs="Times New Roman"/>
          <w:sz w:val="28"/>
          <w:szCs w:val="28"/>
        </w:rPr>
        <w:t xml:space="preserve"> (</w:t>
      </w:r>
      <w:r w:rsidR="00E9403D">
        <w:rPr>
          <w:rFonts w:ascii="Times New Roman" w:hAnsi="Times New Roman" w:cs="Times New Roman"/>
          <w:sz w:val="28"/>
          <w:szCs w:val="28"/>
        </w:rPr>
        <w:t xml:space="preserve">but </w:t>
      </w:r>
      <w:r w:rsidR="00136470">
        <w:rPr>
          <w:rFonts w:ascii="Times New Roman" w:hAnsi="Times New Roman" w:cs="Times New Roman"/>
          <w:sz w:val="28"/>
          <w:szCs w:val="28"/>
        </w:rPr>
        <w:t>not short</w:t>
      </w:r>
      <w:r w:rsidR="00BE7BC8">
        <w:rPr>
          <w:rFonts w:ascii="Times New Roman" w:hAnsi="Times New Roman" w:cs="Times New Roman"/>
          <w:sz w:val="28"/>
          <w:szCs w:val="28"/>
        </w:rPr>
        <w:t>-</w:t>
      </w:r>
      <w:r w:rsidR="00136470">
        <w:rPr>
          <w:rFonts w:ascii="Times New Roman" w:hAnsi="Times New Roman" w:cs="Times New Roman"/>
          <w:sz w:val="28"/>
          <w:szCs w:val="28"/>
        </w:rPr>
        <w:t>term guest</w:t>
      </w:r>
      <w:r w:rsidR="00A87186">
        <w:rPr>
          <w:rFonts w:ascii="Times New Roman" w:hAnsi="Times New Roman" w:cs="Times New Roman"/>
          <w:sz w:val="28"/>
          <w:szCs w:val="28"/>
        </w:rPr>
        <w:t>s</w:t>
      </w:r>
      <w:r w:rsidR="00136470">
        <w:rPr>
          <w:rFonts w:ascii="Times New Roman" w:hAnsi="Times New Roman" w:cs="Times New Roman"/>
          <w:sz w:val="28"/>
          <w:szCs w:val="28"/>
        </w:rPr>
        <w:t xml:space="preserve">, who would not be </w:t>
      </w:r>
      <w:r w:rsidR="00136470" w:rsidRPr="005F02E2">
        <w:rPr>
          <w:rFonts w:ascii="Times New Roman" w:hAnsi="Times New Roman" w:cs="Times New Roman"/>
          <w:sz w:val="28"/>
          <w:szCs w:val="28"/>
          <w:u w:val="single"/>
        </w:rPr>
        <w:t>regular</w:t>
      </w:r>
      <w:r w:rsidR="00136470">
        <w:rPr>
          <w:rFonts w:ascii="Times New Roman" w:hAnsi="Times New Roman" w:cs="Times New Roman"/>
          <w:sz w:val="28"/>
          <w:szCs w:val="28"/>
        </w:rPr>
        <w:t xml:space="preserve"> occupant</w:t>
      </w:r>
      <w:r w:rsidR="00A87186">
        <w:rPr>
          <w:rFonts w:ascii="Times New Roman" w:hAnsi="Times New Roman" w:cs="Times New Roman"/>
          <w:sz w:val="28"/>
          <w:szCs w:val="28"/>
        </w:rPr>
        <w:t>s</w:t>
      </w:r>
      <w:r w:rsidR="00E9403D">
        <w:rPr>
          <w:rFonts w:ascii="Times New Roman" w:hAnsi="Times New Roman" w:cs="Times New Roman"/>
          <w:sz w:val="28"/>
          <w:szCs w:val="28"/>
        </w:rPr>
        <w:t>.</w:t>
      </w:r>
      <w:r w:rsidR="00F42BA9">
        <w:rPr>
          <w:rStyle w:val="FootnoteReference"/>
          <w:rFonts w:ascii="Times New Roman" w:hAnsi="Times New Roman" w:cs="Times New Roman"/>
          <w:sz w:val="28"/>
          <w:szCs w:val="28"/>
        </w:rPr>
        <w:footnoteReference w:id="14"/>
      </w:r>
      <w:r w:rsidR="00821397">
        <w:rPr>
          <w:rFonts w:ascii="Times New Roman" w:hAnsi="Times New Roman" w:cs="Times New Roman"/>
          <w:sz w:val="28"/>
          <w:szCs w:val="28"/>
        </w:rPr>
        <w:t>)</w:t>
      </w:r>
      <w:r w:rsidR="00136470">
        <w:rPr>
          <w:rFonts w:ascii="Times New Roman" w:hAnsi="Times New Roman" w:cs="Times New Roman"/>
          <w:sz w:val="28"/>
          <w:szCs w:val="28"/>
        </w:rPr>
        <w:t xml:space="preserve"> This</w:t>
      </w:r>
      <w:r w:rsidR="00FD489D">
        <w:rPr>
          <w:rFonts w:ascii="Times New Roman" w:hAnsi="Times New Roman" w:cs="Times New Roman"/>
          <w:sz w:val="28"/>
          <w:szCs w:val="28"/>
        </w:rPr>
        <w:t xml:space="preserve"> made the TRA and the Covenants of Habitability parallel statutes.</w:t>
      </w:r>
      <w:r w:rsidR="00136470">
        <w:rPr>
          <w:rFonts w:ascii="Times New Roman" w:hAnsi="Times New Roman" w:cs="Times New Roman"/>
          <w:sz w:val="28"/>
          <w:szCs w:val="28"/>
        </w:rPr>
        <w:t xml:space="preserve"> </w:t>
      </w:r>
      <w:r w:rsidR="00FD489D">
        <w:rPr>
          <w:rFonts w:ascii="Times New Roman" w:hAnsi="Times New Roman" w:cs="Times New Roman"/>
          <w:sz w:val="28"/>
          <w:szCs w:val="28"/>
        </w:rPr>
        <w:t xml:space="preserve">The </w:t>
      </w:r>
      <w:r w:rsidR="00136470">
        <w:rPr>
          <w:rFonts w:ascii="Times New Roman" w:hAnsi="Times New Roman" w:cs="Times New Roman"/>
          <w:sz w:val="28"/>
          <w:szCs w:val="28"/>
        </w:rPr>
        <w:t xml:space="preserve">status </w:t>
      </w:r>
      <w:r w:rsidR="00FD489D">
        <w:rPr>
          <w:rFonts w:ascii="Times New Roman" w:hAnsi="Times New Roman" w:cs="Times New Roman"/>
          <w:sz w:val="28"/>
          <w:szCs w:val="28"/>
        </w:rPr>
        <w:t xml:space="preserve">of “other regular occupant” </w:t>
      </w:r>
      <w:r w:rsidR="00136470">
        <w:rPr>
          <w:rFonts w:ascii="Times New Roman" w:hAnsi="Times New Roman" w:cs="Times New Roman"/>
          <w:sz w:val="28"/>
          <w:szCs w:val="28"/>
        </w:rPr>
        <w:t>can</w:t>
      </w:r>
      <w:r w:rsidR="005F02E2">
        <w:rPr>
          <w:rFonts w:ascii="Times New Roman" w:hAnsi="Times New Roman" w:cs="Times New Roman"/>
          <w:sz w:val="28"/>
          <w:szCs w:val="28"/>
        </w:rPr>
        <w:t xml:space="preserve">not </w:t>
      </w:r>
      <w:r w:rsidR="00136470">
        <w:rPr>
          <w:rFonts w:ascii="Times New Roman" w:hAnsi="Times New Roman" w:cs="Times New Roman"/>
          <w:sz w:val="28"/>
          <w:szCs w:val="28"/>
        </w:rPr>
        <w:t>be denied by the main landlord (e.g.</w:t>
      </w:r>
      <w:r w:rsidR="00AB55D3">
        <w:rPr>
          <w:rFonts w:ascii="Times New Roman" w:hAnsi="Times New Roman" w:cs="Times New Roman"/>
          <w:sz w:val="28"/>
          <w:szCs w:val="28"/>
        </w:rPr>
        <w:t xml:space="preserve">, </w:t>
      </w:r>
      <w:r w:rsidR="00136470">
        <w:rPr>
          <w:rFonts w:ascii="Times New Roman" w:hAnsi="Times New Roman" w:cs="Times New Roman"/>
          <w:sz w:val="28"/>
          <w:szCs w:val="28"/>
        </w:rPr>
        <w:t xml:space="preserve">LMC) because [a] it is not that entity which gives the license; and [b] </w:t>
      </w:r>
      <w:r w:rsidR="00484D0C">
        <w:rPr>
          <w:rFonts w:ascii="Times New Roman" w:hAnsi="Times New Roman" w:cs="Times New Roman"/>
          <w:sz w:val="28"/>
          <w:szCs w:val="28"/>
        </w:rPr>
        <w:t>the rights of a “tenant” (now “residential tenant”) cannot be waive</w:t>
      </w:r>
      <w:r w:rsidR="00AB55D3">
        <w:rPr>
          <w:rFonts w:ascii="Times New Roman" w:hAnsi="Times New Roman" w:cs="Times New Roman"/>
          <w:sz w:val="28"/>
          <w:szCs w:val="28"/>
        </w:rPr>
        <w:t>d because</w:t>
      </w:r>
      <w:r w:rsidR="00484D0C">
        <w:rPr>
          <w:rFonts w:ascii="Times New Roman" w:hAnsi="Times New Roman" w:cs="Times New Roman"/>
          <w:sz w:val="28"/>
          <w:szCs w:val="28"/>
        </w:rPr>
        <w:t xml:space="preserve"> the TRA include</w:t>
      </w:r>
      <w:r w:rsidR="00AB55D3">
        <w:rPr>
          <w:rFonts w:ascii="Times New Roman" w:hAnsi="Times New Roman" w:cs="Times New Roman"/>
          <w:sz w:val="28"/>
          <w:szCs w:val="28"/>
        </w:rPr>
        <w:t xml:space="preserve">d </w:t>
      </w:r>
      <w:r w:rsidR="00484D0C">
        <w:rPr>
          <w:rFonts w:ascii="Times New Roman" w:hAnsi="Times New Roman" w:cs="Times New Roman"/>
          <w:sz w:val="28"/>
          <w:szCs w:val="28"/>
        </w:rPr>
        <w:t>the following non-waiver clause:</w:t>
      </w:r>
    </w:p>
    <w:p w14:paraId="32586F0C" w14:textId="55226138" w:rsidR="00484D0C" w:rsidRPr="00484D0C" w:rsidRDefault="00484D0C" w:rsidP="00484D0C">
      <w:pPr>
        <w:ind w:left="720"/>
        <w:rPr>
          <w:rFonts w:ascii="Times New Roman" w:hAnsi="Times New Roman" w:cs="Times New Roman"/>
          <w:sz w:val="28"/>
          <w:szCs w:val="28"/>
        </w:rPr>
      </w:pPr>
      <w:r w:rsidRPr="00484D0C">
        <w:rPr>
          <w:rFonts w:ascii="Times New Roman" w:hAnsi="Times New Roman" w:cs="Times New Roman"/>
          <w:sz w:val="28"/>
          <w:szCs w:val="28"/>
        </w:rPr>
        <w:t xml:space="preserve">Any provision, whether oral or written, of any lease or other agreement whereby any provision of this act is waived by a </w:t>
      </w:r>
      <w:r w:rsidR="00FD489D">
        <w:rPr>
          <w:rFonts w:ascii="Times New Roman" w:hAnsi="Times New Roman" w:cs="Times New Roman"/>
          <w:sz w:val="28"/>
          <w:szCs w:val="28"/>
        </w:rPr>
        <w:t xml:space="preserve">[residential] </w:t>
      </w:r>
      <w:r w:rsidRPr="00484D0C">
        <w:rPr>
          <w:rFonts w:ascii="Times New Roman" w:hAnsi="Times New Roman" w:cs="Times New Roman"/>
          <w:sz w:val="28"/>
          <w:szCs w:val="28"/>
        </w:rPr>
        <w:t>tenant</w:t>
      </w:r>
      <w:r w:rsidR="00FD489D">
        <w:rPr>
          <w:rFonts w:ascii="Times New Roman" w:hAnsi="Times New Roman" w:cs="Times New Roman"/>
          <w:sz w:val="28"/>
          <w:szCs w:val="28"/>
        </w:rPr>
        <w:t xml:space="preserve"> </w:t>
      </w:r>
      <w:r w:rsidRPr="00484D0C">
        <w:rPr>
          <w:rFonts w:ascii="Times New Roman" w:hAnsi="Times New Roman" w:cs="Times New Roman"/>
          <w:sz w:val="28"/>
          <w:szCs w:val="28"/>
        </w:rPr>
        <w:t xml:space="preserve">shall be deemed contrary to public policy and void. </w:t>
      </w:r>
    </w:p>
    <w:p w14:paraId="4AB9F62F" w14:textId="69EF86F5" w:rsidR="009778A6" w:rsidRDefault="00000000" w:rsidP="002141F1">
      <w:pPr>
        <w:rPr>
          <w:rFonts w:ascii="Times New Roman" w:hAnsi="Times New Roman" w:cs="Times New Roman"/>
          <w:sz w:val="28"/>
          <w:szCs w:val="28"/>
        </w:rPr>
      </w:pPr>
      <w:hyperlink r:id="rId27" w:history="1">
        <w:r w:rsidR="009778A6" w:rsidRPr="007C3274">
          <w:rPr>
            <w:rStyle w:val="Hyperlink"/>
            <w:rFonts w:ascii="Times New Roman" w:hAnsi="Times New Roman" w:cs="Times New Roman"/>
            <w:sz w:val="28"/>
            <w:szCs w:val="28"/>
          </w:rPr>
          <w:t xml:space="preserve">1973 Minn. Laws </w:t>
        </w:r>
        <w:proofErr w:type="spellStart"/>
        <w:r w:rsidR="009778A6" w:rsidRPr="007C3274">
          <w:rPr>
            <w:rStyle w:val="Hyperlink"/>
            <w:rFonts w:ascii="Times New Roman" w:hAnsi="Times New Roman" w:cs="Times New Roman"/>
            <w:sz w:val="28"/>
            <w:szCs w:val="28"/>
          </w:rPr>
          <w:t>ch.</w:t>
        </w:r>
        <w:proofErr w:type="spellEnd"/>
        <w:r w:rsidR="009778A6" w:rsidRPr="007C3274">
          <w:rPr>
            <w:rStyle w:val="Hyperlink"/>
            <w:rFonts w:ascii="Times New Roman" w:hAnsi="Times New Roman" w:cs="Times New Roman"/>
            <w:sz w:val="28"/>
            <w:szCs w:val="28"/>
          </w:rPr>
          <w:t xml:space="preserve"> 611, s. </w:t>
        </w:r>
        <w:r w:rsidR="009778A6">
          <w:rPr>
            <w:rStyle w:val="Hyperlink"/>
            <w:rFonts w:ascii="Times New Roman" w:hAnsi="Times New Roman" w:cs="Times New Roman"/>
            <w:sz w:val="28"/>
            <w:szCs w:val="28"/>
          </w:rPr>
          <w:t>27</w:t>
        </w:r>
      </w:hyperlink>
      <w:r w:rsidR="00AB55D3">
        <w:rPr>
          <w:rFonts w:ascii="Times New Roman" w:hAnsi="Times New Roman" w:cs="Times New Roman"/>
          <w:sz w:val="28"/>
          <w:szCs w:val="28"/>
        </w:rPr>
        <w:t xml:space="preserve">, now codified at </w:t>
      </w:r>
      <w:hyperlink r:id="rId28" w:history="1">
        <w:r w:rsidR="00AB55D3" w:rsidRPr="00AB55D3">
          <w:rPr>
            <w:rStyle w:val="Hyperlink"/>
            <w:rFonts w:ascii="Times New Roman" w:hAnsi="Times New Roman" w:cs="Times New Roman"/>
            <w:sz w:val="28"/>
            <w:szCs w:val="28"/>
          </w:rPr>
          <w:t>Minn. Stat. §</w:t>
        </w:r>
        <w:r w:rsidR="00821397">
          <w:rPr>
            <w:rStyle w:val="Hyperlink"/>
            <w:rFonts w:ascii="Times New Roman" w:hAnsi="Times New Roman" w:cs="Times New Roman"/>
            <w:sz w:val="28"/>
            <w:szCs w:val="28"/>
          </w:rPr>
          <w:t xml:space="preserve"> </w:t>
        </w:r>
        <w:r w:rsidR="00AB55D3" w:rsidRPr="00AB55D3">
          <w:rPr>
            <w:rStyle w:val="Hyperlink"/>
            <w:rFonts w:ascii="Times New Roman" w:hAnsi="Times New Roman" w:cs="Times New Roman"/>
            <w:sz w:val="28"/>
            <w:szCs w:val="28"/>
          </w:rPr>
          <w:t>504B.465</w:t>
        </w:r>
      </w:hyperlink>
      <w:r w:rsidR="00AB55D3">
        <w:rPr>
          <w:rFonts w:ascii="Times New Roman" w:hAnsi="Times New Roman" w:cs="Times New Roman"/>
          <w:sz w:val="28"/>
          <w:szCs w:val="28"/>
        </w:rPr>
        <w:t>.</w:t>
      </w:r>
    </w:p>
    <w:p w14:paraId="029B5997" w14:textId="13959A31" w:rsidR="00136470" w:rsidRDefault="00484D0C" w:rsidP="002141F1">
      <w:pPr>
        <w:rPr>
          <w:rFonts w:ascii="Times New Roman" w:hAnsi="Times New Roman" w:cs="Times New Roman"/>
          <w:sz w:val="28"/>
          <w:szCs w:val="28"/>
        </w:rPr>
      </w:pPr>
      <w:r>
        <w:rPr>
          <w:rFonts w:ascii="Times New Roman" w:hAnsi="Times New Roman" w:cs="Times New Roman"/>
          <w:sz w:val="28"/>
          <w:szCs w:val="28"/>
        </w:rPr>
        <w:t xml:space="preserve">It would stand the TRA on its head if either the main landlord or the main tenant could </w:t>
      </w:r>
      <w:r w:rsidR="00AD7E80">
        <w:rPr>
          <w:rFonts w:ascii="Times New Roman" w:hAnsi="Times New Roman" w:cs="Times New Roman"/>
          <w:sz w:val="28"/>
          <w:szCs w:val="28"/>
        </w:rPr>
        <w:t>fail to</w:t>
      </w:r>
      <w:r>
        <w:rPr>
          <w:rFonts w:ascii="Times New Roman" w:hAnsi="Times New Roman" w:cs="Times New Roman"/>
          <w:sz w:val="28"/>
          <w:szCs w:val="28"/>
        </w:rPr>
        <w:t xml:space="preserve"> fix the unit up to code and then defend a TRA action brought by the other regular occupant on the grounds that she did not have the right to be there.</w:t>
      </w:r>
    </w:p>
    <w:p w14:paraId="6D490571" w14:textId="1D5E8D5F" w:rsidR="004E43DC" w:rsidRPr="004E43DC" w:rsidRDefault="004E43DC" w:rsidP="004E43DC">
      <w:pPr>
        <w:ind w:left="720"/>
        <w:rPr>
          <w:rFonts w:ascii="Times New Roman" w:hAnsi="Times New Roman" w:cs="Times New Roman"/>
          <w:sz w:val="28"/>
          <w:szCs w:val="28"/>
          <w:u w:val="single"/>
        </w:rPr>
      </w:pPr>
      <w:proofErr w:type="spellStart"/>
      <w:r w:rsidRPr="004E43DC">
        <w:rPr>
          <w:rFonts w:ascii="Times New Roman" w:hAnsi="Times New Roman" w:cs="Times New Roman"/>
          <w:i/>
          <w:iCs/>
          <w:sz w:val="28"/>
          <w:szCs w:val="28"/>
          <w:u w:val="single"/>
        </w:rPr>
        <w:lastRenderedPageBreak/>
        <w:t>Broszko</w:t>
      </w:r>
      <w:proofErr w:type="spellEnd"/>
      <w:r w:rsidRPr="004E43DC">
        <w:rPr>
          <w:rFonts w:ascii="Times New Roman" w:hAnsi="Times New Roman" w:cs="Times New Roman"/>
          <w:i/>
          <w:iCs/>
          <w:sz w:val="28"/>
          <w:szCs w:val="28"/>
          <w:u w:val="single"/>
        </w:rPr>
        <w:t xml:space="preserve"> v. Principal Mutual Life Insurance Co.</w:t>
      </w:r>
      <w:r w:rsidRPr="004E43DC">
        <w:rPr>
          <w:rFonts w:ascii="Times New Roman" w:hAnsi="Times New Roman" w:cs="Times New Roman"/>
          <w:sz w:val="28"/>
          <w:szCs w:val="28"/>
          <w:u w:val="single"/>
        </w:rPr>
        <w:t xml:space="preserve"> is consistent with the above discussion of the TRA.</w:t>
      </w:r>
    </w:p>
    <w:p w14:paraId="2B430A80" w14:textId="15E3E0FE" w:rsidR="00E417AA" w:rsidRPr="00D1363F" w:rsidRDefault="001D00ED" w:rsidP="00E417AA">
      <w:pPr>
        <w:rPr>
          <w:rFonts w:ascii="Times New Roman" w:hAnsi="Times New Roman" w:cs="Times New Roman"/>
          <w:sz w:val="28"/>
          <w:szCs w:val="28"/>
        </w:rPr>
      </w:pPr>
      <w:r>
        <w:rPr>
          <w:rFonts w:ascii="Times New Roman" w:hAnsi="Times New Roman" w:cs="Times New Roman"/>
          <w:sz w:val="28"/>
          <w:szCs w:val="28"/>
        </w:rPr>
        <w:t>A case invoked by LMC,</w:t>
      </w:r>
      <w:r w:rsidR="00FD489D">
        <w:rPr>
          <w:rFonts w:ascii="Times New Roman" w:hAnsi="Times New Roman" w:cs="Times New Roman"/>
          <w:sz w:val="28"/>
          <w:szCs w:val="28"/>
        </w:rPr>
        <w:t xml:space="preserve"> </w:t>
      </w:r>
      <w:hyperlink r:id="rId29" w:history="1">
        <w:proofErr w:type="spellStart"/>
        <w:r w:rsidR="00E417AA" w:rsidRPr="00D1363F">
          <w:rPr>
            <w:rStyle w:val="Hyperlink"/>
            <w:rFonts w:ascii="Times New Roman" w:hAnsi="Times New Roman" w:cs="Times New Roman"/>
            <w:i/>
            <w:iCs/>
            <w:color w:val="1A0DAB"/>
            <w:sz w:val="28"/>
            <w:szCs w:val="28"/>
            <w:shd w:val="clear" w:color="auto" w:fill="FFFFFF"/>
          </w:rPr>
          <w:t>Broszko</w:t>
        </w:r>
        <w:proofErr w:type="spellEnd"/>
        <w:r w:rsidR="00E417AA" w:rsidRPr="00D1363F">
          <w:rPr>
            <w:rStyle w:val="Hyperlink"/>
            <w:rFonts w:ascii="Times New Roman" w:hAnsi="Times New Roman" w:cs="Times New Roman"/>
            <w:i/>
            <w:iCs/>
            <w:color w:val="1A0DAB"/>
            <w:sz w:val="28"/>
            <w:szCs w:val="28"/>
            <w:shd w:val="clear" w:color="auto" w:fill="FFFFFF"/>
          </w:rPr>
          <w:t xml:space="preserve"> v. Principal Mutual Life Insurance Co.,</w:t>
        </w:r>
        <w:r w:rsidR="00E417AA" w:rsidRPr="00D1363F">
          <w:rPr>
            <w:rStyle w:val="Hyperlink"/>
            <w:rFonts w:ascii="Times New Roman" w:hAnsi="Times New Roman" w:cs="Times New Roman"/>
            <w:color w:val="1A0DAB"/>
            <w:sz w:val="28"/>
            <w:szCs w:val="28"/>
            <w:shd w:val="clear" w:color="auto" w:fill="FFFFFF"/>
          </w:rPr>
          <w:t> 533 N.W.2d 656 (Minn. App. 1995),</w:t>
        </w:r>
      </w:hyperlink>
      <w:r w:rsidR="00E417AA" w:rsidRPr="00D1363F">
        <w:rPr>
          <w:rFonts w:ascii="Times New Roman" w:hAnsi="Times New Roman" w:cs="Times New Roman"/>
          <w:color w:val="222222"/>
          <w:sz w:val="28"/>
          <w:szCs w:val="28"/>
          <w:shd w:val="clear" w:color="auto" w:fill="FFFFFF"/>
        </w:rPr>
        <w:t> </w:t>
      </w:r>
      <w:r w:rsidR="00E417AA" w:rsidRPr="00D1363F">
        <w:rPr>
          <w:rFonts w:ascii="Times New Roman" w:hAnsi="Times New Roman" w:cs="Times New Roman"/>
          <w:i/>
          <w:iCs/>
          <w:color w:val="222222"/>
          <w:sz w:val="28"/>
          <w:szCs w:val="28"/>
          <w:shd w:val="clear" w:color="auto" w:fill="FFFFFF"/>
        </w:rPr>
        <w:t>rev. denied</w:t>
      </w:r>
      <w:r w:rsidR="00E417AA" w:rsidRPr="00D1363F">
        <w:rPr>
          <w:rFonts w:ascii="Times New Roman" w:hAnsi="Times New Roman" w:cs="Times New Roman"/>
          <w:color w:val="222222"/>
          <w:sz w:val="28"/>
          <w:szCs w:val="28"/>
          <w:shd w:val="clear" w:color="auto" w:fill="FFFFFF"/>
        </w:rPr>
        <w:t> (Minn. Sept. 19, 1995)</w:t>
      </w:r>
      <w:r>
        <w:rPr>
          <w:rFonts w:ascii="Times New Roman" w:hAnsi="Times New Roman" w:cs="Times New Roman"/>
          <w:color w:val="222222"/>
          <w:sz w:val="28"/>
          <w:szCs w:val="28"/>
          <w:shd w:val="clear" w:color="auto" w:fill="FFFFFF"/>
        </w:rPr>
        <w:t>, actually</w:t>
      </w:r>
      <w:r w:rsidR="00E417AA" w:rsidRPr="00D1363F">
        <w:rPr>
          <w:rFonts w:ascii="Times New Roman" w:hAnsi="Times New Roman" w:cs="Times New Roman"/>
          <w:color w:val="222222"/>
          <w:sz w:val="28"/>
          <w:szCs w:val="28"/>
          <w:shd w:val="clear" w:color="auto" w:fill="FFFFFF"/>
        </w:rPr>
        <w:t xml:space="preserve"> </w:t>
      </w:r>
      <w:r w:rsidR="00E417AA">
        <w:rPr>
          <w:rFonts w:ascii="Times New Roman" w:hAnsi="Times New Roman" w:cs="Times New Roman"/>
          <w:color w:val="222222"/>
          <w:sz w:val="28"/>
          <w:szCs w:val="28"/>
          <w:shd w:val="clear" w:color="auto" w:fill="FFFFFF"/>
        </w:rPr>
        <w:t>is consistent with the reasoning above.</w:t>
      </w:r>
      <w:r w:rsidR="00E417AA">
        <w:rPr>
          <w:rFonts w:ascii="Times New Roman" w:hAnsi="Times New Roman" w:cs="Times New Roman"/>
          <w:sz w:val="28"/>
          <w:szCs w:val="28"/>
        </w:rPr>
        <w:t xml:space="preserve"> </w:t>
      </w:r>
      <w:r w:rsidR="00E417AA" w:rsidRPr="00D1363F">
        <w:rPr>
          <w:rFonts w:ascii="Times New Roman" w:hAnsi="Times New Roman" w:cs="Times New Roman"/>
          <w:sz w:val="28"/>
          <w:szCs w:val="28"/>
        </w:rPr>
        <w:t xml:space="preserve">Tina </w:t>
      </w:r>
      <w:proofErr w:type="spellStart"/>
      <w:r w:rsidR="00E417AA" w:rsidRPr="00D1363F">
        <w:rPr>
          <w:rFonts w:ascii="Times New Roman" w:hAnsi="Times New Roman" w:cs="Times New Roman"/>
          <w:sz w:val="28"/>
          <w:szCs w:val="28"/>
        </w:rPr>
        <w:t>Borgen</w:t>
      </w:r>
      <w:proofErr w:type="spellEnd"/>
      <w:r w:rsidR="00E417AA" w:rsidRPr="00D1363F">
        <w:rPr>
          <w:rFonts w:ascii="Times New Roman" w:hAnsi="Times New Roman" w:cs="Times New Roman"/>
          <w:sz w:val="28"/>
          <w:szCs w:val="28"/>
        </w:rPr>
        <w:t xml:space="preserve"> defaulted on a house mortgage and the mortgage was foreclosed. </w:t>
      </w:r>
      <w:r w:rsidR="00225CFE">
        <w:rPr>
          <w:rFonts w:ascii="Times New Roman" w:hAnsi="Times New Roman" w:cs="Times New Roman"/>
          <w:sz w:val="28"/>
          <w:szCs w:val="28"/>
        </w:rPr>
        <w:t xml:space="preserve">Ms. </w:t>
      </w:r>
      <w:proofErr w:type="spellStart"/>
      <w:r w:rsidR="00E417AA" w:rsidRPr="00D1363F">
        <w:rPr>
          <w:rFonts w:ascii="Times New Roman" w:hAnsi="Times New Roman" w:cs="Times New Roman"/>
          <w:sz w:val="28"/>
          <w:szCs w:val="28"/>
        </w:rPr>
        <w:t>Borgen</w:t>
      </w:r>
      <w:proofErr w:type="spellEnd"/>
      <w:r w:rsidR="00E417AA" w:rsidRPr="00D1363F">
        <w:rPr>
          <w:rFonts w:ascii="Times New Roman" w:hAnsi="Times New Roman" w:cs="Times New Roman"/>
          <w:sz w:val="28"/>
          <w:szCs w:val="28"/>
        </w:rPr>
        <w:t xml:space="preserve"> allowed Denise </w:t>
      </w:r>
      <w:proofErr w:type="spellStart"/>
      <w:r w:rsidR="00E417AA" w:rsidRPr="00D1363F">
        <w:rPr>
          <w:rFonts w:ascii="Times New Roman" w:hAnsi="Times New Roman" w:cs="Times New Roman"/>
          <w:sz w:val="28"/>
          <w:szCs w:val="28"/>
        </w:rPr>
        <w:t>Broszko</w:t>
      </w:r>
      <w:proofErr w:type="spellEnd"/>
      <w:r w:rsidR="00E417AA" w:rsidRPr="00D1363F">
        <w:rPr>
          <w:rFonts w:ascii="Times New Roman" w:hAnsi="Times New Roman" w:cs="Times New Roman"/>
          <w:sz w:val="28"/>
          <w:szCs w:val="28"/>
        </w:rPr>
        <w:t xml:space="preserve"> to live in the house during the redemption period in return for $400 per month.  Ms. </w:t>
      </w:r>
      <w:proofErr w:type="spellStart"/>
      <w:r w:rsidR="00E417AA" w:rsidRPr="00D1363F">
        <w:rPr>
          <w:rFonts w:ascii="Times New Roman" w:hAnsi="Times New Roman" w:cs="Times New Roman"/>
          <w:sz w:val="28"/>
          <w:szCs w:val="28"/>
        </w:rPr>
        <w:t>Borgen</w:t>
      </w:r>
      <w:proofErr w:type="spellEnd"/>
      <w:r w:rsidR="00E417AA" w:rsidRPr="00D1363F">
        <w:rPr>
          <w:rFonts w:ascii="Times New Roman" w:hAnsi="Times New Roman" w:cs="Times New Roman"/>
          <w:sz w:val="28"/>
          <w:szCs w:val="28"/>
        </w:rPr>
        <w:t xml:space="preserve"> did not live with Ms. </w:t>
      </w:r>
      <w:proofErr w:type="spellStart"/>
      <w:r w:rsidR="00E417AA" w:rsidRPr="00D1363F">
        <w:rPr>
          <w:rFonts w:ascii="Times New Roman" w:hAnsi="Times New Roman" w:cs="Times New Roman"/>
          <w:sz w:val="28"/>
          <w:szCs w:val="28"/>
        </w:rPr>
        <w:t>Broszko</w:t>
      </w:r>
      <w:proofErr w:type="spellEnd"/>
      <w:r w:rsidR="00E417AA" w:rsidRPr="00D1363F">
        <w:rPr>
          <w:rFonts w:ascii="Times New Roman" w:hAnsi="Times New Roman" w:cs="Times New Roman"/>
          <w:sz w:val="28"/>
          <w:szCs w:val="28"/>
        </w:rPr>
        <w:t xml:space="preserve">. At the end of the redemption period, the lender filed an unlawful detainer </w:t>
      </w:r>
      <w:r w:rsidR="005F608D">
        <w:rPr>
          <w:rFonts w:ascii="Times New Roman" w:hAnsi="Times New Roman" w:cs="Times New Roman"/>
          <w:sz w:val="28"/>
          <w:szCs w:val="28"/>
        </w:rPr>
        <w:t xml:space="preserve">(eviction) </w:t>
      </w:r>
      <w:r w:rsidR="00E417AA" w:rsidRPr="00D1363F">
        <w:rPr>
          <w:rFonts w:ascii="Times New Roman" w:hAnsi="Times New Roman" w:cs="Times New Roman"/>
          <w:sz w:val="28"/>
          <w:szCs w:val="28"/>
        </w:rPr>
        <w:t xml:space="preserve">action against all the occupants. </w:t>
      </w:r>
    </w:p>
    <w:p w14:paraId="6A472648" w14:textId="14285BED" w:rsidR="00CE425A" w:rsidRPr="00D1363F" w:rsidRDefault="00E417AA" w:rsidP="00CE425A">
      <w:pPr>
        <w:rPr>
          <w:rFonts w:ascii="Times New Roman" w:hAnsi="Times New Roman" w:cs="Times New Roman"/>
          <w:sz w:val="28"/>
          <w:szCs w:val="28"/>
        </w:rPr>
      </w:pPr>
      <w:r w:rsidRPr="00D1363F">
        <w:rPr>
          <w:rFonts w:ascii="Times New Roman" w:hAnsi="Times New Roman" w:cs="Times New Roman"/>
          <w:sz w:val="28"/>
          <w:szCs w:val="28"/>
        </w:rPr>
        <w:t xml:space="preserve">Ms. </w:t>
      </w:r>
      <w:proofErr w:type="spellStart"/>
      <w:r w:rsidRPr="00D1363F">
        <w:rPr>
          <w:rFonts w:ascii="Times New Roman" w:hAnsi="Times New Roman" w:cs="Times New Roman"/>
          <w:sz w:val="28"/>
          <w:szCs w:val="28"/>
        </w:rPr>
        <w:t>Broszko</w:t>
      </w:r>
      <w:proofErr w:type="spellEnd"/>
      <w:r w:rsidRPr="00D1363F">
        <w:rPr>
          <w:rFonts w:ascii="Times New Roman" w:hAnsi="Times New Roman" w:cs="Times New Roman"/>
          <w:sz w:val="28"/>
          <w:szCs w:val="28"/>
        </w:rPr>
        <w:t xml:space="preserve"> raised several defenses, all of which depended on her being a “[residential] tenant”</w:t>
      </w:r>
      <w:r w:rsidRPr="00D1363F">
        <w:rPr>
          <w:rStyle w:val="FootnoteReference"/>
          <w:rFonts w:ascii="Times New Roman" w:hAnsi="Times New Roman" w:cs="Times New Roman"/>
          <w:sz w:val="28"/>
          <w:szCs w:val="28"/>
        </w:rPr>
        <w:footnoteReference w:id="15"/>
      </w:r>
      <w:r w:rsidRPr="00D1363F">
        <w:rPr>
          <w:rFonts w:ascii="Times New Roman" w:hAnsi="Times New Roman" w:cs="Times New Roman"/>
          <w:sz w:val="28"/>
          <w:szCs w:val="28"/>
        </w:rPr>
        <w:t xml:space="preserve">. </w:t>
      </w:r>
      <w:r w:rsidR="004447EA">
        <w:rPr>
          <w:rFonts w:ascii="Times New Roman" w:hAnsi="Times New Roman" w:cs="Times New Roman"/>
          <w:sz w:val="28"/>
          <w:szCs w:val="28"/>
        </w:rPr>
        <w:t>T</w:t>
      </w:r>
      <w:r w:rsidRPr="00D1363F">
        <w:rPr>
          <w:rFonts w:ascii="Times New Roman" w:hAnsi="Times New Roman" w:cs="Times New Roman"/>
          <w:sz w:val="28"/>
          <w:szCs w:val="28"/>
        </w:rPr>
        <w:t xml:space="preserve">he </w:t>
      </w:r>
      <w:proofErr w:type="spellStart"/>
      <w:r w:rsidRPr="00CE425A">
        <w:rPr>
          <w:rFonts w:ascii="Times New Roman" w:hAnsi="Times New Roman" w:cs="Times New Roman"/>
          <w:i/>
          <w:iCs/>
          <w:sz w:val="28"/>
          <w:szCs w:val="28"/>
          <w:u w:val="single"/>
        </w:rPr>
        <w:t>Broszko</w:t>
      </w:r>
      <w:proofErr w:type="spellEnd"/>
      <w:r w:rsidRPr="00D1363F">
        <w:rPr>
          <w:rFonts w:ascii="Times New Roman" w:hAnsi="Times New Roman" w:cs="Times New Roman"/>
          <w:sz w:val="28"/>
          <w:szCs w:val="28"/>
        </w:rPr>
        <w:t xml:space="preserve"> court</w:t>
      </w:r>
      <w:r w:rsidR="004447EA">
        <w:rPr>
          <w:rFonts w:ascii="Times New Roman" w:hAnsi="Times New Roman" w:cs="Times New Roman"/>
          <w:sz w:val="28"/>
          <w:szCs w:val="28"/>
        </w:rPr>
        <w:t xml:space="preserve"> rejected all the defenses, holding</w:t>
      </w:r>
      <w:r w:rsidRPr="00D1363F">
        <w:rPr>
          <w:rFonts w:ascii="Times New Roman" w:hAnsi="Times New Roman" w:cs="Times New Roman"/>
          <w:sz w:val="28"/>
          <w:szCs w:val="28"/>
        </w:rPr>
        <w:t>, “</w:t>
      </w:r>
      <w:r w:rsidR="00B93DBC">
        <w:rPr>
          <w:rFonts w:ascii="Times New Roman" w:hAnsi="Times New Roman" w:cs="Times New Roman"/>
          <w:color w:val="222222"/>
          <w:sz w:val="28"/>
          <w:szCs w:val="28"/>
          <w:shd w:val="clear" w:color="auto" w:fill="FFFFFF"/>
        </w:rPr>
        <w:t>A</w:t>
      </w:r>
      <w:r w:rsidRPr="00D1363F">
        <w:rPr>
          <w:rFonts w:ascii="Times New Roman" w:hAnsi="Times New Roman" w:cs="Times New Roman"/>
          <w:color w:val="222222"/>
          <w:sz w:val="28"/>
          <w:szCs w:val="28"/>
          <w:shd w:val="clear" w:color="auto" w:fill="FFFFFF"/>
        </w:rPr>
        <w:t xml:space="preserve"> former owner (i.e., mortgagor) retains the right to possess the property until the end of the redemption period… [but] such former owners are not ‘tenants’ of the new owner within the meaning of the chapter 566.” </w:t>
      </w:r>
      <w:r w:rsidRPr="00D1363F">
        <w:rPr>
          <w:rFonts w:ascii="Times New Roman" w:hAnsi="Times New Roman" w:cs="Times New Roman"/>
          <w:color w:val="222222"/>
          <w:sz w:val="28"/>
          <w:szCs w:val="28"/>
          <w:u w:val="single"/>
          <w:shd w:val="clear" w:color="auto" w:fill="FFFFFF"/>
        </w:rPr>
        <w:t>Id</w:t>
      </w:r>
      <w:r w:rsidRPr="00D1363F">
        <w:rPr>
          <w:rFonts w:ascii="Times New Roman" w:hAnsi="Times New Roman" w:cs="Times New Roman"/>
          <w:color w:val="222222"/>
          <w:sz w:val="28"/>
          <w:szCs w:val="28"/>
          <w:shd w:val="clear" w:color="auto" w:fill="FFFFFF"/>
        </w:rPr>
        <w:t>. at 659-660.</w:t>
      </w:r>
      <w:r w:rsidRPr="00D1363F">
        <w:rPr>
          <w:rStyle w:val="FootnoteReference"/>
          <w:rFonts w:ascii="Times New Roman" w:hAnsi="Times New Roman" w:cs="Times New Roman"/>
          <w:color w:val="222222"/>
          <w:sz w:val="28"/>
          <w:szCs w:val="28"/>
          <w:shd w:val="clear" w:color="auto" w:fill="FFFFFF"/>
        </w:rPr>
        <w:footnoteReference w:id="16"/>
      </w:r>
      <w:r w:rsidRPr="00D1363F">
        <w:rPr>
          <w:rFonts w:ascii="Times New Roman" w:hAnsi="Times New Roman" w:cs="Times New Roman"/>
          <w:color w:val="222222"/>
          <w:sz w:val="28"/>
          <w:szCs w:val="28"/>
          <w:shd w:val="clear" w:color="auto" w:fill="FFFFFF"/>
        </w:rPr>
        <w:t xml:space="preserve"> The court held that “other regular occupants” means “persons who live in a dwelling unit subject to a valid agreement, lease, or contract, </w:t>
      </w:r>
      <w:r w:rsidRPr="00D1363F">
        <w:rPr>
          <w:rFonts w:ascii="Times New Roman" w:hAnsi="Times New Roman" w:cs="Times New Roman"/>
          <w:i/>
          <w:iCs/>
          <w:color w:val="222222"/>
          <w:sz w:val="28"/>
          <w:szCs w:val="28"/>
          <w:shd w:val="clear" w:color="auto" w:fill="FFFFFF"/>
        </w:rPr>
        <w:t>in addition to</w:t>
      </w:r>
      <w:r w:rsidRPr="00D1363F">
        <w:rPr>
          <w:rFonts w:ascii="Times New Roman" w:hAnsi="Times New Roman" w:cs="Times New Roman"/>
          <w:color w:val="222222"/>
          <w:sz w:val="28"/>
          <w:szCs w:val="28"/>
          <w:shd w:val="clear" w:color="auto" w:fill="FFFFFF"/>
        </w:rPr>
        <w:t xml:space="preserve"> the lessee or renter.” </w:t>
      </w:r>
      <w:r w:rsidRPr="00D1363F">
        <w:rPr>
          <w:rFonts w:ascii="Times New Roman" w:hAnsi="Times New Roman" w:cs="Times New Roman"/>
          <w:color w:val="222222"/>
          <w:sz w:val="28"/>
          <w:szCs w:val="28"/>
          <w:u w:val="single"/>
          <w:shd w:val="clear" w:color="auto" w:fill="FFFFFF"/>
        </w:rPr>
        <w:t>Id</w:t>
      </w:r>
      <w:r w:rsidRPr="00D1363F">
        <w:rPr>
          <w:rFonts w:ascii="Times New Roman" w:hAnsi="Times New Roman" w:cs="Times New Roman"/>
          <w:color w:val="222222"/>
          <w:sz w:val="28"/>
          <w:szCs w:val="28"/>
          <w:shd w:val="clear" w:color="auto" w:fill="FFFFFF"/>
        </w:rPr>
        <w:t xml:space="preserve">. at 660 </w:t>
      </w:r>
      <w:r w:rsidR="005F608D">
        <w:rPr>
          <w:rFonts w:ascii="Times New Roman" w:hAnsi="Times New Roman" w:cs="Times New Roman"/>
          <w:color w:val="222222"/>
          <w:sz w:val="28"/>
          <w:szCs w:val="28"/>
          <w:shd w:val="clear" w:color="auto" w:fill="FFFFFF"/>
        </w:rPr>
        <w:t>(</w:t>
      </w:r>
      <w:r w:rsidRPr="00D1363F">
        <w:rPr>
          <w:rFonts w:ascii="Times New Roman" w:hAnsi="Times New Roman" w:cs="Times New Roman"/>
          <w:color w:val="222222"/>
          <w:sz w:val="28"/>
          <w:szCs w:val="28"/>
          <w:shd w:val="clear" w:color="auto" w:fill="FFFFFF"/>
        </w:rPr>
        <w:t>emphasis in original</w:t>
      </w:r>
      <w:r w:rsidR="005F608D">
        <w:rPr>
          <w:rFonts w:ascii="Times New Roman" w:hAnsi="Times New Roman" w:cs="Times New Roman"/>
          <w:color w:val="222222"/>
          <w:sz w:val="28"/>
          <w:szCs w:val="28"/>
          <w:shd w:val="clear" w:color="auto" w:fill="FFFFFF"/>
        </w:rPr>
        <w:t>)</w:t>
      </w:r>
      <w:r w:rsidRPr="00D1363F">
        <w:rPr>
          <w:rFonts w:ascii="Times New Roman" w:hAnsi="Times New Roman" w:cs="Times New Roman"/>
          <w:color w:val="222222"/>
          <w:sz w:val="28"/>
          <w:szCs w:val="28"/>
          <w:shd w:val="clear" w:color="auto" w:fill="FFFFFF"/>
        </w:rPr>
        <w:t>.</w:t>
      </w:r>
      <w:r w:rsidR="00B93DBC">
        <w:rPr>
          <w:rFonts w:ascii="Times New Roman" w:hAnsi="Times New Roman" w:cs="Times New Roman"/>
          <w:color w:val="222222"/>
          <w:sz w:val="28"/>
          <w:szCs w:val="28"/>
          <w:shd w:val="clear" w:color="auto" w:fill="FFFFFF"/>
        </w:rPr>
        <w:t xml:space="preserve"> That is, the </w:t>
      </w:r>
      <w:proofErr w:type="spellStart"/>
      <w:r w:rsidR="00B93DBC" w:rsidRPr="00B93DBC">
        <w:rPr>
          <w:rFonts w:ascii="Times New Roman" w:hAnsi="Times New Roman" w:cs="Times New Roman"/>
          <w:i/>
          <w:iCs/>
          <w:color w:val="222222"/>
          <w:sz w:val="28"/>
          <w:szCs w:val="28"/>
          <w:shd w:val="clear" w:color="auto" w:fill="FFFFFF"/>
        </w:rPr>
        <w:t>Broszko</w:t>
      </w:r>
      <w:proofErr w:type="spellEnd"/>
      <w:r w:rsidR="00B93DBC">
        <w:rPr>
          <w:rFonts w:ascii="Times New Roman" w:hAnsi="Times New Roman" w:cs="Times New Roman"/>
          <w:color w:val="222222"/>
          <w:sz w:val="28"/>
          <w:szCs w:val="28"/>
          <w:shd w:val="clear" w:color="auto" w:fill="FFFFFF"/>
        </w:rPr>
        <w:t xml:space="preserve"> court followed the rule that an “other regular occupant” must be a licensee </w:t>
      </w:r>
      <w:r w:rsidR="005568DF">
        <w:rPr>
          <w:rFonts w:ascii="Times New Roman" w:hAnsi="Times New Roman" w:cs="Times New Roman"/>
          <w:color w:val="222222"/>
          <w:sz w:val="28"/>
          <w:szCs w:val="28"/>
          <w:shd w:val="clear" w:color="auto" w:fill="FFFFFF"/>
        </w:rPr>
        <w:t xml:space="preserve">or </w:t>
      </w:r>
      <w:r w:rsidR="00B93DBC">
        <w:rPr>
          <w:rFonts w:ascii="Times New Roman" w:hAnsi="Times New Roman" w:cs="Times New Roman"/>
          <w:color w:val="222222"/>
          <w:sz w:val="28"/>
          <w:szCs w:val="28"/>
          <w:shd w:val="clear" w:color="auto" w:fill="FFFFFF"/>
        </w:rPr>
        <w:t>similar sub-occupant of a traditional/main tenant.</w:t>
      </w:r>
      <w:r w:rsidR="00CE425A">
        <w:rPr>
          <w:rFonts w:ascii="Times New Roman" w:hAnsi="Times New Roman" w:cs="Times New Roman"/>
          <w:color w:val="222222"/>
          <w:sz w:val="28"/>
          <w:szCs w:val="28"/>
          <w:shd w:val="clear" w:color="auto" w:fill="FFFFFF"/>
        </w:rPr>
        <w:t xml:space="preserve"> </w:t>
      </w:r>
      <w:r w:rsidR="00CE425A" w:rsidRPr="00D1363F">
        <w:rPr>
          <w:rFonts w:ascii="Times New Roman" w:hAnsi="Times New Roman" w:cs="Times New Roman"/>
          <w:color w:val="222222"/>
          <w:sz w:val="28"/>
          <w:szCs w:val="28"/>
          <w:shd w:val="clear" w:color="auto" w:fill="FFFFFF"/>
        </w:rPr>
        <w:t xml:space="preserve">The </w:t>
      </w:r>
      <w:r w:rsidR="00CE425A" w:rsidRPr="00CE425A">
        <w:rPr>
          <w:rFonts w:ascii="Times New Roman" w:hAnsi="Times New Roman" w:cs="Times New Roman"/>
          <w:i/>
          <w:iCs/>
          <w:color w:val="222222"/>
          <w:sz w:val="28"/>
          <w:szCs w:val="28"/>
          <w:shd w:val="clear" w:color="auto" w:fill="FFFFFF"/>
        </w:rPr>
        <w:t>Quinn</w:t>
      </w:r>
      <w:r w:rsidR="00CE425A" w:rsidRPr="00D1363F">
        <w:rPr>
          <w:rFonts w:ascii="Times New Roman" w:hAnsi="Times New Roman" w:cs="Times New Roman"/>
          <w:color w:val="222222"/>
          <w:sz w:val="28"/>
          <w:szCs w:val="28"/>
          <w:shd w:val="clear" w:color="auto" w:fill="FFFFFF"/>
        </w:rPr>
        <w:t xml:space="preserve"> court</w:t>
      </w:r>
      <w:r w:rsidR="004447EA">
        <w:rPr>
          <w:rFonts w:ascii="Times New Roman" w:hAnsi="Times New Roman" w:cs="Times New Roman"/>
          <w:color w:val="222222"/>
          <w:sz w:val="28"/>
          <w:szCs w:val="28"/>
          <w:shd w:val="clear" w:color="auto" w:fill="FFFFFF"/>
        </w:rPr>
        <w:t xml:space="preserve"> correctly</w:t>
      </w:r>
      <w:r w:rsidR="00CE425A" w:rsidRPr="00D1363F">
        <w:rPr>
          <w:rFonts w:ascii="Times New Roman" w:hAnsi="Times New Roman" w:cs="Times New Roman"/>
          <w:color w:val="222222"/>
          <w:sz w:val="28"/>
          <w:szCs w:val="28"/>
          <w:shd w:val="clear" w:color="auto" w:fill="FFFFFF"/>
        </w:rPr>
        <w:t xml:space="preserve"> distinguished </w:t>
      </w:r>
      <w:proofErr w:type="spellStart"/>
      <w:r w:rsidR="00CE425A" w:rsidRPr="00730963">
        <w:rPr>
          <w:rFonts w:ascii="Times New Roman" w:hAnsi="Times New Roman" w:cs="Times New Roman"/>
          <w:i/>
          <w:iCs/>
          <w:sz w:val="28"/>
          <w:szCs w:val="28"/>
          <w:u w:val="single"/>
        </w:rPr>
        <w:t>Broszko</w:t>
      </w:r>
      <w:proofErr w:type="spellEnd"/>
      <w:r w:rsidR="00CE425A" w:rsidRPr="00D1363F">
        <w:rPr>
          <w:rFonts w:ascii="Times New Roman" w:hAnsi="Times New Roman" w:cs="Times New Roman"/>
          <w:sz w:val="28"/>
          <w:szCs w:val="28"/>
        </w:rPr>
        <w:t xml:space="preserve"> because </w:t>
      </w:r>
      <w:r w:rsidR="00CE425A" w:rsidRPr="00D1363F">
        <w:rPr>
          <w:rFonts w:ascii="Times New Roman" w:hAnsi="Times New Roman" w:cs="Times New Roman"/>
          <w:sz w:val="28"/>
          <w:szCs w:val="28"/>
        </w:rPr>
        <w:lastRenderedPageBreak/>
        <w:t xml:space="preserve">unlike Ms. </w:t>
      </w:r>
      <w:proofErr w:type="spellStart"/>
      <w:r w:rsidR="00CE425A" w:rsidRPr="00D1363F">
        <w:rPr>
          <w:rFonts w:ascii="Times New Roman" w:hAnsi="Times New Roman" w:cs="Times New Roman"/>
          <w:sz w:val="28"/>
          <w:szCs w:val="28"/>
        </w:rPr>
        <w:t>Borgen</w:t>
      </w:r>
      <w:proofErr w:type="spellEnd"/>
      <w:r w:rsidR="00CE425A" w:rsidRPr="00D1363F">
        <w:rPr>
          <w:rFonts w:ascii="Times New Roman" w:hAnsi="Times New Roman" w:cs="Times New Roman"/>
          <w:sz w:val="28"/>
          <w:szCs w:val="28"/>
        </w:rPr>
        <w:t xml:space="preserve">, Ms. Smith was a valid tenant when Ms. Quinn </w:t>
      </w:r>
      <w:r w:rsidR="00CE425A">
        <w:rPr>
          <w:rFonts w:ascii="Times New Roman" w:hAnsi="Times New Roman" w:cs="Times New Roman"/>
          <w:sz w:val="28"/>
          <w:szCs w:val="28"/>
        </w:rPr>
        <w:t>joined Ms. Smith’s household</w:t>
      </w:r>
      <w:r w:rsidR="00CE425A" w:rsidRPr="00D1363F">
        <w:rPr>
          <w:rFonts w:ascii="Times New Roman" w:hAnsi="Times New Roman" w:cs="Times New Roman"/>
          <w:sz w:val="28"/>
          <w:szCs w:val="28"/>
        </w:rPr>
        <w:t xml:space="preserve">. </w:t>
      </w:r>
      <w:hyperlink r:id="rId30" w:history="1">
        <w:r w:rsidR="00CE425A" w:rsidRPr="0086522E">
          <w:rPr>
            <w:rStyle w:val="Hyperlink"/>
            <w:rFonts w:ascii="Times New Roman" w:hAnsi="Times New Roman" w:cs="Times New Roman"/>
            <w:i/>
            <w:sz w:val="28"/>
            <w:szCs w:val="28"/>
          </w:rPr>
          <w:t>Quinn</w:t>
        </w:r>
        <w:r w:rsidR="00CE425A" w:rsidRPr="0086522E">
          <w:rPr>
            <w:rStyle w:val="Hyperlink"/>
            <w:rFonts w:ascii="Times New Roman" w:hAnsi="Times New Roman" w:cs="Times New Roman"/>
            <w:sz w:val="28"/>
            <w:szCs w:val="28"/>
          </w:rPr>
          <w:t>, 972 N.W.2d at 887</w:t>
        </w:r>
      </w:hyperlink>
      <w:r w:rsidR="00CE425A" w:rsidRPr="00D1363F">
        <w:rPr>
          <w:rFonts w:ascii="Times New Roman" w:hAnsi="Times New Roman" w:cs="Times New Roman"/>
          <w:sz w:val="28"/>
          <w:szCs w:val="28"/>
        </w:rPr>
        <w:t>.</w:t>
      </w:r>
    </w:p>
    <w:p w14:paraId="3A4FF826" w14:textId="5E87E5DA" w:rsidR="00730963" w:rsidRDefault="00730963" w:rsidP="00E417AA">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Note</w:t>
      </w:r>
      <w:r w:rsidR="00AB55D3">
        <w:rPr>
          <w:rFonts w:ascii="Times New Roman" w:hAnsi="Times New Roman" w:cs="Times New Roman"/>
          <w:color w:val="222222"/>
          <w:sz w:val="28"/>
          <w:szCs w:val="28"/>
          <w:shd w:val="clear" w:color="auto" w:fill="FFFFFF"/>
        </w:rPr>
        <w:t xml:space="preserve"> </w:t>
      </w:r>
      <w:r>
        <w:rPr>
          <w:rFonts w:ascii="Times New Roman" w:hAnsi="Times New Roman" w:cs="Times New Roman"/>
          <w:color w:val="222222"/>
          <w:sz w:val="28"/>
          <w:szCs w:val="28"/>
          <w:shd w:val="clear" w:color="auto" w:fill="FFFFFF"/>
        </w:rPr>
        <w:t xml:space="preserve">that the </w:t>
      </w:r>
      <w:proofErr w:type="spellStart"/>
      <w:r w:rsidRPr="00730963">
        <w:rPr>
          <w:rFonts w:ascii="Times New Roman" w:hAnsi="Times New Roman" w:cs="Times New Roman"/>
          <w:i/>
          <w:iCs/>
          <w:sz w:val="28"/>
          <w:szCs w:val="28"/>
          <w:u w:val="single"/>
        </w:rPr>
        <w:t>Broszko</w:t>
      </w:r>
      <w:proofErr w:type="spellEnd"/>
      <w:r w:rsidRPr="00D1363F">
        <w:rPr>
          <w:rFonts w:ascii="Times New Roman" w:hAnsi="Times New Roman" w:cs="Times New Roman"/>
          <w:sz w:val="28"/>
          <w:szCs w:val="28"/>
        </w:rPr>
        <w:t xml:space="preserve"> </w:t>
      </w:r>
      <w:r>
        <w:rPr>
          <w:rFonts w:ascii="Times New Roman" w:hAnsi="Times New Roman" w:cs="Times New Roman"/>
          <w:color w:val="222222"/>
          <w:sz w:val="28"/>
          <w:szCs w:val="28"/>
          <w:shd w:val="clear" w:color="auto" w:fill="FFFFFF"/>
        </w:rPr>
        <w:t xml:space="preserve">court gave “children of lessees” as an </w:t>
      </w:r>
      <w:r w:rsidR="00AE767C">
        <w:rPr>
          <w:rFonts w:ascii="Times New Roman" w:hAnsi="Times New Roman" w:cs="Times New Roman"/>
          <w:color w:val="222222"/>
          <w:sz w:val="28"/>
          <w:szCs w:val="28"/>
          <w:shd w:val="clear" w:color="auto" w:fill="FFFFFF"/>
        </w:rPr>
        <w:t>example</w:t>
      </w:r>
      <w:r>
        <w:rPr>
          <w:rFonts w:ascii="Times New Roman" w:hAnsi="Times New Roman" w:cs="Times New Roman"/>
          <w:color w:val="222222"/>
          <w:sz w:val="28"/>
          <w:szCs w:val="28"/>
          <w:shd w:val="clear" w:color="auto" w:fill="FFFFFF"/>
        </w:rPr>
        <w:t xml:space="preserve"> of “other regular occupant</w:t>
      </w:r>
      <w:r w:rsidR="00B6477C">
        <w:rPr>
          <w:rFonts w:ascii="Times New Roman" w:hAnsi="Times New Roman" w:cs="Times New Roman"/>
          <w:color w:val="222222"/>
          <w:sz w:val="28"/>
          <w:szCs w:val="28"/>
          <w:shd w:val="clear" w:color="auto" w:fill="FFFFFF"/>
        </w:rPr>
        <w:t>s</w:t>
      </w:r>
      <w:r>
        <w:rPr>
          <w:rFonts w:ascii="Times New Roman" w:hAnsi="Times New Roman" w:cs="Times New Roman"/>
          <w:color w:val="222222"/>
          <w:sz w:val="28"/>
          <w:szCs w:val="28"/>
          <w:shd w:val="clear" w:color="auto" w:fill="FFFFFF"/>
        </w:rPr>
        <w:t xml:space="preserve">”. </w:t>
      </w:r>
      <w:hyperlink r:id="rId31" w:history="1">
        <w:proofErr w:type="spellStart"/>
        <w:r w:rsidR="00A34007" w:rsidRPr="007467B5">
          <w:rPr>
            <w:rStyle w:val="Hyperlink"/>
            <w:rFonts w:ascii="Times New Roman" w:hAnsi="Times New Roman" w:cs="Times New Roman"/>
            <w:i/>
            <w:iCs/>
            <w:sz w:val="28"/>
            <w:szCs w:val="28"/>
            <w:shd w:val="clear" w:color="auto" w:fill="FFFFFF"/>
          </w:rPr>
          <w:t>Broszko</w:t>
        </w:r>
        <w:proofErr w:type="spellEnd"/>
        <w:r w:rsidR="00A34007" w:rsidRPr="007467B5">
          <w:rPr>
            <w:rStyle w:val="Hyperlink"/>
            <w:rFonts w:ascii="Times New Roman" w:hAnsi="Times New Roman" w:cs="Times New Roman"/>
            <w:i/>
            <w:iCs/>
            <w:sz w:val="28"/>
            <w:szCs w:val="28"/>
            <w:shd w:val="clear" w:color="auto" w:fill="FFFFFF"/>
          </w:rPr>
          <w:t xml:space="preserve">, </w:t>
        </w:r>
        <w:r w:rsidR="00A34007" w:rsidRPr="007467B5">
          <w:rPr>
            <w:rStyle w:val="Hyperlink"/>
            <w:rFonts w:ascii="Times New Roman" w:hAnsi="Times New Roman" w:cs="Times New Roman"/>
            <w:sz w:val="28"/>
            <w:szCs w:val="28"/>
            <w:shd w:val="clear" w:color="auto" w:fill="FFFFFF"/>
          </w:rPr>
          <w:t>533 N.W.2d at 6</w:t>
        </w:r>
        <w:r w:rsidR="007467B5">
          <w:rPr>
            <w:rStyle w:val="Hyperlink"/>
            <w:rFonts w:ascii="Times New Roman" w:hAnsi="Times New Roman" w:cs="Times New Roman"/>
            <w:sz w:val="28"/>
            <w:szCs w:val="28"/>
            <w:shd w:val="clear" w:color="auto" w:fill="FFFFFF"/>
          </w:rPr>
          <w:t>59</w:t>
        </w:r>
      </w:hyperlink>
      <w:r w:rsidR="00A34007">
        <w:rPr>
          <w:rFonts w:ascii="Times New Roman" w:hAnsi="Times New Roman" w:cs="Times New Roman"/>
          <w:color w:val="222222"/>
          <w:sz w:val="28"/>
          <w:szCs w:val="28"/>
          <w:shd w:val="clear" w:color="auto" w:fill="FFFFFF"/>
        </w:rPr>
        <w:t xml:space="preserve">. </w:t>
      </w:r>
      <w:r>
        <w:rPr>
          <w:rFonts w:ascii="Times New Roman" w:hAnsi="Times New Roman" w:cs="Times New Roman"/>
          <w:color w:val="222222"/>
          <w:sz w:val="28"/>
          <w:szCs w:val="28"/>
          <w:shd w:val="clear" w:color="auto" w:fill="FFFFFF"/>
        </w:rPr>
        <w:t>When the TRA and the lockout laws were enacted in 1973-1975, a landlord</w:t>
      </w:r>
      <w:r w:rsidR="00A95994">
        <w:rPr>
          <w:rFonts w:ascii="Times New Roman" w:hAnsi="Times New Roman" w:cs="Times New Roman"/>
          <w:color w:val="222222"/>
          <w:sz w:val="28"/>
          <w:szCs w:val="28"/>
          <w:shd w:val="clear" w:color="auto" w:fill="FFFFFF"/>
        </w:rPr>
        <w:t xml:space="preserve"> could legally use a lease that denied its</w:t>
      </w:r>
      <w:r>
        <w:rPr>
          <w:rFonts w:ascii="Times New Roman" w:hAnsi="Times New Roman" w:cs="Times New Roman"/>
          <w:color w:val="222222"/>
          <w:sz w:val="28"/>
          <w:szCs w:val="28"/>
          <w:shd w:val="clear" w:color="auto" w:fill="FFFFFF"/>
        </w:rPr>
        <w:t xml:space="preserve"> tenant </w:t>
      </w:r>
      <w:r w:rsidR="00A95994">
        <w:rPr>
          <w:rFonts w:ascii="Times New Roman" w:hAnsi="Times New Roman" w:cs="Times New Roman"/>
          <w:color w:val="222222"/>
          <w:sz w:val="28"/>
          <w:szCs w:val="28"/>
          <w:shd w:val="clear" w:color="auto" w:fill="FFFFFF"/>
        </w:rPr>
        <w:t>the right</w:t>
      </w:r>
      <w:r>
        <w:rPr>
          <w:rFonts w:ascii="Times New Roman" w:hAnsi="Times New Roman" w:cs="Times New Roman"/>
          <w:color w:val="222222"/>
          <w:sz w:val="28"/>
          <w:szCs w:val="28"/>
          <w:shd w:val="clear" w:color="auto" w:fill="FFFFFF"/>
        </w:rPr>
        <w:t xml:space="preserve"> </w:t>
      </w:r>
      <w:r w:rsidR="001D00ED">
        <w:rPr>
          <w:rFonts w:ascii="Times New Roman" w:hAnsi="Times New Roman" w:cs="Times New Roman"/>
          <w:color w:val="222222"/>
          <w:sz w:val="28"/>
          <w:szCs w:val="28"/>
          <w:shd w:val="clear" w:color="auto" w:fill="FFFFFF"/>
        </w:rPr>
        <w:t xml:space="preserve">to </w:t>
      </w:r>
      <w:r>
        <w:rPr>
          <w:rFonts w:ascii="Times New Roman" w:hAnsi="Times New Roman" w:cs="Times New Roman"/>
          <w:color w:val="222222"/>
          <w:sz w:val="28"/>
          <w:szCs w:val="28"/>
          <w:shd w:val="clear" w:color="auto" w:fill="FFFFFF"/>
        </w:rPr>
        <w:t xml:space="preserve">add </w:t>
      </w:r>
      <w:r w:rsidR="005F608D">
        <w:rPr>
          <w:rFonts w:ascii="Times New Roman" w:hAnsi="Times New Roman" w:cs="Times New Roman"/>
          <w:color w:val="222222"/>
          <w:sz w:val="28"/>
          <w:szCs w:val="28"/>
          <w:shd w:val="clear" w:color="auto" w:fill="FFFFFF"/>
        </w:rPr>
        <w:t>the tenant’s</w:t>
      </w:r>
      <w:r>
        <w:rPr>
          <w:rFonts w:ascii="Times New Roman" w:hAnsi="Times New Roman" w:cs="Times New Roman"/>
          <w:color w:val="222222"/>
          <w:sz w:val="28"/>
          <w:szCs w:val="28"/>
          <w:shd w:val="clear" w:color="auto" w:fill="FFFFFF"/>
        </w:rPr>
        <w:t xml:space="preserve"> own children to </w:t>
      </w:r>
      <w:r w:rsidR="00A95994">
        <w:rPr>
          <w:rFonts w:ascii="Times New Roman" w:hAnsi="Times New Roman" w:cs="Times New Roman"/>
          <w:color w:val="222222"/>
          <w:sz w:val="28"/>
          <w:szCs w:val="28"/>
          <w:shd w:val="clear" w:color="auto" w:fill="FFFFFF"/>
        </w:rPr>
        <w:t>his household</w:t>
      </w:r>
      <w:r>
        <w:rPr>
          <w:rFonts w:ascii="Times New Roman" w:hAnsi="Times New Roman" w:cs="Times New Roman"/>
          <w:color w:val="222222"/>
          <w:sz w:val="28"/>
          <w:szCs w:val="28"/>
          <w:shd w:val="clear" w:color="auto" w:fill="FFFFFF"/>
        </w:rPr>
        <w:t>.</w:t>
      </w:r>
      <w:r w:rsidR="006A1B98">
        <w:rPr>
          <w:rStyle w:val="FootnoteReference"/>
          <w:rFonts w:ascii="Times New Roman" w:hAnsi="Times New Roman" w:cs="Times New Roman"/>
          <w:color w:val="222222"/>
          <w:sz w:val="28"/>
          <w:szCs w:val="28"/>
          <w:shd w:val="clear" w:color="auto" w:fill="FFFFFF"/>
        </w:rPr>
        <w:footnoteReference w:id="17"/>
      </w:r>
      <w:r w:rsidR="00A95994">
        <w:rPr>
          <w:rFonts w:ascii="Times New Roman" w:hAnsi="Times New Roman" w:cs="Times New Roman"/>
          <w:color w:val="222222"/>
          <w:sz w:val="28"/>
          <w:szCs w:val="28"/>
          <w:shd w:val="clear" w:color="auto" w:fill="FFFFFF"/>
        </w:rPr>
        <w:t xml:space="preserve"> T</w:t>
      </w:r>
      <w:r>
        <w:rPr>
          <w:rFonts w:ascii="Times New Roman" w:hAnsi="Times New Roman" w:cs="Times New Roman"/>
          <w:color w:val="222222"/>
          <w:sz w:val="28"/>
          <w:szCs w:val="28"/>
          <w:shd w:val="clear" w:color="auto" w:fill="FFFFFF"/>
        </w:rPr>
        <w:t xml:space="preserve">hus the </w:t>
      </w:r>
      <w:proofErr w:type="spellStart"/>
      <w:r w:rsidRPr="00730963">
        <w:rPr>
          <w:rFonts w:ascii="Times New Roman" w:hAnsi="Times New Roman" w:cs="Times New Roman"/>
          <w:i/>
          <w:iCs/>
          <w:sz w:val="28"/>
          <w:szCs w:val="28"/>
          <w:u w:val="single"/>
        </w:rPr>
        <w:t>Broszko</w:t>
      </w:r>
      <w:proofErr w:type="spellEnd"/>
      <w:r w:rsidRPr="00D1363F">
        <w:rPr>
          <w:rFonts w:ascii="Times New Roman" w:hAnsi="Times New Roman" w:cs="Times New Roman"/>
          <w:sz w:val="28"/>
          <w:szCs w:val="28"/>
        </w:rPr>
        <w:t xml:space="preserve"> </w:t>
      </w:r>
      <w:r>
        <w:rPr>
          <w:rFonts w:ascii="Times New Roman" w:hAnsi="Times New Roman" w:cs="Times New Roman"/>
          <w:color w:val="222222"/>
          <w:sz w:val="28"/>
          <w:szCs w:val="28"/>
          <w:shd w:val="clear" w:color="auto" w:fill="FFFFFF"/>
        </w:rPr>
        <w:t xml:space="preserve">court </w:t>
      </w:r>
      <w:r w:rsidR="001D00ED">
        <w:rPr>
          <w:rFonts w:ascii="Times New Roman" w:hAnsi="Times New Roman" w:cs="Times New Roman"/>
          <w:color w:val="222222"/>
          <w:sz w:val="28"/>
          <w:szCs w:val="28"/>
          <w:shd w:val="clear" w:color="auto" w:fill="FFFFFF"/>
        </w:rPr>
        <w:t xml:space="preserve">confirmed </w:t>
      </w:r>
      <w:r>
        <w:rPr>
          <w:rFonts w:ascii="Times New Roman" w:hAnsi="Times New Roman" w:cs="Times New Roman"/>
          <w:color w:val="222222"/>
          <w:sz w:val="28"/>
          <w:szCs w:val="28"/>
          <w:shd w:val="clear" w:color="auto" w:fill="FFFFFF"/>
        </w:rPr>
        <w:t>that the main landlord cannot undo an other</w:t>
      </w:r>
      <w:r w:rsidR="006B36F8">
        <w:rPr>
          <w:rFonts w:ascii="Times New Roman" w:hAnsi="Times New Roman" w:cs="Times New Roman"/>
          <w:color w:val="222222"/>
          <w:sz w:val="28"/>
          <w:szCs w:val="28"/>
          <w:shd w:val="clear" w:color="auto" w:fill="FFFFFF"/>
        </w:rPr>
        <w:t>-r</w:t>
      </w:r>
      <w:r>
        <w:rPr>
          <w:rFonts w:ascii="Times New Roman" w:hAnsi="Times New Roman" w:cs="Times New Roman"/>
          <w:color w:val="222222"/>
          <w:sz w:val="28"/>
          <w:szCs w:val="28"/>
          <w:shd w:val="clear" w:color="auto" w:fill="FFFFFF"/>
        </w:rPr>
        <w:t>egular</w:t>
      </w:r>
      <w:r w:rsidR="006B36F8">
        <w:rPr>
          <w:rFonts w:ascii="Times New Roman" w:hAnsi="Times New Roman" w:cs="Times New Roman"/>
          <w:color w:val="222222"/>
          <w:sz w:val="28"/>
          <w:szCs w:val="28"/>
          <w:shd w:val="clear" w:color="auto" w:fill="FFFFFF"/>
        </w:rPr>
        <w:t>-</w:t>
      </w:r>
      <w:r>
        <w:rPr>
          <w:rFonts w:ascii="Times New Roman" w:hAnsi="Times New Roman" w:cs="Times New Roman"/>
          <w:color w:val="222222"/>
          <w:sz w:val="28"/>
          <w:szCs w:val="28"/>
          <w:shd w:val="clear" w:color="auto" w:fill="FFFFFF"/>
        </w:rPr>
        <w:t>occupant’s rights (e.g.</w:t>
      </w:r>
      <w:r w:rsidR="00AB55D3">
        <w:rPr>
          <w:rFonts w:ascii="Times New Roman" w:hAnsi="Times New Roman" w:cs="Times New Roman"/>
          <w:color w:val="222222"/>
          <w:sz w:val="28"/>
          <w:szCs w:val="28"/>
          <w:shd w:val="clear" w:color="auto" w:fill="FFFFFF"/>
        </w:rPr>
        <w:t xml:space="preserve">, </w:t>
      </w:r>
      <w:r>
        <w:rPr>
          <w:rFonts w:ascii="Times New Roman" w:hAnsi="Times New Roman" w:cs="Times New Roman"/>
          <w:color w:val="222222"/>
          <w:sz w:val="28"/>
          <w:szCs w:val="28"/>
          <w:shd w:val="clear" w:color="auto" w:fill="FFFFFF"/>
        </w:rPr>
        <w:t>Quinn’s right</w:t>
      </w:r>
      <w:r w:rsidR="003C2DE9">
        <w:rPr>
          <w:rFonts w:ascii="Times New Roman" w:hAnsi="Times New Roman" w:cs="Times New Roman"/>
          <w:color w:val="222222"/>
          <w:sz w:val="28"/>
          <w:szCs w:val="28"/>
          <w:shd w:val="clear" w:color="auto" w:fill="FFFFFF"/>
        </w:rPr>
        <w:t>s</w:t>
      </w:r>
      <w:r>
        <w:rPr>
          <w:rFonts w:ascii="Times New Roman" w:hAnsi="Times New Roman" w:cs="Times New Roman"/>
          <w:color w:val="222222"/>
          <w:sz w:val="28"/>
          <w:szCs w:val="28"/>
          <w:shd w:val="clear" w:color="auto" w:fill="FFFFFF"/>
        </w:rPr>
        <w:t>) via a no-other-occupant clause in the lease (e.g.</w:t>
      </w:r>
      <w:r w:rsidR="00AB55D3">
        <w:rPr>
          <w:rFonts w:ascii="Times New Roman" w:hAnsi="Times New Roman" w:cs="Times New Roman"/>
          <w:color w:val="222222"/>
          <w:sz w:val="28"/>
          <w:szCs w:val="28"/>
          <w:shd w:val="clear" w:color="auto" w:fill="FFFFFF"/>
        </w:rPr>
        <w:t>,</w:t>
      </w:r>
      <w:r>
        <w:rPr>
          <w:rFonts w:ascii="Times New Roman" w:hAnsi="Times New Roman" w:cs="Times New Roman"/>
          <w:color w:val="222222"/>
          <w:sz w:val="28"/>
          <w:szCs w:val="28"/>
          <w:shd w:val="clear" w:color="auto" w:fill="FFFFFF"/>
        </w:rPr>
        <w:t xml:space="preserve"> Smith’s lease).</w:t>
      </w:r>
    </w:p>
    <w:p w14:paraId="626CD423" w14:textId="4A2562A1" w:rsidR="000B3B23" w:rsidRPr="000B3B23" w:rsidRDefault="000B3B23" w:rsidP="00E417AA">
      <w:pPr>
        <w:rPr>
          <w:rFonts w:ascii="Times New Roman" w:hAnsi="Times New Roman" w:cs="Times New Roman"/>
          <w:color w:val="222222"/>
          <w:sz w:val="28"/>
          <w:szCs w:val="28"/>
          <w:u w:val="single"/>
          <w:shd w:val="clear" w:color="auto" w:fill="FFFFFF"/>
        </w:rPr>
      </w:pPr>
      <w:r w:rsidRPr="000B3B23">
        <w:rPr>
          <w:rFonts w:ascii="Times New Roman" w:hAnsi="Times New Roman" w:cs="Times New Roman"/>
          <w:color w:val="222222"/>
          <w:sz w:val="28"/>
          <w:szCs w:val="28"/>
          <w:u w:val="single"/>
          <w:shd w:val="clear" w:color="auto" w:fill="FFFFFF"/>
        </w:rPr>
        <w:t>Conclusion</w:t>
      </w:r>
    </w:p>
    <w:p w14:paraId="2ABF8655" w14:textId="6C85F241" w:rsidR="00C20BD1" w:rsidRDefault="000B3B23" w:rsidP="0009721F">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The history of the applicable session laws is consistent with the </w:t>
      </w:r>
      <w:r w:rsidRPr="000B3B23">
        <w:rPr>
          <w:rFonts w:ascii="Times New Roman" w:hAnsi="Times New Roman" w:cs="Times New Roman"/>
          <w:i/>
          <w:iCs/>
          <w:color w:val="222222"/>
          <w:sz w:val="28"/>
          <w:szCs w:val="28"/>
          <w:shd w:val="clear" w:color="auto" w:fill="FFFFFF"/>
        </w:rPr>
        <w:t>Quinn</w:t>
      </w:r>
      <w:r>
        <w:rPr>
          <w:rFonts w:ascii="Times New Roman" w:hAnsi="Times New Roman" w:cs="Times New Roman"/>
          <w:color w:val="222222"/>
          <w:sz w:val="28"/>
          <w:szCs w:val="28"/>
          <w:shd w:val="clear" w:color="auto" w:fill="FFFFFF"/>
        </w:rPr>
        <w:t xml:space="preserve"> court’s conclusion.</w:t>
      </w:r>
      <w:r w:rsidR="00E93278">
        <w:rPr>
          <w:rFonts w:ascii="Times New Roman" w:hAnsi="Times New Roman" w:cs="Times New Roman"/>
          <w:color w:val="222222"/>
          <w:sz w:val="28"/>
          <w:szCs w:val="28"/>
          <w:shd w:val="clear" w:color="auto" w:fill="FFFFFF"/>
        </w:rPr>
        <w:t xml:space="preserve"> The fact that </w:t>
      </w:r>
      <w:r w:rsidR="00EB6DAC">
        <w:rPr>
          <w:rFonts w:ascii="Times New Roman" w:hAnsi="Times New Roman" w:cs="Times New Roman"/>
          <w:color w:val="222222"/>
          <w:sz w:val="28"/>
          <w:szCs w:val="28"/>
          <w:shd w:val="clear" w:color="auto" w:fill="FFFFFF"/>
        </w:rPr>
        <w:t xml:space="preserve">Ms. </w:t>
      </w:r>
      <w:r w:rsidR="00E93278">
        <w:rPr>
          <w:rFonts w:ascii="Times New Roman" w:hAnsi="Times New Roman" w:cs="Times New Roman"/>
          <w:color w:val="222222"/>
          <w:sz w:val="28"/>
          <w:szCs w:val="28"/>
          <w:shd w:val="clear" w:color="auto" w:fill="FFFFFF"/>
        </w:rPr>
        <w:t xml:space="preserve">Smith’s lease forbad other occupants without LMC’s consent did not prevent </w:t>
      </w:r>
      <w:r w:rsidR="00EB6DAC">
        <w:rPr>
          <w:rFonts w:ascii="Times New Roman" w:hAnsi="Times New Roman" w:cs="Times New Roman"/>
          <w:color w:val="222222"/>
          <w:sz w:val="28"/>
          <w:szCs w:val="28"/>
          <w:shd w:val="clear" w:color="auto" w:fill="FFFFFF"/>
        </w:rPr>
        <w:t xml:space="preserve">Ms. </w:t>
      </w:r>
      <w:r w:rsidR="00E93278">
        <w:rPr>
          <w:rFonts w:ascii="Times New Roman" w:hAnsi="Times New Roman" w:cs="Times New Roman"/>
          <w:color w:val="222222"/>
          <w:sz w:val="28"/>
          <w:szCs w:val="28"/>
          <w:shd w:val="clear" w:color="auto" w:fill="FFFFFF"/>
        </w:rPr>
        <w:t xml:space="preserve">Quinn from being an “other regular occupant” in </w:t>
      </w:r>
      <w:r w:rsidR="00EB6DAC">
        <w:rPr>
          <w:rFonts w:ascii="Times New Roman" w:hAnsi="Times New Roman" w:cs="Times New Roman"/>
          <w:color w:val="222222"/>
          <w:sz w:val="28"/>
          <w:szCs w:val="28"/>
          <w:shd w:val="clear" w:color="auto" w:fill="FFFFFF"/>
        </w:rPr>
        <w:t xml:space="preserve">Ms. </w:t>
      </w:r>
      <w:r w:rsidR="00E93278">
        <w:rPr>
          <w:rFonts w:ascii="Times New Roman" w:hAnsi="Times New Roman" w:cs="Times New Roman"/>
          <w:color w:val="222222"/>
          <w:sz w:val="28"/>
          <w:szCs w:val="28"/>
          <w:shd w:val="clear" w:color="auto" w:fill="FFFFFF"/>
        </w:rPr>
        <w:t>Smith’s apartment.</w:t>
      </w:r>
    </w:p>
    <w:p w14:paraId="2911D09E" w14:textId="76DD88C1" w:rsidR="003F51B7" w:rsidRPr="003F51B7" w:rsidRDefault="003F51B7" w:rsidP="003F51B7">
      <w:pPr>
        <w:rPr>
          <w:rFonts w:ascii="Times New Roman" w:hAnsi="Times New Roman" w:cs="Times New Roman"/>
          <w:b/>
          <w:bCs/>
          <w:sz w:val="28"/>
          <w:szCs w:val="28"/>
        </w:rPr>
      </w:pPr>
      <w:r w:rsidRPr="003F51B7">
        <w:rPr>
          <w:rFonts w:ascii="Times New Roman" w:hAnsi="Times New Roman" w:cs="Times New Roman"/>
          <w:b/>
          <w:bCs/>
          <w:sz w:val="28"/>
          <w:szCs w:val="28"/>
        </w:rPr>
        <w:t xml:space="preserve">PART </w:t>
      </w:r>
      <w:r>
        <w:rPr>
          <w:rFonts w:ascii="Times New Roman" w:hAnsi="Times New Roman" w:cs="Times New Roman"/>
          <w:b/>
          <w:bCs/>
          <w:sz w:val="28"/>
          <w:szCs w:val="28"/>
        </w:rPr>
        <w:t>2</w:t>
      </w:r>
    </w:p>
    <w:p w14:paraId="7497BCC0" w14:textId="33B4B024" w:rsidR="000745D7" w:rsidRPr="00684B1E" w:rsidRDefault="00684B1E" w:rsidP="0009721F">
      <w:pPr>
        <w:rPr>
          <w:rFonts w:ascii="Times New Roman" w:hAnsi="Times New Roman" w:cs="Times New Roman"/>
          <w:color w:val="222222"/>
          <w:sz w:val="28"/>
          <w:szCs w:val="28"/>
          <w:u w:val="single"/>
          <w:shd w:val="clear" w:color="auto" w:fill="FFFFFF"/>
        </w:rPr>
      </w:pPr>
      <w:r w:rsidRPr="00684B1E">
        <w:rPr>
          <w:rFonts w:ascii="Times New Roman" w:hAnsi="Times New Roman" w:cs="Times New Roman"/>
          <w:color w:val="222222"/>
          <w:sz w:val="28"/>
          <w:szCs w:val="28"/>
          <w:u w:val="single"/>
          <w:shd w:val="clear" w:color="auto" w:fill="FFFFFF"/>
        </w:rPr>
        <w:t>Procedural History</w:t>
      </w:r>
      <w:r w:rsidR="008051A9">
        <w:rPr>
          <w:rStyle w:val="FootnoteReference"/>
          <w:rFonts w:ascii="Times New Roman" w:hAnsi="Times New Roman" w:cs="Times New Roman"/>
          <w:color w:val="222222"/>
          <w:sz w:val="28"/>
          <w:szCs w:val="28"/>
          <w:shd w:val="clear" w:color="auto" w:fill="FFFFFF"/>
        </w:rPr>
        <w:footnoteReference w:id="18"/>
      </w:r>
    </w:p>
    <w:p w14:paraId="248B92B8" w14:textId="0883648A" w:rsidR="00684B1E" w:rsidRDefault="00684B1E" w:rsidP="0009721F">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On May 4, 2022, thirty days after the Court of Appeals issued its decision, LMC file a petition for review (“PFR”). On June 29, 2022 the petition was granted.</w:t>
      </w:r>
    </w:p>
    <w:p w14:paraId="7DBE7A0B" w14:textId="54B1FBB7" w:rsidR="000D3E2C" w:rsidRDefault="00957126" w:rsidP="006A4810">
      <w:pPr>
        <w:rPr>
          <w:rFonts w:ascii="Times New Roman" w:hAnsi="Times New Roman" w:cs="Times New Roman"/>
          <w:color w:val="FF0000"/>
          <w:sz w:val="28"/>
          <w:szCs w:val="28"/>
          <w:vertAlign w:val="superscript"/>
        </w:rPr>
      </w:pPr>
      <w:r w:rsidRPr="00957126">
        <w:rPr>
          <w:rFonts w:ascii="Times New Roman" w:hAnsi="Times New Roman" w:cs="Times New Roman"/>
          <w:color w:val="222222"/>
          <w:sz w:val="28"/>
          <w:szCs w:val="28"/>
          <w:shd w:val="clear" w:color="auto" w:fill="FFFFFF"/>
        </w:rPr>
        <w:t xml:space="preserve">In the meantime, LMC had filed two eviction actions against Ms. Smith and Ms. Quinn, Henn. </w:t>
      </w:r>
      <w:proofErr w:type="spellStart"/>
      <w:r w:rsidRPr="00957126">
        <w:rPr>
          <w:rFonts w:ascii="Times New Roman" w:hAnsi="Times New Roman" w:cs="Times New Roman"/>
          <w:color w:val="222222"/>
          <w:sz w:val="28"/>
          <w:szCs w:val="28"/>
          <w:shd w:val="clear" w:color="auto" w:fill="FFFFFF"/>
        </w:rPr>
        <w:t>Cty</w:t>
      </w:r>
      <w:proofErr w:type="spellEnd"/>
      <w:r w:rsidRPr="00957126">
        <w:rPr>
          <w:rFonts w:ascii="Times New Roman" w:hAnsi="Times New Roman" w:cs="Times New Roman"/>
          <w:color w:val="222222"/>
          <w:sz w:val="28"/>
          <w:szCs w:val="28"/>
          <w:shd w:val="clear" w:color="auto" w:fill="FFFFFF"/>
        </w:rPr>
        <w:t xml:space="preserve">. Dist. Ct. File Nos. </w:t>
      </w:r>
      <w:r w:rsidRPr="00957126">
        <w:rPr>
          <w:rFonts w:ascii="Times New Roman" w:hAnsi="Times New Roman" w:cs="Times New Roman"/>
          <w:sz w:val="28"/>
          <w:szCs w:val="28"/>
        </w:rPr>
        <w:t>27-CV-HC-21-240 and 27-CV-HC-22-1174.</w:t>
      </w:r>
      <w:r>
        <w:rPr>
          <w:rStyle w:val="FootnoteReference"/>
          <w:rFonts w:ascii="Times New Roman" w:hAnsi="Times New Roman" w:cs="Times New Roman"/>
          <w:color w:val="222222"/>
          <w:sz w:val="28"/>
          <w:szCs w:val="28"/>
          <w:shd w:val="clear" w:color="auto" w:fill="FFFFFF"/>
        </w:rPr>
        <w:footnoteReference w:id="19"/>
      </w:r>
      <w:r>
        <w:rPr>
          <w:rFonts w:ascii="Times New Roman" w:hAnsi="Times New Roman" w:cs="Times New Roman"/>
          <w:color w:val="222222"/>
          <w:sz w:val="28"/>
          <w:szCs w:val="28"/>
          <w:shd w:val="clear" w:color="auto" w:fill="FFFFFF"/>
        </w:rPr>
        <w:t xml:space="preserve"> </w:t>
      </w:r>
      <w:r w:rsidRPr="00957126">
        <w:rPr>
          <w:rFonts w:ascii="Times New Roman" w:hAnsi="Times New Roman" w:cs="Times New Roman"/>
          <w:sz w:val="28"/>
          <w:szCs w:val="28"/>
        </w:rPr>
        <w:t>The first case has been expunged</w:t>
      </w:r>
      <w:r w:rsidR="0041098D">
        <w:rPr>
          <w:rFonts w:ascii="Times New Roman" w:hAnsi="Times New Roman" w:cs="Times New Roman"/>
          <w:sz w:val="28"/>
          <w:szCs w:val="28"/>
        </w:rPr>
        <w:t xml:space="preserve">; the </w:t>
      </w:r>
      <w:r w:rsidRPr="00957126">
        <w:rPr>
          <w:rFonts w:ascii="Times New Roman" w:hAnsi="Times New Roman" w:cs="Times New Roman"/>
          <w:sz w:val="28"/>
          <w:szCs w:val="28"/>
        </w:rPr>
        <w:t xml:space="preserve">second </w:t>
      </w:r>
      <w:r w:rsidR="0041098D">
        <w:rPr>
          <w:rFonts w:ascii="Times New Roman" w:hAnsi="Times New Roman" w:cs="Times New Roman"/>
          <w:sz w:val="28"/>
          <w:szCs w:val="28"/>
        </w:rPr>
        <w:t>case</w:t>
      </w:r>
      <w:r w:rsidRPr="00957126">
        <w:rPr>
          <w:rFonts w:ascii="Times New Roman" w:hAnsi="Times New Roman" w:cs="Times New Roman"/>
          <w:sz w:val="28"/>
          <w:szCs w:val="28"/>
        </w:rPr>
        <w:t xml:space="preserve"> was filed on April 1, </w:t>
      </w:r>
      <w:r w:rsidRPr="00957126">
        <w:rPr>
          <w:rFonts w:ascii="Times New Roman" w:hAnsi="Times New Roman" w:cs="Times New Roman"/>
          <w:sz w:val="28"/>
          <w:szCs w:val="28"/>
        </w:rPr>
        <w:lastRenderedPageBreak/>
        <w:t>2022</w:t>
      </w:r>
      <w:r>
        <w:rPr>
          <w:rFonts w:ascii="Times New Roman" w:hAnsi="Times New Roman" w:cs="Times New Roman"/>
          <w:sz w:val="28"/>
          <w:szCs w:val="28"/>
        </w:rPr>
        <w:t>.</w:t>
      </w:r>
      <w:r>
        <w:rPr>
          <w:rStyle w:val="FootnoteReference"/>
          <w:rFonts w:ascii="Times New Roman" w:hAnsi="Times New Roman" w:cs="Times New Roman"/>
          <w:sz w:val="28"/>
          <w:szCs w:val="28"/>
        </w:rPr>
        <w:footnoteReference w:id="20"/>
      </w:r>
      <w:r>
        <w:rPr>
          <w:rFonts w:ascii="Times New Roman" w:hAnsi="Times New Roman" w:cs="Times New Roman"/>
          <w:sz w:val="28"/>
          <w:szCs w:val="28"/>
        </w:rPr>
        <w:t xml:space="preserve"> The cases were settled on June 3, 2022. Ms. Smith had already moved out and Ms. Quinn agreed to vacate by July 15, 2022. When </w:t>
      </w:r>
      <w:r w:rsidR="009E3425">
        <w:rPr>
          <w:rFonts w:ascii="Times New Roman" w:hAnsi="Times New Roman" w:cs="Times New Roman"/>
          <w:sz w:val="28"/>
          <w:szCs w:val="28"/>
        </w:rPr>
        <w:t>Quinn</w:t>
      </w:r>
      <w:r>
        <w:rPr>
          <w:rFonts w:ascii="Times New Roman" w:hAnsi="Times New Roman" w:cs="Times New Roman"/>
          <w:sz w:val="28"/>
          <w:szCs w:val="28"/>
        </w:rPr>
        <w:t xml:space="preserve"> didn’t</w:t>
      </w:r>
      <w:r w:rsidR="009E3425">
        <w:rPr>
          <w:rFonts w:ascii="Times New Roman" w:hAnsi="Times New Roman" w:cs="Times New Roman"/>
          <w:sz w:val="28"/>
          <w:szCs w:val="28"/>
        </w:rPr>
        <w:t xml:space="preserve"> vacate by July 15</w:t>
      </w:r>
      <w:r>
        <w:rPr>
          <w:rFonts w:ascii="Times New Roman" w:hAnsi="Times New Roman" w:cs="Times New Roman"/>
          <w:sz w:val="28"/>
          <w:szCs w:val="28"/>
        </w:rPr>
        <w:t xml:space="preserve">, </w:t>
      </w:r>
      <w:r w:rsidR="00CB0AC5">
        <w:rPr>
          <w:rFonts w:ascii="Times New Roman" w:hAnsi="Times New Roman" w:cs="Times New Roman"/>
          <w:sz w:val="28"/>
          <w:szCs w:val="28"/>
        </w:rPr>
        <w:t>a</w:t>
      </w:r>
      <w:r>
        <w:rPr>
          <w:rFonts w:ascii="Times New Roman" w:hAnsi="Times New Roman" w:cs="Times New Roman"/>
          <w:sz w:val="28"/>
          <w:szCs w:val="28"/>
        </w:rPr>
        <w:t xml:space="preserve"> Writ of Recovery</w:t>
      </w:r>
      <w:r w:rsidR="00CB0AC5">
        <w:rPr>
          <w:rFonts w:ascii="Times New Roman" w:hAnsi="Times New Roman" w:cs="Times New Roman"/>
          <w:sz w:val="28"/>
          <w:szCs w:val="28"/>
        </w:rPr>
        <w:t xml:space="preserve"> was issued and soon thereafter </w:t>
      </w:r>
      <w:r w:rsidR="009E3425">
        <w:rPr>
          <w:rFonts w:ascii="Times New Roman" w:hAnsi="Times New Roman" w:cs="Times New Roman"/>
          <w:sz w:val="28"/>
          <w:szCs w:val="28"/>
        </w:rPr>
        <w:t>Quinn</w:t>
      </w:r>
      <w:r w:rsidR="00CB0AC5">
        <w:rPr>
          <w:rFonts w:ascii="Times New Roman" w:hAnsi="Times New Roman" w:cs="Times New Roman"/>
          <w:sz w:val="28"/>
          <w:szCs w:val="28"/>
        </w:rPr>
        <w:t xml:space="preserve"> did vacate</w:t>
      </w:r>
      <w:r>
        <w:rPr>
          <w:rFonts w:ascii="Times New Roman" w:hAnsi="Times New Roman" w:cs="Times New Roman"/>
          <w:sz w:val="28"/>
          <w:szCs w:val="28"/>
        </w:rPr>
        <w:t>.</w:t>
      </w:r>
      <w:r w:rsidR="00E1658E" w:rsidRPr="00390F61">
        <w:rPr>
          <w:rFonts w:ascii="Times New Roman" w:hAnsi="Times New Roman" w:cs="Times New Roman"/>
          <w:sz w:val="28"/>
          <w:szCs w:val="28"/>
          <w:vertAlign w:val="superscript"/>
        </w:rPr>
        <w:t>20</w:t>
      </w:r>
      <w:r w:rsidR="006A4810" w:rsidRPr="00390F61">
        <w:rPr>
          <w:rFonts w:ascii="Times New Roman" w:hAnsi="Times New Roman" w:cs="Times New Roman"/>
          <w:sz w:val="28"/>
          <w:szCs w:val="28"/>
          <w:vertAlign w:val="superscript"/>
        </w:rPr>
        <w:t xml:space="preserve"> </w:t>
      </w:r>
    </w:p>
    <w:p w14:paraId="567EB35E" w14:textId="55045C3B" w:rsidR="00AD3AA7" w:rsidRDefault="000D3E2C" w:rsidP="005F5044">
      <w:pPr>
        <w:rPr>
          <w:rFonts w:ascii="Times New Roman" w:hAnsi="Times New Roman" w:cs="Times New Roman"/>
          <w:color w:val="222222"/>
          <w:sz w:val="28"/>
          <w:szCs w:val="28"/>
          <w:shd w:val="clear" w:color="auto" w:fill="FFFFFF"/>
        </w:rPr>
      </w:pPr>
      <w:r w:rsidRPr="00957126">
        <w:rPr>
          <w:rFonts w:ascii="Times New Roman" w:hAnsi="Times New Roman" w:cs="Times New Roman"/>
          <w:color w:val="222222"/>
          <w:sz w:val="28"/>
          <w:szCs w:val="28"/>
          <w:shd w:val="clear" w:color="auto" w:fill="FFFFFF"/>
        </w:rPr>
        <w:t xml:space="preserve">LMC filed </w:t>
      </w:r>
      <w:r>
        <w:rPr>
          <w:rFonts w:ascii="Times New Roman" w:hAnsi="Times New Roman" w:cs="Times New Roman"/>
          <w:color w:val="222222"/>
          <w:sz w:val="28"/>
          <w:szCs w:val="28"/>
          <w:shd w:val="clear" w:color="auto" w:fill="FFFFFF"/>
        </w:rPr>
        <w:t>its supreme-court brief on Ju</w:t>
      </w:r>
      <w:r w:rsidR="004F367C">
        <w:rPr>
          <w:rFonts w:ascii="Times New Roman" w:hAnsi="Times New Roman" w:cs="Times New Roman"/>
          <w:color w:val="222222"/>
          <w:sz w:val="28"/>
          <w:szCs w:val="28"/>
          <w:shd w:val="clear" w:color="auto" w:fill="FFFFFF"/>
        </w:rPr>
        <w:t>ly</w:t>
      </w:r>
      <w:r>
        <w:rPr>
          <w:rFonts w:ascii="Times New Roman" w:hAnsi="Times New Roman" w:cs="Times New Roman"/>
          <w:color w:val="222222"/>
          <w:sz w:val="28"/>
          <w:szCs w:val="28"/>
          <w:shd w:val="clear" w:color="auto" w:fill="FFFFFF"/>
        </w:rPr>
        <w:t xml:space="preserve"> 29, 2022.</w:t>
      </w:r>
      <w:r>
        <w:rPr>
          <w:rFonts w:ascii="Times New Roman" w:hAnsi="Times New Roman" w:cs="Times New Roman"/>
          <w:color w:val="FF0000"/>
          <w:sz w:val="28"/>
          <w:szCs w:val="28"/>
          <w:vertAlign w:val="superscript"/>
        </w:rPr>
        <w:t xml:space="preserve"> </w:t>
      </w:r>
      <w:r>
        <w:rPr>
          <w:rFonts w:ascii="Times New Roman" w:hAnsi="Times New Roman" w:cs="Times New Roman"/>
          <w:sz w:val="28"/>
          <w:szCs w:val="28"/>
        </w:rPr>
        <w:t xml:space="preserve">On August 17, Quinn filed a motion to dismiss the supreme court case. </w:t>
      </w:r>
      <w:r w:rsidR="006A4810">
        <w:rPr>
          <w:rFonts w:ascii="Times New Roman" w:hAnsi="Times New Roman" w:cs="Times New Roman"/>
          <w:sz w:val="28"/>
          <w:szCs w:val="28"/>
        </w:rPr>
        <w:t xml:space="preserve">The basis of the motion was that </w:t>
      </w:r>
      <w:r w:rsidR="00152880">
        <w:rPr>
          <w:rFonts w:ascii="Times New Roman" w:hAnsi="Times New Roman" w:cs="Times New Roman"/>
          <w:sz w:val="28"/>
          <w:szCs w:val="28"/>
        </w:rPr>
        <w:t>because</w:t>
      </w:r>
      <w:r w:rsidR="006A4810">
        <w:rPr>
          <w:rFonts w:ascii="Times New Roman" w:hAnsi="Times New Roman" w:cs="Times New Roman"/>
          <w:sz w:val="28"/>
          <w:szCs w:val="28"/>
        </w:rPr>
        <w:t xml:space="preserve"> Ms. Quinn had vacated</w:t>
      </w:r>
      <w:r w:rsidR="0041098D">
        <w:rPr>
          <w:rFonts w:ascii="Times New Roman" w:hAnsi="Times New Roman" w:cs="Times New Roman"/>
          <w:sz w:val="28"/>
          <w:szCs w:val="28"/>
        </w:rPr>
        <w:t>,</w:t>
      </w:r>
      <w:r w:rsidR="006A4810">
        <w:rPr>
          <w:rFonts w:ascii="Times New Roman" w:hAnsi="Times New Roman" w:cs="Times New Roman"/>
          <w:sz w:val="28"/>
          <w:szCs w:val="28"/>
        </w:rPr>
        <w:t xml:space="preserve"> her lockout petition was moot.</w:t>
      </w:r>
      <w:r w:rsidR="006A4810" w:rsidRPr="00390F61">
        <w:rPr>
          <w:rFonts w:ascii="Times New Roman" w:hAnsi="Times New Roman" w:cs="Times New Roman"/>
          <w:sz w:val="28"/>
          <w:szCs w:val="28"/>
          <w:vertAlign w:val="superscript"/>
        </w:rPr>
        <w:t>20</w:t>
      </w:r>
      <w:r w:rsidR="00050790">
        <w:rPr>
          <w:rFonts w:ascii="Times New Roman" w:hAnsi="Times New Roman" w:cs="Times New Roman"/>
          <w:color w:val="FF0000"/>
          <w:sz w:val="28"/>
          <w:szCs w:val="28"/>
          <w:vertAlign w:val="superscript"/>
        </w:rPr>
        <w:t xml:space="preserve"> </w:t>
      </w:r>
      <w:r w:rsidR="00EC40CC">
        <w:rPr>
          <w:rFonts w:ascii="Times New Roman" w:hAnsi="Times New Roman" w:cs="Times New Roman"/>
          <w:sz w:val="28"/>
          <w:szCs w:val="28"/>
        </w:rPr>
        <w:t xml:space="preserve">Quinn then filed </w:t>
      </w:r>
      <w:r w:rsidR="00EC40CC">
        <w:rPr>
          <w:rFonts w:ascii="Times New Roman" w:hAnsi="Times New Roman" w:cs="Times New Roman"/>
          <w:color w:val="222222"/>
          <w:sz w:val="28"/>
          <w:szCs w:val="28"/>
          <w:shd w:val="clear" w:color="auto" w:fill="FFFFFF"/>
        </w:rPr>
        <w:t>her supreme-court brief on August 29, and LMC filed its reply brief on September 16</w:t>
      </w:r>
      <w:r w:rsidR="00EC40CC">
        <w:rPr>
          <w:rFonts w:ascii="Times New Roman" w:hAnsi="Times New Roman" w:cs="Times New Roman"/>
          <w:sz w:val="28"/>
          <w:szCs w:val="28"/>
        </w:rPr>
        <w:t>.</w:t>
      </w:r>
      <w:r w:rsidR="00EC40CC">
        <w:rPr>
          <w:rFonts w:ascii="Times New Roman" w:hAnsi="Times New Roman" w:cs="Times New Roman"/>
          <w:color w:val="FF0000"/>
          <w:sz w:val="28"/>
          <w:szCs w:val="28"/>
          <w:vertAlign w:val="superscript"/>
        </w:rPr>
        <w:t xml:space="preserve"> </w:t>
      </w:r>
      <w:r w:rsidR="00EC40CC">
        <w:rPr>
          <w:rFonts w:ascii="Times New Roman" w:hAnsi="Times New Roman" w:cs="Times New Roman"/>
          <w:color w:val="222222"/>
          <w:sz w:val="28"/>
          <w:szCs w:val="28"/>
          <w:shd w:val="clear" w:color="auto" w:fill="FFFFFF"/>
        </w:rPr>
        <w:t>On October 18 the supreme court ruled that oral argument would be scheduled and deferred ruling on the motion to dismiss</w:t>
      </w:r>
      <w:r w:rsidR="00EC40CC">
        <w:rPr>
          <w:rFonts w:ascii="Times New Roman" w:hAnsi="Times New Roman" w:cs="Times New Roman"/>
          <w:sz w:val="28"/>
          <w:szCs w:val="28"/>
        </w:rPr>
        <w:t>.</w:t>
      </w:r>
      <w:r w:rsidR="00EC40CC">
        <w:rPr>
          <w:rFonts w:ascii="Times New Roman" w:hAnsi="Times New Roman" w:cs="Times New Roman"/>
          <w:color w:val="FF0000"/>
          <w:sz w:val="28"/>
          <w:szCs w:val="28"/>
          <w:vertAlign w:val="superscript"/>
        </w:rPr>
        <w:t xml:space="preserve"> </w:t>
      </w:r>
      <w:r w:rsidR="005F5044">
        <w:rPr>
          <w:rFonts w:ascii="Times New Roman" w:hAnsi="Times New Roman" w:cs="Times New Roman"/>
          <w:color w:val="222222"/>
          <w:sz w:val="28"/>
          <w:szCs w:val="28"/>
          <w:shd w:val="clear" w:color="auto" w:fill="FFFFFF"/>
        </w:rPr>
        <w:t>Oral argument was held on November 28, 2022.</w:t>
      </w:r>
      <w:r w:rsidR="00D70E16">
        <w:rPr>
          <w:rStyle w:val="FootnoteReference"/>
          <w:rFonts w:ascii="Times New Roman" w:hAnsi="Times New Roman" w:cs="Times New Roman"/>
          <w:color w:val="222222"/>
          <w:sz w:val="28"/>
          <w:szCs w:val="28"/>
          <w:shd w:val="clear" w:color="auto" w:fill="FFFFFF"/>
        </w:rPr>
        <w:footnoteReference w:id="21"/>
      </w:r>
    </w:p>
    <w:p w14:paraId="020595B0" w14:textId="3FEEF066" w:rsidR="005F5044" w:rsidRDefault="0055473E" w:rsidP="005F5044">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On February 23, 2023, the supreme court dismissed the case as moot. </w:t>
      </w:r>
      <w:hyperlink r:id="rId32" w:history="1">
        <w:r w:rsidRPr="00D70E16">
          <w:rPr>
            <w:rStyle w:val="Hyperlink"/>
            <w:rFonts w:ascii="Times New Roman" w:hAnsi="Times New Roman" w:cs="Times New Roman"/>
            <w:i/>
            <w:iCs/>
            <w:sz w:val="28"/>
            <w:szCs w:val="28"/>
            <w:shd w:val="clear" w:color="auto" w:fill="FFFFFF"/>
          </w:rPr>
          <w:t>Quinn v. LMC</w:t>
        </w:r>
        <w:r w:rsidRPr="00D70E16">
          <w:rPr>
            <w:rStyle w:val="Hyperlink"/>
            <w:rFonts w:ascii="Times New Roman" w:hAnsi="Times New Roman" w:cs="Times New Roman"/>
            <w:sz w:val="28"/>
            <w:szCs w:val="28"/>
            <w:shd w:val="clear" w:color="auto" w:fill="FFFFFF"/>
          </w:rPr>
          <w:t>, File No. A21-1062, Order to Dismiss (Minn. Feb. 23, 2023)</w:t>
        </w:r>
      </w:hyperlink>
      <w:r>
        <w:rPr>
          <w:rFonts w:ascii="Times New Roman" w:hAnsi="Times New Roman" w:cs="Times New Roman"/>
          <w:color w:val="222222"/>
          <w:sz w:val="28"/>
          <w:szCs w:val="28"/>
          <w:shd w:val="clear" w:color="auto" w:fill="FFFFFF"/>
        </w:rPr>
        <w:t>.</w:t>
      </w:r>
    </w:p>
    <w:p w14:paraId="7F8763E4" w14:textId="100897CA" w:rsidR="009173A4" w:rsidRPr="009173A4" w:rsidRDefault="009173A4" w:rsidP="005F5044">
      <w:pPr>
        <w:rPr>
          <w:rFonts w:ascii="Times New Roman" w:hAnsi="Times New Roman" w:cs="Times New Roman"/>
          <w:color w:val="222222"/>
          <w:sz w:val="28"/>
          <w:szCs w:val="28"/>
          <w:u w:val="single"/>
          <w:shd w:val="clear" w:color="auto" w:fill="FFFFFF"/>
        </w:rPr>
      </w:pPr>
      <w:r w:rsidRPr="009173A4">
        <w:rPr>
          <w:rFonts w:ascii="Times New Roman" w:hAnsi="Times New Roman" w:cs="Times New Roman"/>
          <w:color w:val="222222"/>
          <w:sz w:val="28"/>
          <w:szCs w:val="28"/>
          <w:u w:val="single"/>
          <w:shd w:val="clear" w:color="auto" w:fill="FFFFFF"/>
        </w:rPr>
        <w:t>Supreme Court’s Reasoning</w:t>
      </w:r>
    </w:p>
    <w:p w14:paraId="34B3CA58" w14:textId="2B1A83A4" w:rsidR="009173A4" w:rsidRDefault="009173A4" w:rsidP="005F5044">
      <w:pPr>
        <w:rPr>
          <w:rFonts w:ascii="Times New Roman" w:hAnsi="Times New Roman" w:cs="Times New Roman"/>
          <w:sz w:val="28"/>
          <w:szCs w:val="28"/>
        </w:rPr>
      </w:pPr>
      <w:r>
        <w:rPr>
          <w:rFonts w:ascii="Times New Roman" w:hAnsi="Times New Roman" w:cs="Times New Roman"/>
          <w:sz w:val="28"/>
          <w:szCs w:val="28"/>
        </w:rPr>
        <w:t>The court reasoned that the case was presumptively moot since Quinn had been evicted by court process. It then reviewed the three mootness exceptions LMC had argued in opposing dismiss</w:t>
      </w:r>
      <w:r w:rsidR="0041098D">
        <w:rPr>
          <w:rFonts w:ascii="Times New Roman" w:hAnsi="Times New Roman" w:cs="Times New Roman"/>
          <w:sz w:val="28"/>
          <w:szCs w:val="28"/>
        </w:rPr>
        <w:t>al of</w:t>
      </w:r>
      <w:r>
        <w:rPr>
          <w:rFonts w:ascii="Times New Roman" w:hAnsi="Times New Roman" w:cs="Times New Roman"/>
          <w:sz w:val="28"/>
          <w:szCs w:val="28"/>
        </w:rPr>
        <w:t xml:space="preserve"> the case</w:t>
      </w:r>
      <w:r w:rsidR="009E3425">
        <w:rPr>
          <w:rFonts w:ascii="Times New Roman" w:hAnsi="Times New Roman" w:cs="Times New Roman"/>
          <w:sz w:val="28"/>
          <w:szCs w:val="28"/>
        </w:rPr>
        <w:t xml:space="preserve"> --</w:t>
      </w:r>
      <w:r w:rsidR="005F608D">
        <w:rPr>
          <w:rFonts w:ascii="Times New Roman" w:hAnsi="Times New Roman" w:cs="Times New Roman"/>
          <w:sz w:val="28"/>
          <w:szCs w:val="28"/>
        </w:rPr>
        <w:t xml:space="preserve"> [</w:t>
      </w:r>
      <w:proofErr w:type="spellStart"/>
      <w:r w:rsidR="005F608D">
        <w:rPr>
          <w:rFonts w:ascii="Times New Roman" w:hAnsi="Times New Roman" w:cs="Times New Roman"/>
          <w:sz w:val="28"/>
          <w:szCs w:val="28"/>
        </w:rPr>
        <w:t>i</w:t>
      </w:r>
      <w:proofErr w:type="spellEnd"/>
      <w:r w:rsidR="005F608D">
        <w:rPr>
          <w:rFonts w:ascii="Times New Roman" w:hAnsi="Times New Roman" w:cs="Times New Roman"/>
          <w:sz w:val="28"/>
          <w:szCs w:val="28"/>
        </w:rPr>
        <w:t>] functionally justiciable, [ii] capable of repetition but evading review, and [iii] collateral consequences</w:t>
      </w:r>
      <w:r w:rsidR="00CC7824" w:rsidRPr="00957126">
        <w:rPr>
          <w:rFonts w:ascii="Times New Roman" w:hAnsi="Times New Roman" w:cs="Times New Roman"/>
          <w:sz w:val="28"/>
          <w:szCs w:val="28"/>
        </w:rPr>
        <w:t>.</w:t>
      </w:r>
      <w:r w:rsidR="00CC7824">
        <w:rPr>
          <w:rStyle w:val="FootnoteReference"/>
          <w:rFonts w:ascii="Times New Roman" w:hAnsi="Times New Roman" w:cs="Times New Roman"/>
          <w:color w:val="222222"/>
          <w:sz w:val="28"/>
          <w:szCs w:val="28"/>
          <w:shd w:val="clear" w:color="auto" w:fill="FFFFFF"/>
        </w:rPr>
        <w:footnoteReference w:id="22"/>
      </w:r>
      <w:r w:rsidR="00E068D0">
        <w:rPr>
          <w:rFonts w:ascii="Times New Roman" w:hAnsi="Times New Roman" w:cs="Times New Roman"/>
          <w:sz w:val="28"/>
          <w:szCs w:val="28"/>
        </w:rPr>
        <w:t xml:space="preserve"> I summarize </w:t>
      </w:r>
      <w:r w:rsidR="0041098D">
        <w:rPr>
          <w:rFonts w:ascii="Times New Roman" w:hAnsi="Times New Roman" w:cs="Times New Roman"/>
          <w:sz w:val="28"/>
          <w:szCs w:val="28"/>
        </w:rPr>
        <w:t>the court’s</w:t>
      </w:r>
      <w:r w:rsidR="00E068D0">
        <w:rPr>
          <w:rFonts w:ascii="Times New Roman" w:hAnsi="Times New Roman" w:cs="Times New Roman"/>
          <w:sz w:val="28"/>
          <w:szCs w:val="28"/>
        </w:rPr>
        <w:t xml:space="preserve"> analysis below</w:t>
      </w:r>
      <w:r w:rsidR="005F608D">
        <w:rPr>
          <w:rFonts w:ascii="Times New Roman" w:hAnsi="Times New Roman" w:cs="Times New Roman"/>
          <w:sz w:val="28"/>
          <w:szCs w:val="28"/>
        </w:rPr>
        <w:t>.</w:t>
      </w:r>
    </w:p>
    <w:p w14:paraId="7A32515B" w14:textId="4D631C54" w:rsidR="00E068D0" w:rsidRDefault="005F608D" w:rsidP="00E068D0">
      <w:pPr>
        <w:ind w:firstLine="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w:t>
      </w:r>
      <w:proofErr w:type="spellStart"/>
      <w:r>
        <w:rPr>
          <w:rFonts w:ascii="Times New Roman" w:hAnsi="Times New Roman" w:cs="Times New Roman"/>
          <w:color w:val="222222"/>
          <w:sz w:val="28"/>
          <w:szCs w:val="28"/>
          <w:u w:val="single"/>
          <w:shd w:val="clear" w:color="auto" w:fill="FFFFFF"/>
        </w:rPr>
        <w:t>i</w:t>
      </w:r>
      <w:proofErr w:type="spellEnd"/>
      <w:r>
        <w:rPr>
          <w:rFonts w:ascii="Times New Roman" w:hAnsi="Times New Roman" w:cs="Times New Roman"/>
          <w:color w:val="222222"/>
          <w:sz w:val="28"/>
          <w:szCs w:val="28"/>
          <w:u w:val="single"/>
          <w:shd w:val="clear" w:color="auto" w:fill="FFFFFF"/>
        </w:rPr>
        <w:t xml:space="preserve">] </w:t>
      </w:r>
      <w:r w:rsidR="00E068D0">
        <w:rPr>
          <w:rFonts w:ascii="Times New Roman" w:hAnsi="Times New Roman" w:cs="Times New Roman"/>
          <w:color w:val="222222"/>
          <w:sz w:val="28"/>
          <w:szCs w:val="28"/>
          <w:u w:val="single"/>
          <w:shd w:val="clear" w:color="auto" w:fill="FFFFFF"/>
        </w:rPr>
        <w:t>F</w:t>
      </w:r>
      <w:r w:rsidR="00E068D0" w:rsidRPr="00E068D0">
        <w:rPr>
          <w:rFonts w:ascii="Times New Roman" w:hAnsi="Times New Roman" w:cs="Times New Roman"/>
          <w:color w:val="222222"/>
          <w:sz w:val="28"/>
          <w:szCs w:val="28"/>
          <w:u w:val="single"/>
          <w:shd w:val="clear" w:color="auto" w:fill="FFFFFF"/>
        </w:rPr>
        <w:t>unctionally justiciable</w:t>
      </w:r>
    </w:p>
    <w:p w14:paraId="780D64BD" w14:textId="3D1E4E20" w:rsidR="00E068D0" w:rsidRPr="00BE4BDB" w:rsidRDefault="00E068D0" w:rsidP="00E068D0">
      <w:pPr>
        <w:rPr>
          <w:rFonts w:ascii="Times New Roman" w:hAnsi="Times New Roman" w:cs="Times New Roman"/>
          <w:color w:val="222222"/>
          <w:sz w:val="28"/>
          <w:szCs w:val="28"/>
          <w:shd w:val="clear" w:color="auto" w:fill="FFFFFF"/>
        </w:rPr>
      </w:pPr>
      <w:r w:rsidRPr="00BE4BDB">
        <w:rPr>
          <w:rFonts w:ascii="Times New Roman" w:hAnsi="Times New Roman" w:cs="Times New Roman"/>
          <w:color w:val="222222"/>
          <w:sz w:val="28"/>
          <w:szCs w:val="28"/>
          <w:shd w:val="clear" w:color="auto" w:fill="FFFFFF"/>
        </w:rPr>
        <w:t xml:space="preserve">A presumptively moot case is functionally justiciable if it has been adequately argued and is of statewide significance. It was adequately argued. However, </w:t>
      </w:r>
      <w:bookmarkStart w:id="2" w:name="[4]"/>
      <w:r w:rsidRPr="00BE4BDB">
        <w:rPr>
          <w:rFonts w:ascii="Times New Roman" w:hAnsi="Times New Roman" w:cs="Times New Roman"/>
          <w:color w:val="222222"/>
          <w:sz w:val="28"/>
          <w:szCs w:val="28"/>
          <w:shd w:val="clear" w:color="auto" w:fill="FFFFFF"/>
        </w:rPr>
        <w:t>“nothing in the record supports the broad claim that these parties' unique circumstances present a statewide issue affecting most landlord-tenant relationships</w:t>
      </w:r>
      <w:r w:rsidR="0031787F" w:rsidRPr="00BE4BDB">
        <w:rPr>
          <w:rFonts w:ascii="Times New Roman" w:hAnsi="Times New Roman" w:cs="Times New Roman"/>
          <w:color w:val="222222"/>
          <w:sz w:val="28"/>
          <w:szCs w:val="28"/>
          <w:shd w:val="clear" w:color="auto" w:fill="FFFFFF"/>
        </w:rPr>
        <w:t xml:space="preserve">.” </w:t>
      </w:r>
      <w:hyperlink r:id="rId33" w:history="1">
        <w:r w:rsidR="00EE2AF7">
          <w:rPr>
            <w:rStyle w:val="Hyperlink"/>
            <w:rFonts w:ascii="Times New Roman" w:hAnsi="Times New Roman" w:cs="Times New Roman"/>
            <w:i/>
            <w:iCs/>
            <w:sz w:val="28"/>
            <w:szCs w:val="28"/>
            <w:shd w:val="clear" w:color="auto" w:fill="FFFFFF"/>
          </w:rPr>
          <w:t>Id.</w:t>
        </w:r>
        <w:r w:rsidR="00EE2AF7" w:rsidRPr="001D02E8">
          <w:rPr>
            <w:rStyle w:val="Hyperlink"/>
            <w:rFonts w:ascii="Times New Roman" w:hAnsi="Times New Roman" w:cs="Times New Roman"/>
            <w:sz w:val="28"/>
            <w:szCs w:val="28"/>
            <w:shd w:val="clear" w:color="auto" w:fill="FFFFFF"/>
          </w:rPr>
          <w:t xml:space="preserve"> </w:t>
        </w:r>
        <w:r w:rsidR="00EE2AF7">
          <w:rPr>
            <w:rStyle w:val="Hyperlink"/>
            <w:rFonts w:ascii="Times New Roman" w:hAnsi="Times New Roman" w:cs="Times New Roman"/>
            <w:sz w:val="28"/>
            <w:szCs w:val="28"/>
            <w:shd w:val="clear" w:color="auto" w:fill="FFFFFF"/>
          </w:rPr>
          <w:t>a</w:t>
        </w:r>
        <w:r w:rsidR="00EE2AF7" w:rsidRPr="001D02E8">
          <w:rPr>
            <w:rStyle w:val="Hyperlink"/>
            <w:rFonts w:ascii="Times New Roman" w:hAnsi="Times New Roman" w:cs="Times New Roman"/>
            <w:sz w:val="28"/>
            <w:szCs w:val="28"/>
            <w:shd w:val="clear" w:color="auto" w:fill="FFFFFF"/>
          </w:rPr>
          <w:t>t</w:t>
        </w:r>
        <w:r w:rsidR="00EE2AF7">
          <w:rPr>
            <w:rStyle w:val="Hyperlink"/>
            <w:rFonts w:ascii="Times New Roman" w:hAnsi="Times New Roman" w:cs="Times New Roman"/>
            <w:sz w:val="28"/>
            <w:szCs w:val="28"/>
            <w:shd w:val="clear" w:color="auto" w:fill="FFFFFF"/>
          </w:rPr>
          <w:t xml:space="preserve"> 5</w:t>
        </w:r>
      </w:hyperlink>
      <w:r w:rsidR="00EE2AF7">
        <w:rPr>
          <w:rFonts w:ascii="Times New Roman" w:hAnsi="Times New Roman" w:cs="Times New Roman"/>
          <w:color w:val="222222"/>
          <w:sz w:val="28"/>
          <w:szCs w:val="28"/>
          <w:shd w:val="clear" w:color="auto" w:fill="FFFFFF"/>
        </w:rPr>
        <w:t>.</w:t>
      </w:r>
      <w:r w:rsidR="0031787F" w:rsidRPr="00BE4BDB">
        <w:rPr>
          <w:rFonts w:ascii="Times New Roman" w:hAnsi="Times New Roman" w:cs="Times New Roman"/>
          <w:color w:val="222222"/>
          <w:sz w:val="28"/>
          <w:szCs w:val="28"/>
          <w:shd w:val="clear" w:color="auto" w:fill="FFFFFF"/>
        </w:rPr>
        <w:t xml:space="preserve">The crux of </w:t>
      </w:r>
      <w:r w:rsidR="00EE2AF7">
        <w:rPr>
          <w:rFonts w:ascii="Times New Roman" w:hAnsi="Times New Roman" w:cs="Times New Roman"/>
          <w:color w:val="222222"/>
          <w:sz w:val="28"/>
          <w:szCs w:val="28"/>
          <w:shd w:val="clear" w:color="auto" w:fill="FFFFFF"/>
        </w:rPr>
        <w:t>the court’s</w:t>
      </w:r>
      <w:r w:rsidR="0031787F" w:rsidRPr="00BE4BDB">
        <w:rPr>
          <w:rFonts w:ascii="Times New Roman" w:hAnsi="Times New Roman" w:cs="Times New Roman"/>
          <w:color w:val="222222"/>
          <w:sz w:val="28"/>
          <w:szCs w:val="28"/>
          <w:shd w:val="clear" w:color="auto" w:fill="FFFFFF"/>
        </w:rPr>
        <w:t xml:space="preserve"> reasoning seems to depend on the fact that Ms. Quinn was locked out during an eviction moratorium as set out in footnote 4 </w:t>
      </w:r>
      <w:r w:rsidR="00EE2AF7">
        <w:rPr>
          <w:rFonts w:ascii="Times New Roman" w:hAnsi="Times New Roman" w:cs="Times New Roman"/>
          <w:color w:val="222222"/>
          <w:sz w:val="28"/>
          <w:szCs w:val="28"/>
          <w:shd w:val="clear" w:color="auto" w:fill="FFFFFF"/>
        </w:rPr>
        <w:t xml:space="preserve">of the order </w:t>
      </w:r>
      <w:r w:rsidR="0031787F" w:rsidRPr="00BE4BDB">
        <w:rPr>
          <w:rFonts w:ascii="Times New Roman" w:hAnsi="Times New Roman" w:cs="Times New Roman"/>
          <w:color w:val="222222"/>
          <w:sz w:val="28"/>
          <w:szCs w:val="28"/>
          <w:shd w:val="clear" w:color="auto" w:fill="FFFFFF"/>
        </w:rPr>
        <w:t>which read:</w:t>
      </w:r>
      <w:r w:rsidRPr="00BE4BDB">
        <w:rPr>
          <w:rFonts w:ascii="Times New Roman" w:hAnsi="Times New Roman" w:cs="Times New Roman"/>
          <w:color w:val="222222"/>
          <w:sz w:val="28"/>
          <w:szCs w:val="28"/>
          <w:shd w:val="clear" w:color="auto" w:fill="FFFFFF"/>
        </w:rPr>
        <w:t xml:space="preserve"> </w:t>
      </w:r>
    </w:p>
    <w:bookmarkEnd w:id="2"/>
    <w:p w14:paraId="0770D109" w14:textId="408DD3AE" w:rsidR="00E068D0" w:rsidRDefault="00E068D0" w:rsidP="0031787F">
      <w:pPr>
        <w:ind w:left="720"/>
        <w:rPr>
          <w:rFonts w:ascii="Times New Roman" w:hAnsi="Times New Roman" w:cs="Times New Roman"/>
          <w:color w:val="222222"/>
          <w:sz w:val="28"/>
          <w:szCs w:val="28"/>
          <w:shd w:val="clear" w:color="auto" w:fill="FFFFFF"/>
        </w:rPr>
      </w:pPr>
      <w:r w:rsidRPr="0031787F">
        <w:rPr>
          <w:rFonts w:ascii="Times New Roman" w:hAnsi="Times New Roman" w:cs="Times New Roman"/>
          <w:color w:val="222222"/>
          <w:sz w:val="28"/>
          <w:szCs w:val="28"/>
          <w:shd w:val="clear" w:color="auto" w:fill="FFFFFF"/>
        </w:rPr>
        <w:lastRenderedPageBreak/>
        <w:t>The context of this matter also occurred during an unprecedented time concerning landlord-tenant disputes: during the eviction moratorium imposed by the state because of a worldwide pandemic. </w:t>
      </w:r>
      <w:r w:rsidRPr="0031787F">
        <w:rPr>
          <w:rFonts w:ascii="Times New Roman" w:hAnsi="Times New Roman" w:cs="Times New Roman"/>
          <w:i/>
          <w:iCs/>
          <w:color w:val="222222"/>
          <w:sz w:val="28"/>
          <w:szCs w:val="28"/>
          <w:shd w:val="clear" w:color="auto" w:fill="FFFFFF"/>
        </w:rPr>
        <w:t>See</w:t>
      </w:r>
      <w:r w:rsidRPr="0031787F">
        <w:rPr>
          <w:rFonts w:ascii="Times New Roman" w:hAnsi="Times New Roman" w:cs="Times New Roman"/>
          <w:color w:val="222222"/>
          <w:sz w:val="28"/>
          <w:szCs w:val="28"/>
          <w:shd w:val="clear" w:color="auto" w:fill="FFFFFF"/>
        </w:rPr>
        <w:t> </w:t>
      </w:r>
      <w:proofErr w:type="spellStart"/>
      <w:r w:rsidRPr="0031787F">
        <w:rPr>
          <w:rFonts w:ascii="Times New Roman" w:hAnsi="Times New Roman" w:cs="Times New Roman"/>
          <w:color w:val="222222"/>
          <w:sz w:val="28"/>
          <w:szCs w:val="28"/>
          <w:shd w:val="clear" w:color="auto" w:fill="FFFFFF"/>
        </w:rPr>
        <w:t>Emerg</w:t>
      </w:r>
      <w:proofErr w:type="spellEnd"/>
      <w:r w:rsidRPr="0031787F">
        <w:rPr>
          <w:rFonts w:ascii="Times New Roman" w:hAnsi="Times New Roman" w:cs="Times New Roman"/>
          <w:color w:val="222222"/>
          <w:sz w:val="28"/>
          <w:szCs w:val="28"/>
          <w:shd w:val="clear" w:color="auto" w:fill="FFFFFF"/>
        </w:rPr>
        <w:t>. Exec. Order No. 20-14, </w:t>
      </w:r>
      <w:r w:rsidRPr="0031787F">
        <w:rPr>
          <w:rFonts w:ascii="Times New Roman" w:hAnsi="Times New Roman" w:cs="Times New Roman"/>
          <w:i/>
          <w:iCs/>
          <w:color w:val="222222"/>
          <w:sz w:val="28"/>
          <w:szCs w:val="28"/>
          <w:shd w:val="clear" w:color="auto" w:fill="FFFFFF"/>
        </w:rPr>
        <w:t>Suspending Evictions and Writs of Recovery During the COVID-19 Peacetime Emergency</w:t>
      </w:r>
      <w:r w:rsidRPr="0031787F">
        <w:rPr>
          <w:rFonts w:ascii="Times New Roman" w:hAnsi="Times New Roman" w:cs="Times New Roman"/>
          <w:color w:val="222222"/>
          <w:sz w:val="28"/>
          <w:szCs w:val="28"/>
          <w:shd w:val="clear" w:color="auto" w:fill="FFFFFF"/>
        </w:rPr>
        <w:t> (Mar. 23, 2020). The moratorium has since ended, and landlords once again have the right immediately to file for evictions and writs of recovery under Chapter 504B. </w:t>
      </w:r>
      <w:r w:rsidRPr="0031787F">
        <w:rPr>
          <w:rFonts w:ascii="Times New Roman" w:hAnsi="Times New Roman" w:cs="Times New Roman"/>
          <w:i/>
          <w:iCs/>
          <w:color w:val="222222"/>
          <w:sz w:val="28"/>
          <w:szCs w:val="28"/>
          <w:shd w:val="clear" w:color="auto" w:fill="FFFFFF"/>
        </w:rPr>
        <w:t>See</w:t>
      </w:r>
      <w:r w:rsidRPr="0031787F">
        <w:rPr>
          <w:rFonts w:ascii="Times New Roman" w:hAnsi="Times New Roman" w:cs="Times New Roman"/>
          <w:color w:val="222222"/>
          <w:sz w:val="28"/>
          <w:szCs w:val="28"/>
          <w:shd w:val="clear" w:color="auto" w:fill="FFFFFF"/>
        </w:rPr>
        <w:t xml:space="preserve"> Act of June 29, 2021, </w:t>
      </w:r>
      <w:proofErr w:type="spellStart"/>
      <w:r w:rsidRPr="0031787F">
        <w:rPr>
          <w:rFonts w:ascii="Times New Roman" w:hAnsi="Times New Roman" w:cs="Times New Roman"/>
          <w:color w:val="222222"/>
          <w:sz w:val="28"/>
          <w:szCs w:val="28"/>
          <w:shd w:val="clear" w:color="auto" w:fill="FFFFFF"/>
        </w:rPr>
        <w:t>ch.</w:t>
      </w:r>
      <w:proofErr w:type="spellEnd"/>
      <w:r w:rsidRPr="0031787F">
        <w:rPr>
          <w:rFonts w:ascii="Times New Roman" w:hAnsi="Times New Roman" w:cs="Times New Roman"/>
          <w:color w:val="222222"/>
          <w:sz w:val="28"/>
          <w:szCs w:val="28"/>
          <w:shd w:val="clear" w:color="auto" w:fill="FFFFFF"/>
        </w:rPr>
        <w:t xml:space="preserve"> 8, art. 5, §§ 2, 4, 2021 Minn. Laws 1825, 1849-50 (implementing an eviction moratorium phaseout plan so that on June 1, 2022, eviction proceedings could return to normal, pre-pandemic process).</w:t>
      </w:r>
    </w:p>
    <w:p w14:paraId="1BFE87D7" w14:textId="2884B46A" w:rsidR="00EE2AF7" w:rsidRPr="0031787F" w:rsidRDefault="00000000" w:rsidP="00EE2AF7">
      <w:pPr>
        <w:rPr>
          <w:rFonts w:ascii="Times New Roman" w:hAnsi="Times New Roman" w:cs="Times New Roman"/>
          <w:color w:val="222222"/>
          <w:sz w:val="28"/>
          <w:szCs w:val="28"/>
          <w:shd w:val="clear" w:color="auto" w:fill="FFFFFF"/>
        </w:rPr>
      </w:pPr>
      <w:hyperlink r:id="rId34" w:history="1">
        <w:r w:rsidR="00EE2AF7">
          <w:rPr>
            <w:rStyle w:val="Hyperlink"/>
            <w:rFonts w:ascii="Times New Roman" w:hAnsi="Times New Roman" w:cs="Times New Roman"/>
            <w:i/>
            <w:iCs/>
            <w:sz w:val="28"/>
            <w:szCs w:val="28"/>
            <w:shd w:val="clear" w:color="auto" w:fill="FFFFFF"/>
          </w:rPr>
          <w:t>Id.</w:t>
        </w:r>
      </w:hyperlink>
      <w:r w:rsidR="00EE2AF7">
        <w:rPr>
          <w:rFonts w:ascii="Times New Roman" w:hAnsi="Times New Roman" w:cs="Times New Roman"/>
          <w:color w:val="222222"/>
          <w:sz w:val="28"/>
          <w:szCs w:val="28"/>
          <w:shd w:val="clear" w:color="auto" w:fill="FFFFFF"/>
        </w:rPr>
        <w:t>.</w:t>
      </w:r>
    </w:p>
    <w:p w14:paraId="525743AF" w14:textId="1A94EFEB" w:rsidR="00E068D0" w:rsidRDefault="005F608D" w:rsidP="00BE4BDB">
      <w:pPr>
        <w:ind w:firstLine="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 xml:space="preserve">[ii] </w:t>
      </w:r>
      <w:r w:rsidR="00BE4BDB">
        <w:rPr>
          <w:rFonts w:ascii="Times New Roman" w:hAnsi="Times New Roman" w:cs="Times New Roman"/>
          <w:color w:val="222222"/>
          <w:sz w:val="28"/>
          <w:szCs w:val="28"/>
          <w:u w:val="single"/>
          <w:shd w:val="clear" w:color="auto" w:fill="FFFFFF"/>
        </w:rPr>
        <w:t>C</w:t>
      </w:r>
      <w:r w:rsidR="00BE4BDB" w:rsidRPr="00BE4BDB">
        <w:rPr>
          <w:rFonts w:ascii="Times New Roman" w:hAnsi="Times New Roman" w:cs="Times New Roman"/>
          <w:color w:val="222222"/>
          <w:sz w:val="28"/>
          <w:szCs w:val="28"/>
          <w:u w:val="single"/>
          <w:shd w:val="clear" w:color="auto" w:fill="FFFFFF"/>
        </w:rPr>
        <w:t>apable of repetition yet evading review</w:t>
      </w:r>
    </w:p>
    <w:p w14:paraId="21FD365A" w14:textId="5B9D506E" w:rsidR="006A4810" w:rsidRDefault="00BE4BDB" w:rsidP="006A4810">
      <w:pPr>
        <w:rPr>
          <w:rFonts w:ascii="Times New Roman" w:hAnsi="Times New Roman" w:cs="Times New Roman"/>
          <w:color w:val="C00000"/>
          <w:sz w:val="28"/>
          <w:szCs w:val="28"/>
          <w:shd w:val="clear" w:color="auto" w:fill="FFFFFF"/>
        </w:rPr>
      </w:pPr>
      <w:r w:rsidRPr="00F02F0F">
        <w:rPr>
          <w:rFonts w:ascii="Times New Roman" w:hAnsi="Times New Roman" w:cs="Times New Roman"/>
          <w:sz w:val="28"/>
          <w:szCs w:val="28"/>
          <w:shd w:val="clear" w:color="auto" w:fill="FFFFFF"/>
        </w:rPr>
        <w:t xml:space="preserve">A presumptively moot case is </w:t>
      </w:r>
      <w:r w:rsidR="00F02F0F" w:rsidRPr="00F02F0F">
        <w:rPr>
          <w:rFonts w:ascii="Times New Roman" w:hAnsi="Times New Roman" w:cs="Times New Roman"/>
          <w:sz w:val="28"/>
          <w:szCs w:val="28"/>
          <w:shd w:val="clear" w:color="auto" w:fill="FFFFFF"/>
        </w:rPr>
        <w:t xml:space="preserve">reviewable “when the harm to the particular plaintiff is capable of repetition yet evading review.” </w:t>
      </w:r>
      <w:hyperlink r:id="rId35" w:history="1">
        <w:r w:rsidR="00EE2AF7">
          <w:rPr>
            <w:rStyle w:val="Hyperlink"/>
            <w:rFonts w:ascii="Times New Roman" w:hAnsi="Times New Roman" w:cs="Times New Roman"/>
            <w:i/>
            <w:iCs/>
            <w:sz w:val="28"/>
            <w:szCs w:val="28"/>
            <w:shd w:val="clear" w:color="auto" w:fill="FFFFFF"/>
          </w:rPr>
          <w:t xml:space="preserve">Id. </w:t>
        </w:r>
        <w:r w:rsidR="00A76137" w:rsidRPr="001D02E8">
          <w:rPr>
            <w:rStyle w:val="Hyperlink"/>
            <w:rFonts w:ascii="Times New Roman" w:hAnsi="Times New Roman" w:cs="Times New Roman"/>
            <w:sz w:val="28"/>
            <w:szCs w:val="28"/>
            <w:shd w:val="clear" w:color="auto" w:fill="FFFFFF"/>
          </w:rPr>
          <w:t xml:space="preserve"> at 6</w:t>
        </w:r>
      </w:hyperlink>
      <w:r w:rsidR="00A76137">
        <w:rPr>
          <w:rFonts w:ascii="Times New Roman" w:hAnsi="Times New Roman" w:cs="Times New Roman"/>
          <w:color w:val="222222"/>
          <w:sz w:val="28"/>
          <w:szCs w:val="28"/>
          <w:shd w:val="clear" w:color="auto" w:fill="FFFFFF"/>
        </w:rPr>
        <w:t>.</w:t>
      </w:r>
      <w:r w:rsidR="00F02F0F" w:rsidRPr="00F02F0F">
        <w:rPr>
          <w:rFonts w:ascii="Times New Roman" w:hAnsi="Times New Roman" w:cs="Times New Roman"/>
          <w:sz w:val="28"/>
          <w:szCs w:val="28"/>
          <w:shd w:val="clear" w:color="auto" w:fill="FFFFFF"/>
        </w:rPr>
        <w:t xml:space="preserve">This requires two things, one of which is that “there is a reasonable expectation that a </w:t>
      </w:r>
      <w:r w:rsidR="00F02F0F" w:rsidRPr="005A4056">
        <w:rPr>
          <w:rFonts w:ascii="Times New Roman" w:hAnsi="Times New Roman" w:cs="Times New Roman"/>
          <w:sz w:val="28"/>
          <w:szCs w:val="28"/>
          <w:u w:val="single"/>
          <w:shd w:val="clear" w:color="auto" w:fill="FFFFFF"/>
        </w:rPr>
        <w:t>complaining party</w:t>
      </w:r>
      <w:r w:rsidR="00F02F0F" w:rsidRPr="00F02F0F">
        <w:rPr>
          <w:rFonts w:ascii="Times New Roman" w:hAnsi="Times New Roman" w:cs="Times New Roman"/>
          <w:sz w:val="28"/>
          <w:szCs w:val="28"/>
          <w:shd w:val="clear" w:color="auto" w:fill="FFFFFF"/>
        </w:rPr>
        <w:t xml:space="preserve"> would be subjected to the same action again,</w:t>
      </w:r>
      <w:r w:rsidR="005A4056">
        <w:rPr>
          <w:rFonts w:ascii="Times New Roman" w:hAnsi="Times New Roman" w:cs="Times New Roman"/>
          <w:sz w:val="28"/>
          <w:szCs w:val="28"/>
          <w:shd w:val="clear" w:color="auto" w:fill="FFFFFF"/>
        </w:rPr>
        <w:t xml:space="preserve"> [emphasis added]</w:t>
      </w:r>
      <w:r w:rsidR="00F02F0F" w:rsidRPr="00F02F0F">
        <w:rPr>
          <w:rFonts w:ascii="Times New Roman" w:hAnsi="Times New Roman" w:cs="Times New Roman"/>
          <w:sz w:val="28"/>
          <w:szCs w:val="28"/>
          <w:shd w:val="clear" w:color="auto" w:fill="FFFFFF"/>
        </w:rPr>
        <w:t>".</w:t>
      </w:r>
      <w:r w:rsidR="001B0EF1" w:rsidRPr="001B0EF1">
        <w:rPr>
          <w:rFonts w:ascii="Times New Roman" w:hAnsi="Times New Roman" w:cs="Times New Roman"/>
          <w:color w:val="C00000"/>
          <w:sz w:val="28"/>
          <w:szCs w:val="28"/>
          <w:shd w:val="clear" w:color="auto" w:fill="FFFFFF"/>
        </w:rPr>
        <w:t xml:space="preserve"> </w:t>
      </w:r>
      <w:hyperlink r:id="rId36" w:history="1">
        <w:r w:rsidR="00EE2AF7">
          <w:rPr>
            <w:rStyle w:val="Hyperlink"/>
            <w:rFonts w:ascii="Times New Roman" w:hAnsi="Times New Roman" w:cs="Times New Roman"/>
            <w:i/>
            <w:iCs/>
            <w:sz w:val="28"/>
            <w:szCs w:val="28"/>
            <w:shd w:val="clear" w:color="auto" w:fill="FFFFFF"/>
          </w:rPr>
          <w:t>Id.</w:t>
        </w:r>
        <w:r w:rsidR="001D02E8" w:rsidRPr="001D02E8">
          <w:rPr>
            <w:rStyle w:val="Hyperlink"/>
            <w:rFonts w:ascii="Times New Roman" w:hAnsi="Times New Roman" w:cs="Times New Roman"/>
            <w:sz w:val="28"/>
            <w:szCs w:val="28"/>
            <w:shd w:val="clear" w:color="auto" w:fill="FFFFFF"/>
          </w:rPr>
          <w:t xml:space="preserve"> at 6</w:t>
        </w:r>
      </w:hyperlink>
      <w:r w:rsidR="001D02E8">
        <w:rPr>
          <w:rFonts w:ascii="Times New Roman" w:hAnsi="Times New Roman" w:cs="Times New Roman"/>
          <w:color w:val="222222"/>
          <w:sz w:val="28"/>
          <w:szCs w:val="28"/>
          <w:shd w:val="clear" w:color="auto" w:fill="FFFFFF"/>
        </w:rPr>
        <w:t>.</w:t>
      </w:r>
      <w:r w:rsidR="001D02E8" w:rsidRPr="00F02F0F">
        <w:rPr>
          <w:rFonts w:ascii="Times New Roman" w:hAnsi="Times New Roman" w:cs="Times New Roman"/>
          <w:sz w:val="28"/>
          <w:szCs w:val="28"/>
          <w:shd w:val="clear" w:color="auto" w:fill="FFFFFF"/>
        </w:rPr>
        <w:t>Th</w:t>
      </w:r>
      <w:r w:rsidR="001D02E8">
        <w:rPr>
          <w:rFonts w:ascii="Times New Roman" w:hAnsi="Times New Roman" w:cs="Times New Roman"/>
          <w:sz w:val="28"/>
          <w:szCs w:val="28"/>
          <w:shd w:val="clear" w:color="auto" w:fill="FFFFFF"/>
        </w:rPr>
        <w:t>e</w:t>
      </w:r>
      <w:r w:rsidR="00F02F0F" w:rsidRPr="00F02F0F">
        <w:rPr>
          <w:rFonts w:ascii="Times New Roman" w:hAnsi="Times New Roman" w:cs="Times New Roman"/>
          <w:sz w:val="28"/>
          <w:szCs w:val="28"/>
          <w:shd w:val="clear" w:color="auto" w:fill="FFFFFF"/>
        </w:rPr>
        <w:t xml:space="preserve"> court reasoned that</w:t>
      </w:r>
      <w:r w:rsidR="006928ED">
        <w:rPr>
          <w:rFonts w:ascii="Times New Roman" w:hAnsi="Times New Roman" w:cs="Times New Roman"/>
          <w:sz w:val="28"/>
          <w:szCs w:val="28"/>
          <w:shd w:val="clear" w:color="auto" w:fill="FFFFFF"/>
        </w:rPr>
        <w:t>, “</w:t>
      </w:r>
      <w:r w:rsidR="00F02F0F" w:rsidRPr="00F02F0F">
        <w:rPr>
          <w:rFonts w:ascii="Times New Roman" w:hAnsi="Times New Roman" w:cs="Times New Roman"/>
          <w:sz w:val="28"/>
          <w:szCs w:val="28"/>
          <w:shd w:val="clear" w:color="auto" w:fill="FFFFFF"/>
        </w:rPr>
        <w:t xml:space="preserve">[f]or this case to recur, </w:t>
      </w:r>
      <w:r w:rsidR="00F02F0F" w:rsidRPr="005A4056">
        <w:rPr>
          <w:rFonts w:ascii="Times New Roman" w:hAnsi="Times New Roman" w:cs="Times New Roman"/>
          <w:sz w:val="28"/>
          <w:szCs w:val="28"/>
          <w:u w:val="single"/>
          <w:shd w:val="clear" w:color="auto" w:fill="FFFFFF"/>
        </w:rPr>
        <w:t>Quinn</w:t>
      </w:r>
      <w:r w:rsidR="00F02F0F" w:rsidRPr="00F02F0F">
        <w:rPr>
          <w:rFonts w:ascii="Times New Roman" w:hAnsi="Times New Roman" w:cs="Times New Roman"/>
          <w:sz w:val="28"/>
          <w:szCs w:val="28"/>
          <w:shd w:val="clear" w:color="auto" w:fill="FFFFFF"/>
        </w:rPr>
        <w:t xml:space="preserve"> would have to move in with another person who has a lease </w:t>
      </w:r>
      <w:r w:rsidR="00F02F0F" w:rsidRPr="005A4056">
        <w:rPr>
          <w:rFonts w:ascii="Times New Roman" w:hAnsi="Times New Roman" w:cs="Times New Roman"/>
          <w:sz w:val="28"/>
          <w:szCs w:val="28"/>
          <w:u w:val="single"/>
          <w:shd w:val="clear" w:color="auto" w:fill="FFFFFF"/>
        </w:rPr>
        <w:t>in an LMC building</w:t>
      </w:r>
      <w:r w:rsidR="00F02F0F" w:rsidRPr="00F02F0F">
        <w:rPr>
          <w:rFonts w:ascii="Times New Roman" w:hAnsi="Times New Roman" w:cs="Times New Roman"/>
          <w:sz w:val="28"/>
          <w:szCs w:val="28"/>
          <w:shd w:val="clear" w:color="auto" w:fill="FFFFFF"/>
        </w:rPr>
        <w:t xml:space="preserve"> and live there for an extended period before being discovered</w:t>
      </w:r>
      <w:r w:rsidR="005A4056">
        <w:rPr>
          <w:rFonts w:ascii="Times New Roman" w:hAnsi="Times New Roman" w:cs="Times New Roman"/>
          <w:sz w:val="28"/>
          <w:szCs w:val="28"/>
          <w:shd w:val="clear" w:color="auto" w:fill="FFFFFF"/>
        </w:rPr>
        <w:t xml:space="preserve"> [emphasis added]</w:t>
      </w:r>
      <w:r w:rsidR="00F02F0F" w:rsidRPr="00F02F0F">
        <w:rPr>
          <w:rFonts w:ascii="Times New Roman" w:hAnsi="Times New Roman" w:cs="Times New Roman"/>
          <w:sz w:val="28"/>
          <w:szCs w:val="28"/>
          <w:shd w:val="clear" w:color="auto" w:fill="FFFFFF"/>
        </w:rPr>
        <w:t>”, and that this was unlikely.</w:t>
      </w:r>
      <w:r w:rsidR="001B0EF1">
        <w:rPr>
          <w:rFonts w:ascii="Times New Roman" w:hAnsi="Times New Roman" w:cs="Times New Roman"/>
          <w:sz w:val="28"/>
          <w:szCs w:val="28"/>
          <w:shd w:val="clear" w:color="auto" w:fill="FFFFFF"/>
        </w:rPr>
        <w:t xml:space="preserve"> </w:t>
      </w:r>
      <w:hyperlink r:id="rId37" w:history="1">
        <w:r w:rsidR="001D02E8">
          <w:rPr>
            <w:rStyle w:val="Hyperlink"/>
            <w:rFonts w:ascii="Times New Roman" w:hAnsi="Times New Roman" w:cs="Times New Roman"/>
            <w:i/>
            <w:iCs/>
            <w:sz w:val="28"/>
            <w:szCs w:val="28"/>
            <w:shd w:val="clear" w:color="auto" w:fill="FFFFFF"/>
          </w:rPr>
          <w:t>Id.</w:t>
        </w:r>
        <w:r w:rsidR="001D02E8" w:rsidRPr="001D02E8">
          <w:rPr>
            <w:rStyle w:val="Hyperlink"/>
            <w:rFonts w:ascii="Times New Roman" w:hAnsi="Times New Roman" w:cs="Times New Roman"/>
            <w:sz w:val="28"/>
            <w:szCs w:val="28"/>
            <w:shd w:val="clear" w:color="auto" w:fill="FFFFFF"/>
          </w:rPr>
          <w:t xml:space="preserve"> </w:t>
        </w:r>
        <w:r w:rsidR="001D02E8">
          <w:rPr>
            <w:rStyle w:val="Hyperlink"/>
            <w:rFonts w:ascii="Times New Roman" w:hAnsi="Times New Roman" w:cs="Times New Roman"/>
            <w:sz w:val="28"/>
            <w:szCs w:val="28"/>
            <w:shd w:val="clear" w:color="auto" w:fill="FFFFFF"/>
          </w:rPr>
          <w:t>a</w:t>
        </w:r>
        <w:r w:rsidR="001D02E8" w:rsidRPr="001D02E8">
          <w:rPr>
            <w:rStyle w:val="Hyperlink"/>
            <w:rFonts w:ascii="Times New Roman" w:hAnsi="Times New Roman" w:cs="Times New Roman"/>
            <w:sz w:val="28"/>
            <w:szCs w:val="28"/>
            <w:shd w:val="clear" w:color="auto" w:fill="FFFFFF"/>
          </w:rPr>
          <w:t>t</w:t>
        </w:r>
        <w:r w:rsidR="001D02E8">
          <w:rPr>
            <w:rStyle w:val="Hyperlink"/>
            <w:rFonts w:ascii="Times New Roman" w:hAnsi="Times New Roman" w:cs="Times New Roman"/>
            <w:sz w:val="28"/>
            <w:szCs w:val="28"/>
            <w:shd w:val="clear" w:color="auto" w:fill="FFFFFF"/>
          </w:rPr>
          <w:t xml:space="preserve"> 6-7</w:t>
        </w:r>
      </w:hyperlink>
      <w:r w:rsidR="001D02E8">
        <w:rPr>
          <w:rFonts w:ascii="Times New Roman" w:hAnsi="Times New Roman" w:cs="Times New Roman"/>
          <w:color w:val="222222"/>
          <w:sz w:val="28"/>
          <w:szCs w:val="28"/>
          <w:shd w:val="clear" w:color="auto" w:fill="FFFFFF"/>
        </w:rPr>
        <w:t>.</w:t>
      </w:r>
    </w:p>
    <w:p w14:paraId="7D26A8CE" w14:textId="06338450" w:rsidR="005C5CBB" w:rsidRDefault="005F608D" w:rsidP="005C5CBB">
      <w:pPr>
        <w:ind w:firstLine="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 xml:space="preserve">[iii] </w:t>
      </w:r>
      <w:r w:rsidR="001B0EF1">
        <w:rPr>
          <w:rFonts w:ascii="Times New Roman" w:hAnsi="Times New Roman" w:cs="Times New Roman"/>
          <w:color w:val="222222"/>
          <w:sz w:val="28"/>
          <w:szCs w:val="28"/>
          <w:u w:val="single"/>
          <w:shd w:val="clear" w:color="auto" w:fill="FFFFFF"/>
        </w:rPr>
        <w:t>C</w:t>
      </w:r>
      <w:r w:rsidR="005C5CBB">
        <w:rPr>
          <w:rFonts w:ascii="Times New Roman" w:hAnsi="Times New Roman" w:cs="Times New Roman"/>
          <w:color w:val="222222"/>
          <w:sz w:val="28"/>
          <w:szCs w:val="28"/>
          <w:u w:val="single"/>
          <w:shd w:val="clear" w:color="auto" w:fill="FFFFFF"/>
        </w:rPr>
        <w:t>ollateral consequences</w:t>
      </w:r>
    </w:p>
    <w:p w14:paraId="70B5BF28" w14:textId="2C8E4A0A" w:rsidR="005C5CBB" w:rsidRPr="005C5CBB" w:rsidRDefault="001B0EF1" w:rsidP="0009721F">
      <w:pPr>
        <w:rPr>
          <w:rFonts w:ascii="Times New Roman" w:hAnsi="Times New Roman" w:cs="Times New Roman"/>
          <w:color w:val="222222"/>
          <w:sz w:val="28"/>
          <w:szCs w:val="28"/>
          <w:shd w:val="clear" w:color="auto" w:fill="FFFFFF"/>
        </w:rPr>
      </w:pPr>
      <w:r w:rsidRPr="005C5CBB">
        <w:rPr>
          <w:rFonts w:ascii="Times New Roman" w:hAnsi="Times New Roman" w:cs="Times New Roman"/>
          <w:sz w:val="28"/>
          <w:szCs w:val="28"/>
          <w:shd w:val="clear" w:color="auto" w:fill="FFFFFF"/>
        </w:rPr>
        <w:t xml:space="preserve">A presumptively moot case is reviewable “when </w:t>
      </w:r>
      <w:r w:rsidR="005C5CBB" w:rsidRPr="005C5CBB">
        <w:rPr>
          <w:rFonts w:ascii="Times New Roman" w:hAnsi="Times New Roman" w:cs="Times New Roman"/>
          <w:color w:val="222222"/>
          <w:sz w:val="28"/>
          <w:szCs w:val="28"/>
          <w:shd w:val="clear" w:color="auto" w:fill="FFFFFF"/>
        </w:rPr>
        <w:t>an appellant produces evidence that collateral consequences actually resulted from a judgment.</w:t>
      </w:r>
      <w:r w:rsidR="005C5CBB">
        <w:rPr>
          <w:rFonts w:ascii="Times New Roman" w:hAnsi="Times New Roman" w:cs="Times New Roman"/>
          <w:color w:val="222222"/>
          <w:sz w:val="28"/>
          <w:szCs w:val="28"/>
          <w:shd w:val="clear" w:color="auto" w:fill="FFFFFF"/>
        </w:rPr>
        <w:t>”</w:t>
      </w:r>
      <w:r w:rsidR="005C5CBB" w:rsidRPr="005C5CBB">
        <w:rPr>
          <w:rFonts w:ascii="Times New Roman" w:hAnsi="Times New Roman" w:cs="Times New Roman"/>
          <w:color w:val="222222"/>
          <w:sz w:val="28"/>
          <w:szCs w:val="28"/>
          <w:shd w:val="clear" w:color="auto" w:fill="FFFFFF"/>
        </w:rPr>
        <w:t xml:space="preserve"> </w:t>
      </w:r>
      <w:hyperlink r:id="rId38" w:history="1">
        <w:r w:rsidR="001D02E8">
          <w:rPr>
            <w:rStyle w:val="Hyperlink"/>
            <w:rFonts w:ascii="Times New Roman" w:hAnsi="Times New Roman" w:cs="Times New Roman"/>
            <w:i/>
            <w:iCs/>
            <w:sz w:val="28"/>
            <w:szCs w:val="28"/>
            <w:shd w:val="clear" w:color="auto" w:fill="FFFFFF"/>
          </w:rPr>
          <w:t>Id.</w:t>
        </w:r>
        <w:r w:rsidR="001D02E8" w:rsidRPr="001D02E8">
          <w:rPr>
            <w:rStyle w:val="Hyperlink"/>
            <w:rFonts w:ascii="Times New Roman" w:hAnsi="Times New Roman" w:cs="Times New Roman"/>
            <w:sz w:val="28"/>
            <w:szCs w:val="28"/>
            <w:shd w:val="clear" w:color="auto" w:fill="FFFFFF"/>
          </w:rPr>
          <w:t xml:space="preserve"> </w:t>
        </w:r>
        <w:r w:rsidR="001D02E8">
          <w:rPr>
            <w:rStyle w:val="Hyperlink"/>
            <w:rFonts w:ascii="Times New Roman" w:hAnsi="Times New Roman" w:cs="Times New Roman"/>
            <w:sz w:val="28"/>
            <w:szCs w:val="28"/>
            <w:shd w:val="clear" w:color="auto" w:fill="FFFFFF"/>
          </w:rPr>
          <w:t>a</w:t>
        </w:r>
        <w:r w:rsidR="001D02E8" w:rsidRPr="001D02E8">
          <w:rPr>
            <w:rStyle w:val="Hyperlink"/>
            <w:rFonts w:ascii="Times New Roman" w:hAnsi="Times New Roman" w:cs="Times New Roman"/>
            <w:sz w:val="28"/>
            <w:szCs w:val="28"/>
            <w:shd w:val="clear" w:color="auto" w:fill="FFFFFF"/>
          </w:rPr>
          <w:t>t</w:t>
        </w:r>
        <w:r w:rsidR="001D02E8">
          <w:rPr>
            <w:rStyle w:val="Hyperlink"/>
            <w:rFonts w:ascii="Times New Roman" w:hAnsi="Times New Roman" w:cs="Times New Roman"/>
            <w:sz w:val="28"/>
            <w:szCs w:val="28"/>
            <w:shd w:val="clear" w:color="auto" w:fill="FFFFFF"/>
          </w:rPr>
          <w:t xml:space="preserve"> 7</w:t>
        </w:r>
      </w:hyperlink>
      <w:r w:rsidR="001D02E8">
        <w:rPr>
          <w:rFonts w:ascii="Times New Roman" w:hAnsi="Times New Roman" w:cs="Times New Roman"/>
          <w:color w:val="222222"/>
          <w:sz w:val="28"/>
          <w:szCs w:val="28"/>
          <w:shd w:val="clear" w:color="auto" w:fill="FFFFFF"/>
        </w:rPr>
        <w:t>.</w:t>
      </w:r>
    </w:p>
    <w:p w14:paraId="480B1203" w14:textId="68DA17C9" w:rsidR="00957126" w:rsidRPr="005C5CBB" w:rsidRDefault="005C5CBB" w:rsidP="0009721F">
      <w:pPr>
        <w:rPr>
          <w:rFonts w:ascii="Times New Roman" w:hAnsi="Times New Roman" w:cs="Times New Roman"/>
          <w:sz w:val="28"/>
          <w:szCs w:val="28"/>
        </w:rPr>
      </w:pPr>
      <w:r w:rsidRPr="005C5CBB">
        <w:rPr>
          <w:rFonts w:ascii="Times New Roman" w:hAnsi="Times New Roman" w:cs="Times New Roman"/>
          <w:color w:val="222222"/>
          <w:sz w:val="28"/>
          <w:szCs w:val="28"/>
          <w:shd w:val="clear" w:color="auto" w:fill="FFFFFF"/>
        </w:rPr>
        <w:t>LMC had argued that the amount of its claim for money damages against Ms. Quinn depended on whether she was a tenant or a trespasser</w:t>
      </w:r>
      <w:r w:rsidR="00EE2AF7">
        <w:rPr>
          <w:rFonts w:ascii="Times New Roman" w:hAnsi="Times New Roman" w:cs="Times New Roman"/>
          <w:color w:val="222222"/>
          <w:sz w:val="28"/>
          <w:szCs w:val="28"/>
          <w:shd w:val="clear" w:color="auto" w:fill="FFFFFF"/>
        </w:rPr>
        <w:t>: [a] if</w:t>
      </w:r>
      <w:r w:rsidRPr="005C5CBB">
        <w:rPr>
          <w:rFonts w:ascii="Times New Roman" w:hAnsi="Times New Roman" w:cs="Times New Roman"/>
          <w:color w:val="222222"/>
          <w:sz w:val="28"/>
          <w:szCs w:val="28"/>
          <w:shd w:val="clear" w:color="auto" w:fill="FFFFFF"/>
        </w:rPr>
        <w:t xml:space="preserve"> </w:t>
      </w:r>
      <w:r w:rsidR="00EE2AF7">
        <w:rPr>
          <w:rFonts w:ascii="Times New Roman" w:hAnsi="Times New Roman" w:cs="Times New Roman"/>
          <w:color w:val="222222"/>
          <w:sz w:val="28"/>
          <w:szCs w:val="28"/>
          <w:shd w:val="clear" w:color="auto" w:fill="FFFFFF"/>
        </w:rPr>
        <w:t xml:space="preserve">she was </w:t>
      </w:r>
      <w:r w:rsidRPr="005C5CBB">
        <w:rPr>
          <w:rFonts w:ascii="Times New Roman" w:hAnsi="Times New Roman" w:cs="Times New Roman"/>
          <w:color w:val="222222"/>
          <w:sz w:val="28"/>
          <w:szCs w:val="28"/>
          <w:shd w:val="clear" w:color="auto" w:fill="FFFFFF"/>
        </w:rPr>
        <w:t>a tenant, her debt would be unpaid rent from April 2, 2021 through July 2022</w:t>
      </w:r>
      <w:r w:rsidR="00EE2AF7">
        <w:rPr>
          <w:rFonts w:ascii="Times New Roman" w:hAnsi="Times New Roman" w:cs="Times New Roman"/>
          <w:color w:val="222222"/>
          <w:sz w:val="28"/>
          <w:szCs w:val="28"/>
          <w:shd w:val="clear" w:color="auto" w:fill="FFFFFF"/>
        </w:rPr>
        <w:t>; [b] if</w:t>
      </w:r>
      <w:r w:rsidRPr="005C5CBB">
        <w:rPr>
          <w:rFonts w:ascii="Times New Roman" w:hAnsi="Times New Roman" w:cs="Times New Roman"/>
          <w:color w:val="222222"/>
          <w:sz w:val="28"/>
          <w:szCs w:val="28"/>
          <w:shd w:val="clear" w:color="auto" w:fill="FFFFFF"/>
        </w:rPr>
        <w:t xml:space="preserve"> she was a trespasser,</w:t>
      </w:r>
      <w:r w:rsidR="00E74886">
        <w:rPr>
          <w:rFonts w:ascii="Times New Roman" w:hAnsi="Times New Roman" w:cs="Times New Roman"/>
          <w:color w:val="222222"/>
          <w:sz w:val="28"/>
          <w:szCs w:val="28"/>
          <w:shd w:val="clear" w:color="auto" w:fill="FFFFFF"/>
        </w:rPr>
        <w:t xml:space="preserve"> </w:t>
      </w:r>
      <w:r w:rsidRPr="005C5CBB">
        <w:rPr>
          <w:rFonts w:ascii="Times New Roman" w:hAnsi="Times New Roman" w:cs="Times New Roman"/>
          <w:color w:val="222222"/>
          <w:sz w:val="28"/>
          <w:szCs w:val="28"/>
          <w:shd w:val="clear" w:color="auto" w:fill="FFFFFF"/>
        </w:rPr>
        <w:t>her debt would be “</w:t>
      </w:r>
      <w:r w:rsidRPr="005C5CBB">
        <w:rPr>
          <w:rFonts w:ascii="Times New Roman" w:hAnsi="Times New Roman" w:cs="Times New Roman"/>
          <w:sz w:val="28"/>
          <w:szCs w:val="28"/>
        </w:rPr>
        <w:t>the reasonable rental value of the premises for the time the wrongdoer retains such wrongful possession.”</w:t>
      </w:r>
      <w:r w:rsidR="00D753DB">
        <w:rPr>
          <w:rStyle w:val="FootnoteReference"/>
          <w:rFonts w:ascii="Times New Roman" w:hAnsi="Times New Roman" w:cs="Times New Roman"/>
          <w:color w:val="222222"/>
          <w:sz w:val="28"/>
          <w:szCs w:val="28"/>
          <w:shd w:val="clear" w:color="auto" w:fill="FFFFFF"/>
        </w:rPr>
        <w:footnoteReference w:id="23"/>
      </w:r>
    </w:p>
    <w:p w14:paraId="64F4F9DC" w14:textId="6DECA0CA" w:rsidR="005C5CBB" w:rsidRDefault="005C5CBB" w:rsidP="0009721F">
      <w:pPr>
        <w:rPr>
          <w:rFonts w:ascii="Times New Roman" w:hAnsi="Times New Roman" w:cs="Times New Roman"/>
          <w:color w:val="222222"/>
          <w:sz w:val="28"/>
          <w:szCs w:val="28"/>
          <w:shd w:val="clear" w:color="auto" w:fill="FFFFFF"/>
        </w:rPr>
      </w:pPr>
      <w:r w:rsidRPr="005C5CBB">
        <w:rPr>
          <w:rFonts w:ascii="Times New Roman" w:hAnsi="Times New Roman" w:cs="Times New Roman"/>
          <w:sz w:val="28"/>
          <w:szCs w:val="28"/>
        </w:rPr>
        <w:t xml:space="preserve">Without reaching the merits of LMC’s argument, the court </w:t>
      </w:r>
      <w:r w:rsidR="00EE2AF7">
        <w:rPr>
          <w:rFonts w:ascii="Times New Roman" w:hAnsi="Times New Roman" w:cs="Times New Roman"/>
          <w:sz w:val="28"/>
          <w:szCs w:val="28"/>
        </w:rPr>
        <w:t>noted</w:t>
      </w:r>
      <w:r w:rsidRPr="005C5CBB">
        <w:rPr>
          <w:rFonts w:ascii="Times New Roman" w:hAnsi="Times New Roman" w:cs="Times New Roman"/>
          <w:sz w:val="28"/>
          <w:szCs w:val="28"/>
        </w:rPr>
        <w:t xml:space="preserve"> that it had only.  invoked the collateral-consequences doctrine in criminal cases. It held that, “</w:t>
      </w:r>
      <w:r w:rsidRPr="005C5CBB">
        <w:rPr>
          <w:rFonts w:ascii="Times New Roman" w:hAnsi="Times New Roman" w:cs="Times New Roman"/>
          <w:color w:val="222222"/>
          <w:sz w:val="28"/>
          <w:szCs w:val="28"/>
          <w:shd w:val="clear" w:color="auto" w:fill="FFFFFF"/>
        </w:rPr>
        <w:t>LMC has failed to provide persuasive authority to explain why we should expand this exception here.</w:t>
      </w:r>
      <w:r w:rsidR="001D02E8">
        <w:rPr>
          <w:rFonts w:ascii="Times New Roman" w:hAnsi="Times New Roman" w:cs="Times New Roman"/>
          <w:color w:val="222222"/>
          <w:sz w:val="28"/>
          <w:szCs w:val="28"/>
          <w:shd w:val="clear" w:color="auto" w:fill="FFFFFF"/>
        </w:rPr>
        <w:t xml:space="preserve">” </w:t>
      </w:r>
      <w:hyperlink r:id="rId39" w:history="1">
        <w:r w:rsidR="00EE2AF7">
          <w:rPr>
            <w:rStyle w:val="Hyperlink"/>
            <w:rFonts w:ascii="Times New Roman" w:hAnsi="Times New Roman" w:cs="Times New Roman"/>
            <w:i/>
            <w:iCs/>
            <w:sz w:val="28"/>
            <w:szCs w:val="28"/>
            <w:shd w:val="clear" w:color="auto" w:fill="FFFFFF"/>
          </w:rPr>
          <w:t>Id.</w:t>
        </w:r>
        <w:r w:rsidR="001D02E8" w:rsidRPr="001D02E8">
          <w:rPr>
            <w:rStyle w:val="Hyperlink"/>
            <w:rFonts w:ascii="Times New Roman" w:hAnsi="Times New Roman" w:cs="Times New Roman"/>
            <w:sz w:val="28"/>
            <w:szCs w:val="28"/>
            <w:shd w:val="clear" w:color="auto" w:fill="FFFFFF"/>
          </w:rPr>
          <w:t xml:space="preserve"> at </w:t>
        </w:r>
        <w:r w:rsidR="001D02E8">
          <w:rPr>
            <w:rStyle w:val="Hyperlink"/>
            <w:rFonts w:ascii="Times New Roman" w:hAnsi="Times New Roman" w:cs="Times New Roman"/>
            <w:sz w:val="28"/>
            <w:szCs w:val="28"/>
            <w:shd w:val="clear" w:color="auto" w:fill="FFFFFF"/>
          </w:rPr>
          <w:t>7</w:t>
        </w:r>
      </w:hyperlink>
      <w:r w:rsidR="001D02E8">
        <w:rPr>
          <w:rFonts w:ascii="Times New Roman" w:hAnsi="Times New Roman" w:cs="Times New Roman"/>
          <w:color w:val="222222"/>
          <w:sz w:val="28"/>
          <w:szCs w:val="28"/>
          <w:shd w:val="clear" w:color="auto" w:fill="FFFFFF"/>
        </w:rPr>
        <w:t>.</w:t>
      </w:r>
    </w:p>
    <w:p w14:paraId="29E15ED8" w14:textId="660BB220" w:rsidR="007E7050" w:rsidRPr="007E7050" w:rsidRDefault="007E7050" w:rsidP="007E7050">
      <w:pPr>
        <w:ind w:firstLine="720"/>
        <w:rPr>
          <w:rFonts w:ascii="Times New Roman" w:hAnsi="Times New Roman" w:cs="Times New Roman"/>
          <w:color w:val="222222"/>
          <w:sz w:val="28"/>
          <w:szCs w:val="28"/>
          <w:u w:val="single"/>
          <w:shd w:val="clear" w:color="auto" w:fill="FFFFFF"/>
        </w:rPr>
      </w:pPr>
      <w:r w:rsidRPr="007E7050">
        <w:rPr>
          <w:rFonts w:ascii="Times New Roman" w:hAnsi="Times New Roman" w:cs="Times New Roman"/>
          <w:color w:val="222222"/>
          <w:sz w:val="28"/>
          <w:szCs w:val="28"/>
          <w:u w:val="single"/>
          <w:shd w:val="clear" w:color="auto" w:fill="FFFFFF"/>
        </w:rPr>
        <w:lastRenderedPageBreak/>
        <w:t>Summary</w:t>
      </w:r>
    </w:p>
    <w:p w14:paraId="69BD7527" w14:textId="0ED4395C" w:rsidR="007E7050" w:rsidRDefault="007E7050" w:rsidP="0009721F">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The supreme court rejected LMC’s arguments that the case was ripe and dismissed its appeal as moot. As a result, the Court of Appeals’ precedential decision remains good law.</w:t>
      </w:r>
    </w:p>
    <w:p w14:paraId="7EA9454D" w14:textId="46A80A29" w:rsidR="007D7A7F" w:rsidRPr="007D7A7F" w:rsidRDefault="007D7A7F" w:rsidP="0009721F">
      <w:pPr>
        <w:rPr>
          <w:rFonts w:ascii="Times New Roman" w:hAnsi="Times New Roman" w:cs="Times New Roman"/>
          <w:color w:val="222222"/>
          <w:sz w:val="28"/>
          <w:szCs w:val="28"/>
          <w:u w:val="single"/>
          <w:shd w:val="clear" w:color="auto" w:fill="FFFFFF"/>
        </w:rPr>
      </w:pPr>
      <w:r w:rsidRPr="007D7A7F">
        <w:rPr>
          <w:rFonts w:ascii="Times New Roman" w:hAnsi="Times New Roman" w:cs="Times New Roman"/>
          <w:color w:val="222222"/>
          <w:sz w:val="28"/>
          <w:szCs w:val="28"/>
          <w:u w:val="single"/>
          <w:shd w:val="clear" w:color="auto" w:fill="FFFFFF"/>
        </w:rPr>
        <w:t>My Comments</w:t>
      </w:r>
    </w:p>
    <w:p w14:paraId="42CFF590" w14:textId="16B5EEB7" w:rsidR="007D7A7F" w:rsidRDefault="00320A89" w:rsidP="007D7A7F">
      <w:pPr>
        <w:ind w:firstLine="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w:t>
      </w:r>
      <w:proofErr w:type="spellStart"/>
      <w:r>
        <w:rPr>
          <w:rFonts w:ascii="Times New Roman" w:hAnsi="Times New Roman" w:cs="Times New Roman"/>
          <w:color w:val="222222"/>
          <w:sz w:val="28"/>
          <w:szCs w:val="28"/>
          <w:u w:val="single"/>
          <w:shd w:val="clear" w:color="auto" w:fill="FFFFFF"/>
        </w:rPr>
        <w:t>i</w:t>
      </w:r>
      <w:proofErr w:type="spellEnd"/>
      <w:r>
        <w:rPr>
          <w:rFonts w:ascii="Times New Roman" w:hAnsi="Times New Roman" w:cs="Times New Roman"/>
          <w:color w:val="222222"/>
          <w:sz w:val="28"/>
          <w:szCs w:val="28"/>
          <w:u w:val="single"/>
          <w:shd w:val="clear" w:color="auto" w:fill="FFFFFF"/>
        </w:rPr>
        <w:t xml:space="preserve">] </w:t>
      </w:r>
      <w:r w:rsidR="005F608D">
        <w:rPr>
          <w:rFonts w:ascii="Times New Roman" w:hAnsi="Times New Roman" w:cs="Times New Roman"/>
          <w:color w:val="222222"/>
          <w:sz w:val="28"/>
          <w:szCs w:val="28"/>
          <w:u w:val="single"/>
          <w:shd w:val="clear" w:color="auto" w:fill="FFFFFF"/>
        </w:rPr>
        <w:t>The case seemed f</w:t>
      </w:r>
      <w:r w:rsidR="007D7A7F" w:rsidRPr="00E068D0">
        <w:rPr>
          <w:rFonts w:ascii="Times New Roman" w:hAnsi="Times New Roman" w:cs="Times New Roman"/>
          <w:color w:val="222222"/>
          <w:sz w:val="28"/>
          <w:szCs w:val="28"/>
          <w:u w:val="single"/>
          <w:shd w:val="clear" w:color="auto" w:fill="FFFFFF"/>
        </w:rPr>
        <w:t>unctionally justiciable</w:t>
      </w:r>
    </w:p>
    <w:p w14:paraId="379AA59B" w14:textId="0474A186" w:rsidR="007D7A7F" w:rsidRDefault="007D7A7F" w:rsidP="007D7A7F">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When the supreme court granted review on June 29, 2022, the pandemic-based eviction moratorium had completely ended 28 days ago. T</w:t>
      </w:r>
      <w:r w:rsidR="00320A89">
        <w:rPr>
          <w:rFonts w:ascii="Times New Roman" w:hAnsi="Times New Roman" w:cs="Times New Roman"/>
          <w:color w:val="222222"/>
          <w:sz w:val="28"/>
          <w:szCs w:val="28"/>
          <w:shd w:val="clear" w:color="auto" w:fill="FFFFFF"/>
        </w:rPr>
        <w:t>herefore,</w:t>
      </w:r>
      <w:r>
        <w:rPr>
          <w:rFonts w:ascii="Times New Roman" w:hAnsi="Times New Roman" w:cs="Times New Roman"/>
          <w:color w:val="222222"/>
          <w:sz w:val="28"/>
          <w:szCs w:val="28"/>
          <w:shd w:val="clear" w:color="auto" w:fill="FFFFFF"/>
        </w:rPr>
        <w:t xml:space="preserve"> it seems odd for the court to invoke the uniqueness of the pandemic as a reason to decide the case was not of statewide significance.</w:t>
      </w:r>
    </w:p>
    <w:p w14:paraId="724A7F56" w14:textId="0C642621" w:rsidR="007D7A7F" w:rsidRDefault="007D7A7F" w:rsidP="007D7A7F">
      <w:pPr>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t xml:space="preserve">Putting aside this internal inconsistency, the Quinn/Smith situation did not arise from the pandemic. Leaseholders inviting in a friend to live with them even though their lease forbids it is not </w:t>
      </w:r>
      <w:r w:rsidR="00320A89">
        <w:rPr>
          <w:rFonts w:ascii="Times New Roman" w:hAnsi="Times New Roman" w:cs="Times New Roman"/>
          <w:color w:val="222222"/>
          <w:sz w:val="28"/>
          <w:szCs w:val="28"/>
          <w:shd w:val="clear" w:color="auto" w:fill="FFFFFF"/>
        </w:rPr>
        <w:t xml:space="preserve">that </w:t>
      </w:r>
      <w:r>
        <w:rPr>
          <w:rFonts w:ascii="Times New Roman" w:hAnsi="Times New Roman" w:cs="Times New Roman"/>
          <w:color w:val="222222"/>
          <w:sz w:val="28"/>
          <w:szCs w:val="28"/>
          <w:shd w:val="clear" w:color="auto" w:fill="FFFFFF"/>
        </w:rPr>
        <w:t>rare</w:t>
      </w:r>
      <w:r w:rsidR="00E05534">
        <w:rPr>
          <w:rFonts w:ascii="Times New Roman" w:hAnsi="Times New Roman" w:cs="Times New Roman"/>
          <w:color w:val="222222"/>
          <w:sz w:val="28"/>
          <w:szCs w:val="28"/>
          <w:shd w:val="clear" w:color="auto" w:fill="FFFFFF"/>
        </w:rPr>
        <w:t xml:space="preserve"> an </w:t>
      </w:r>
      <w:r w:rsidR="00E62BA9">
        <w:rPr>
          <w:rFonts w:ascii="Times New Roman" w:hAnsi="Times New Roman" w:cs="Times New Roman"/>
          <w:color w:val="222222"/>
          <w:sz w:val="28"/>
          <w:szCs w:val="28"/>
          <w:shd w:val="clear" w:color="auto" w:fill="FFFFFF"/>
        </w:rPr>
        <w:t>occurrence</w:t>
      </w:r>
      <w:r>
        <w:rPr>
          <w:rFonts w:ascii="Times New Roman" w:hAnsi="Times New Roman" w:cs="Times New Roman"/>
          <w:color w:val="222222"/>
          <w:sz w:val="28"/>
          <w:szCs w:val="28"/>
          <w:shd w:val="clear" w:color="auto" w:fill="FFFFFF"/>
        </w:rPr>
        <w:t xml:space="preserve">. Sometimes this is because the leaseholder and invitee are lovers or spouses. Other times the leaseholder is a college student or group of students. As semesters pass, it is pretty common for one student to replace another without a change in the lease and eventually for the </w:t>
      </w:r>
      <w:r w:rsidR="00EA2476">
        <w:rPr>
          <w:rFonts w:ascii="Times New Roman" w:hAnsi="Times New Roman" w:cs="Times New Roman"/>
          <w:color w:val="222222"/>
          <w:sz w:val="28"/>
          <w:szCs w:val="28"/>
          <w:shd w:val="clear" w:color="auto" w:fill="FFFFFF"/>
        </w:rPr>
        <w:t>final occupants to be completely new occupants.</w:t>
      </w:r>
      <w:r w:rsidR="009837D4">
        <w:rPr>
          <w:rFonts w:ascii="Times New Roman" w:hAnsi="Times New Roman" w:cs="Times New Roman"/>
          <w:color w:val="222222"/>
          <w:sz w:val="28"/>
          <w:szCs w:val="28"/>
          <w:shd w:val="clear" w:color="auto" w:fill="FFFFFF"/>
        </w:rPr>
        <w:t xml:space="preserve"> Pandemic or no pandemic, landlords will face the holdover-invitee on a regular basis – not in a high percentage of tenancies but given the hundreds of thousands of tenancies in the state this situation will, in absolute numbers, not be that rare.</w:t>
      </w:r>
      <w:r w:rsidR="00214C1E">
        <w:rPr>
          <w:rStyle w:val="FootnoteReference"/>
          <w:rFonts w:ascii="Times New Roman" w:hAnsi="Times New Roman" w:cs="Times New Roman"/>
          <w:color w:val="222222"/>
          <w:sz w:val="28"/>
          <w:szCs w:val="28"/>
          <w:shd w:val="clear" w:color="auto" w:fill="FFFFFF"/>
        </w:rPr>
        <w:footnoteReference w:id="24"/>
      </w:r>
    </w:p>
    <w:p w14:paraId="397A76B6" w14:textId="1E57A7DF" w:rsidR="009837D4" w:rsidRDefault="009837D4" w:rsidP="007D7A7F">
      <w:pPr>
        <w:rPr>
          <w:rFonts w:ascii="Times New Roman" w:hAnsi="Times New Roman" w:cs="Times New Roman"/>
          <w:sz w:val="28"/>
          <w:szCs w:val="28"/>
        </w:rPr>
      </w:pPr>
      <w:r w:rsidRPr="00115EC9">
        <w:rPr>
          <w:rFonts w:ascii="Times New Roman" w:hAnsi="Times New Roman" w:cs="Times New Roman"/>
          <w:color w:val="222222"/>
          <w:sz w:val="28"/>
          <w:szCs w:val="28"/>
          <w:shd w:val="clear" w:color="auto" w:fill="FFFFFF"/>
        </w:rPr>
        <w:t xml:space="preserve">In accord with this conclusion is that both </w:t>
      </w:r>
      <w:r w:rsidR="00320A89">
        <w:rPr>
          <w:rFonts w:ascii="Times New Roman" w:hAnsi="Times New Roman" w:cs="Times New Roman"/>
          <w:color w:val="222222"/>
          <w:sz w:val="28"/>
          <w:szCs w:val="28"/>
          <w:shd w:val="clear" w:color="auto" w:fill="FFFFFF"/>
        </w:rPr>
        <w:t xml:space="preserve">pro-Quinn </w:t>
      </w:r>
      <w:r w:rsidRPr="00115EC9">
        <w:rPr>
          <w:rFonts w:ascii="Times New Roman" w:hAnsi="Times New Roman" w:cs="Times New Roman"/>
          <w:color w:val="222222"/>
          <w:sz w:val="28"/>
          <w:szCs w:val="28"/>
          <w:shd w:val="clear" w:color="auto" w:fill="FFFFFF"/>
        </w:rPr>
        <w:t>amici claimed the issue was of statewide significance. HOME Line and Housing Justice Center wrote, “</w:t>
      </w:r>
      <w:r w:rsidRPr="00115EC9">
        <w:rPr>
          <w:rFonts w:ascii="Times New Roman" w:hAnsi="Times New Roman" w:cs="Times New Roman"/>
          <w:sz w:val="28"/>
          <w:szCs w:val="28"/>
        </w:rPr>
        <w:t xml:space="preserve">Narrowing the definition of residential tenant to exclude those whose occupancy in their own homes is somehow deemed “irregular” will categorically exclude a significant number of people who deserve, and currently receive, legal protection offered under the language, structure, and purpose of Chapter 504B.” </w:t>
      </w:r>
      <w:hyperlink r:id="rId40" w:history="1">
        <w:r w:rsidRPr="00115EC9">
          <w:rPr>
            <w:rStyle w:val="Hyperlink"/>
            <w:rFonts w:ascii="Times New Roman" w:hAnsi="Times New Roman" w:cs="Times New Roman"/>
            <w:sz w:val="28"/>
            <w:szCs w:val="28"/>
          </w:rPr>
          <w:t>HOME Line/HJ</w:t>
        </w:r>
        <w:r w:rsidR="00320A89">
          <w:rPr>
            <w:rStyle w:val="Hyperlink"/>
            <w:rFonts w:ascii="Times New Roman" w:hAnsi="Times New Roman" w:cs="Times New Roman"/>
            <w:sz w:val="28"/>
            <w:szCs w:val="28"/>
          </w:rPr>
          <w:t>C</w:t>
        </w:r>
        <w:r w:rsidRPr="00115EC9">
          <w:rPr>
            <w:rStyle w:val="Hyperlink"/>
            <w:rFonts w:ascii="Times New Roman" w:hAnsi="Times New Roman" w:cs="Times New Roman"/>
            <w:sz w:val="28"/>
            <w:szCs w:val="28"/>
          </w:rPr>
          <w:t>’s Amicus Brief, September 2, 2022 at 16</w:t>
        </w:r>
      </w:hyperlink>
      <w:r w:rsidRPr="00115EC9">
        <w:rPr>
          <w:rFonts w:ascii="Times New Roman" w:hAnsi="Times New Roman" w:cs="Times New Roman"/>
          <w:sz w:val="28"/>
          <w:szCs w:val="28"/>
        </w:rPr>
        <w:t xml:space="preserve">. Standpoint and </w:t>
      </w:r>
      <w:r w:rsidR="00115EC9">
        <w:rPr>
          <w:rFonts w:ascii="Times New Roman" w:hAnsi="Times New Roman" w:cs="Times New Roman"/>
          <w:sz w:val="28"/>
          <w:szCs w:val="28"/>
        </w:rPr>
        <w:t>Violence Free Minnesota</w:t>
      </w:r>
      <w:r w:rsidRPr="00115EC9">
        <w:rPr>
          <w:rFonts w:ascii="Times New Roman" w:hAnsi="Times New Roman" w:cs="Times New Roman"/>
          <w:sz w:val="28"/>
          <w:szCs w:val="28"/>
        </w:rPr>
        <w:t xml:space="preserve"> wrote, “Resolution of the question presented in this case will have a statewide impact on people who reside at a property without a formal lease agreement and a statewide impact on their available legal protections and recourse </w:t>
      </w:r>
      <w:r w:rsidRPr="00115EC9">
        <w:rPr>
          <w:rFonts w:ascii="Times New Roman" w:hAnsi="Times New Roman" w:cs="Times New Roman"/>
          <w:sz w:val="28"/>
          <w:szCs w:val="28"/>
        </w:rPr>
        <w:lastRenderedPageBreak/>
        <w:t xml:space="preserve">when issues over their housing arise.” </w:t>
      </w:r>
      <w:hyperlink r:id="rId41" w:history="1">
        <w:r w:rsidRPr="00115EC9">
          <w:rPr>
            <w:rStyle w:val="Hyperlink"/>
            <w:rFonts w:ascii="Times New Roman" w:hAnsi="Times New Roman" w:cs="Times New Roman"/>
            <w:sz w:val="28"/>
            <w:szCs w:val="28"/>
          </w:rPr>
          <w:t>Standpoint</w:t>
        </w:r>
        <w:r w:rsidR="00115EC9" w:rsidRPr="00115EC9">
          <w:rPr>
            <w:rStyle w:val="Hyperlink"/>
            <w:rFonts w:ascii="Times New Roman" w:hAnsi="Times New Roman" w:cs="Times New Roman"/>
            <w:sz w:val="28"/>
            <w:szCs w:val="28"/>
          </w:rPr>
          <w:t>/Violence Free Minnesota’s Request for Leave to Appear as Amici Curiae at 2</w:t>
        </w:r>
      </w:hyperlink>
      <w:r w:rsidR="00115EC9" w:rsidRPr="00115EC9">
        <w:rPr>
          <w:rFonts w:ascii="Times New Roman" w:hAnsi="Times New Roman" w:cs="Times New Roman"/>
          <w:sz w:val="28"/>
          <w:szCs w:val="28"/>
        </w:rPr>
        <w:t>.</w:t>
      </w:r>
    </w:p>
    <w:p w14:paraId="2B5413AE" w14:textId="5FAB4B5C" w:rsidR="00115EC9" w:rsidRDefault="00115EC9" w:rsidP="007D7A7F">
      <w:pPr>
        <w:rPr>
          <w:rFonts w:ascii="Times New Roman" w:hAnsi="Times New Roman" w:cs="Times New Roman"/>
          <w:sz w:val="28"/>
          <w:szCs w:val="28"/>
        </w:rPr>
      </w:pPr>
      <w:r>
        <w:rPr>
          <w:rFonts w:ascii="Times New Roman" w:hAnsi="Times New Roman" w:cs="Times New Roman"/>
          <w:sz w:val="28"/>
          <w:szCs w:val="28"/>
        </w:rPr>
        <w:t>Therefore, while I think that the Court of Appeals’ decision was correct and that the Supreme Court could well have approved it by</w:t>
      </w:r>
      <w:r w:rsidR="00214C1E">
        <w:rPr>
          <w:rFonts w:ascii="Times New Roman" w:hAnsi="Times New Roman" w:cs="Times New Roman"/>
          <w:sz w:val="28"/>
          <w:szCs w:val="28"/>
        </w:rPr>
        <w:t xml:space="preserve"> </w:t>
      </w:r>
      <w:r w:rsidR="007653D6">
        <w:rPr>
          <w:rFonts w:ascii="Times New Roman" w:hAnsi="Times New Roman" w:cs="Times New Roman"/>
          <w:sz w:val="28"/>
          <w:szCs w:val="28"/>
        </w:rPr>
        <w:t>simply</w:t>
      </w:r>
      <w:r>
        <w:rPr>
          <w:rFonts w:ascii="Times New Roman" w:hAnsi="Times New Roman" w:cs="Times New Roman"/>
          <w:sz w:val="28"/>
          <w:szCs w:val="28"/>
        </w:rPr>
        <w:t xml:space="preserve"> denying review, it seems odd </w:t>
      </w:r>
      <w:r w:rsidR="00214C1E">
        <w:rPr>
          <w:rFonts w:ascii="Times New Roman" w:hAnsi="Times New Roman" w:cs="Times New Roman"/>
          <w:sz w:val="28"/>
          <w:szCs w:val="28"/>
        </w:rPr>
        <w:t>that</w:t>
      </w:r>
      <w:r>
        <w:rPr>
          <w:rFonts w:ascii="Times New Roman" w:hAnsi="Times New Roman" w:cs="Times New Roman"/>
          <w:sz w:val="28"/>
          <w:szCs w:val="28"/>
        </w:rPr>
        <w:t xml:space="preserve"> at the end</w:t>
      </w:r>
      <w:r w:rsidR="00214C1E">
        <w:rPr>
          <w:rFonts w:ascii="Times New Roman" w:hAnsi="Times New Roman" w:cs="Times New Roman"/>
          <w:sz w:val="28"/>
          <w:szCs w:val="28"/>
        </w:rPr>
        <w:t xml:space="preserve"> it</w:t>
      </w:r>
      <w:r>
        <w:rPr>
          <w:rFonts w:ascii="Times New Roman" w:hAnsi="Times New Roman" w:cs="Times New Roman"/>
          <w:sz w:val="28"/>
          <w:szCs w:val="28"/>
        </w:rPr>
        <w:t xml:space="preserve"> decid</w:t>
      </w:r>
      <w:r w:rsidR="00214C1E">
        <w:rPr>
          <w:rFonts w:ascii="Times New Roman" w:hAnsi="Times New Roman" w:cs="Times New Roman"/>
          <w:sz w:val="28"/>
          <w:szCs w:val="28"/>
        </w:rPr>
        <w:t>ed</w:t>
      </w:r>
      <w:r>
        <w:rPr>
          <w:rFonts w:ascii="Times New Roman" w:hAnsi="Times New Roman" w:cs="Times New Roman"/>
          <w:sz w:val="28"/>
          <w:szCs w:val="28"/>
        </w:rPr>
        <w:t xml:space="preserve"> the case was not of statewide significance.</w:t>
      </w:r>
    </w:p>
    <w:p w14:paraId="7EB5021F" w14:textId="4C4AFFB5" w:rsidR="00690DEB" w:rsidRDefault="00320A89" w:rsidP="00690DEB">
      <w:pPr>
        <w:ind w:firstLine="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 xml:space="preserve">[ii] </w:t>
      </w:r>
      <w:r w:rsidR="005F608D">
        <w:rPr>
          <w:rFonts w:ascii="Times New Roman" w:hAnsi="Times New Roman" w:cs="Times New Roman"/>
          <w:color w:val="222222"/>
          <w:sz w:val="28"/>
          <w:szCs w:val="28"/>
          <w:u w:val="single"/>
          <w:shd w:val="clear" w:color="auto" w:fill="FFFFFF"/>
        </w:rPr>
        <w:t xml:space="preserve">The </w:t>
      </w:r>
      <w:r>
        <w:rPr>
          <w:rFonts w:ascii="Times New Roman" w:hAnsi="Times New Roman" w:cs="Times New Roman"/>
          <w:color w:val="222222"/>
          <w:sz w:val="28"/>
          <w:szCs w:val="28"/>
          <w:u w:val="single"/>
          <w:shd w:val="clear" w:color="auto" w:fill="FFFFFF"/>
        </w:rPr>
        <w:t>dispute</w:t>
      </w:r>
      <w:r w:rsidR="005F608D">
        <w:rPr>
          <w:rFonts w:ascii="Times New Roman" w:hAnsi="Times New Roman" w:cs="Times New Roman"/>
          <w:color w:val="222222"/>
          <w:sz w:val="28"/>
          <w:szCs w:val="28"/>
          <w:u w:val="single"/>
          <w:shd w:val="clear" w:color="auto" w:fill="FFFFFF"/>
        </w:rPr>
        <w:t xml:space="preserve"> </w:t>
      </w:r>
      <w:r>
        <w:rPr>
          <w:rFonts w:ascii="Times New Roman" w:hAnsi="Times New Roman" w:cs="Times New Roman"/>
          <w:color w:val="222222"/>
          <w:sz w:val="28"/>
          <w:szCs w:val="28"/>
          <w:u w:val="single"/>
          <w:shd w:val="clear" w:color="auto" w:fill="FFFFFF"/>
        </w:rPr>
        <w:t>between LMC and Quinn is</w:t>
      </w:r>
      <w:r w:rsidR="005F608D">
        <w:rPr>
          <w:rFonts w:ascii="Times New Roman" w:hAnsi="Times New Roman" w:cs="Times New Roman"/>
          <w:color w:val="222222"/>
          <w:sz w:val="28"/>
          <w:szCs w:val="28"/>
          <w:u w:val="single"/>
          <w:shd w:val="clear" w:color="auto" w:fill="FFFFFF"/>
        </w:rPr>
        <w:t xml:space="preserve"> highly unlikely to repeat</w:t>
      </w:r>
    </w:p>
    <w:p w14:paraId="65E7FBB4" w14:textId="5A6FD2C3" w:rsidR="007D7A7F" w:rsidRDefault="00690DEB" w:rsidP="0009721F">
      <w:pPr>
        <w:rPr>
          <w:rFonts w:ascii="Times New Roman" w:hAnsi="Times New Roman" w:cs="Times New Roman"/>
          <w:sz w:val="28"/>
          <w:szCs w:val="28"/>
          <w:shd w:val="clear" w:color="auto" w:fill="FFFFFF"/>
        </w:rPr>
      </w:pPr>
      <w:r w:rsidRPr="006773E1">
        <w:rPr>
          <w:rFonts w:ascii="Times New Roman" w:hAnsi="Times New Roman" w:cs="Times New Roman"/>
          <w:sz w:val="28"/>
          <w:szCs w:val="28"/>
          <w:shd w:val="clear" w:color="auto" w:fill="FFFFFF"/>
        </w:rPr>
        <w:t xml:space="preserve">The supreme court dismissed </w:t>
      </w:r>
      <w:r w:rsidR="00320A89">
        <w:rPr>
          <w:rFonts w:ascii="Times New Roman" w:hAnsi="Times New Roman" w:cs="Times New Roman"/>
          <w:sz w:val="28"/>
          <w:szCs w:val="28"/>
          <w:shd w:val="clear" w:color="auto" w:fill="FFFFFF"/>
        </w:rPr>
        <w:t>LMC’s second</w:t>
      </w:r>
      <w:r w:rsidRPr="006773E1">
        <w:rPr>
          <w:rFonts w:ascii="Times New Roman" w:hAnsi="Times New Roman" w:cs="Times New Roman"/>
          <w:sz w:val="28"/>
          <w:szCs w:val="28"/>
          <w:shd w:val="clear" w:color="auto" w:fill="FFFFFF"/>
        </w:rPr>
        <w:t xml:space="preserve"> argument on the basis that LMC is unlikely to encounter the same problem with Ms. Quinn ever again.</w:t>
      </w:r>
      <w:r w:rsidR="006773E1" w:rsidRPr="006773E1">
        <w:rPr>
          <w:rFonts w:ascii="Times New Roman" w:hAnsi="Times New Roman" w:cs="Times New Roman"/>
          <w:sz w:val="28"/>
          <w:szCs w:val="28"/>
          <w:shd w:val="clear" w:color="auto" w:fill="FFFFFF"/>
        </w:rPr>
        <w:t xml:space="preserve"> </w:t>
      </w:r>
      <w:hyperlink r:id="rId42" w:history="1">
        <w:r w:rsidR="006773E1" w:rsidRPr="006773E1">
          <w:rPr>
            <w:rStyle w:val="Hyperlink"/>
            <w:rFonts w:ascii="Times New Roman" w:hAnsi="Times New Roman" w:cs="Times New Roman"/>
            <w:i/>
            <w:iCs/>
            <w:sz w:val="28"/>
            <w:szCs w:val="28"/>
            <w:shd w:val="clear" w:color="auto" w:fill="FFFFFF"/>
          </w:rPr>
          <w:t xml:space="preserve">Quinn.  </w:t>
        </w:r>
        <w:r w:rsidR="006773E1" w:rsidRPr="006773E1">
          <w:rPr>
            <w:rStyle w:val="Hyperlink"/>
            <w:rFonts w:ascii="Times New Roman" w:hAnsi="Times New Roman" w:cs="Times New Roman"/>
            <w:sz w:val="28"/>
            <w:szCs w:val="28"/>
            <w:shd w:val="clear" w:color="auto" w:fill="FFFFFF"/>
          </w:rPr>
          <w:t>Order to Dismiss at 6</w:t>
        </w:r>
      </w:hyperlink>
      <w:r w:rsidR="006773E1" w:rsidRPr="006773E1">
        <w:rPr>
          <w:rFonts w:ascii="Times New Roman" w:hAnsi="Times New Roman" w:cs="Times New Roman"/>
          <w:color w:val="222222"/>
          <w:sz w:val="28"/>
          <w:szCs w:val="28"/>
          <w:shd w:val="clear" w:color="auto" w:fill="FFFFFF"/>
        </w:rPr>
        <w:t xml:space="preserve">, citing </w:t>
      </w:r>
      <w:r w:rsidR="006773E1" w:rsidRPr="006773E1">
        <w:rPr>
          <w:rFonts w:ascii="Times New Roman" w:hAnsi="Times New Roman" w:cs="Times New Roman"/>
          <w:i/>
          <w:iCs/>
          <w:sz w:val="28"/>
          <w:szCs w:val="28"/>
        </w:rPr>
        <w:t>Snell v. Walz</w:t>
      </w:r>
      <w:r w:rsidR="006773E1" w:rsidRPr="006773E1">
        <w:rPr>
          <w:rFonts w:ascii="Times New Roman" w:hAnsi="Times New Roman" w:cs="Times New Roman"/>
          <w:sz w:val="28"/>
          <w:szCs w:val="28"/>
        </w:rPr>
        <w:t>, __ N.W.2d __, 2023 WL 1807743, at *7 (Minn. Feb. 8, 2023).</w:t>
      </w:r>
      <w:r w:rsidR="006773E1">
        <w:rPr>
          <w:rStyle w:val="FootnoteReference"/>
          <w:rFonts w:ascii="Times New Roman" w:hAnsi="Times New Roman" w:cs="Times New Roman"/>
          <w:sz w:val="28"/>
          <w:szCs w:val="28"/>
        </w:rPr>
        <w:footnoteReference w:id="25"/>
      </w:r>
      <w:r w:rsidR="006773E1">
        <w:rPr>
          <w:rFonts w:ascii="Times New Roman" w:hAnsi="Times New Roman" w:cs="Times New Roman"/>
          <w:sz w:val="28"/>
          <w:szCs w:val="28"/>
        </w:rPr>
        <w:t xml:space="preserve"> </w:t>
      </w:r>
      <w:r>
        <w:rPr>
          <w:rFonts w:ascii="Times New Roman" w:hAnsi="Times New Roman" w:cs="Times New Roman"/>
          <w:sz w:val="28"/>
          <w:szCs w:val="28"/>
          <w:shd w:val="clear" w:color="auto" w:fill="FFFFFF"/>
        </w:rPr>
        <w:t>Factually, that seems right.</w:t>
      </w:r>
      <w:r w:rsidR="006773E1">
        <w:rPr>
          <w:rFonts w:ascii="Times New Roman" w:hAnsi="Times New Roman" w:cs="Times New Roman"/>
          <w:sz w:val="28"/>
          <w:szCs w:val="28"/>
          <w:shd w:val="clear" w:color="auto" w:fill="FFFFFF"/>
        </w:rPr>
        <w:t xml:space="preserve"> The chance that Ms. Quinn herself will ever again live in one of LMC’s apartments is very slim.</w:t>
      </w:r>
    </w:p>
    <w:p w14:paraId="751E5A6C" w14:textId="17AC443F" w:rsidR="005F7A04" w:rsidRDefault="00320A89" w:rsidP="00320A89">
      <w:pPr>
        <w:ind w:left="720"/>
        <w:rPr>
          <w:rFonts w:ascii="Times New Roman" w:hAnsi="Times New Roman" w:cs="Times New Roman"/>
          <w:color w:val="222222"/>
          <w:sz w:val="28"/>
          <w:szCs w:val="28"/>
          <w:u w:val="single"/>
          <w:shd w:val="clear" w:color="auto" w:fill="FFFFFF"/>
        </w:rPr>
      </w:pPr>
      <w:r>
        <w:rPr>
          <w:rFonts w:ascii="Times New Roman" w:hAnsi="Times New Roman" w:cs="Times New Roman"/>
          <w:color w:val="222222"/>
          <w:sz w:val="28"/>
          <w:szCs w:val="28"/>
          <w:u w:val="single"/>
          <w:shd w:val="clear" w:color="auto" w:fill="FFFFFF"/>
        </w:rPr>
        <w:t>[iii] LMC’s c</w:t>
      </w:r>
      <w:r w:rsidR="005F7A04">
        <w:rPr>
          <w:rFonts w:ascii="Times New Roman" w:hAnsi="Times New Roman" w:cs="Times New Roman"/>
          <w:color w:val="222222"/>
          <w:sz w:val="28"/>
          <w:szCs w:val="28"/>
          <w:u w:val="single"/>
          <w:shd w:val="clear" w:color="auto" w:fill="FFFFFF"/>
        </w:rPr>
        <w:t>ollateral</w:t>
      </w:r>
      <w:r>
        <w:rPr>
          <w:rFonts w:ascii="Times New Roman" w:hAnsi="Times New Roman" w:cs="Times New Roman"/>
          <w:color w:val="222222"/>
          <w:sz w:val="28"/>
          <w:szCs w:val="28"/>
          <w:u w:val="single"/>
          <w:shd w:val="clear" w:color="auto" w:fill="FFFFFF"/>
        </w:rPr>
        <w:t>-</w:t>
      </w:r>
      <w:r w:rsidR="005F7A04">
        <w:rPr>
          <w:rFonts w:ascii="Times New Roman" w:hAnsi="Times New Roman" w:cs="Times New Roman"/>
          <w:color w:val="222222"/>
          <w:sz w:val="28"/>
          <w:szCs w:val="28"/>
          <w:u w:val="single"/>
          <w:shd w:val="clear" w:color="auto" w:fill="FFFFFF"/>
        </w:rPr>
        <w:t>consequence</w:t>
      </w:r>
      <w:r>
        <w:rPr>
          <w:rFonts w:ascii="Times New Roman" w:hAnsi="Times New Roman" w:cs="Times New Roman"/>
          <w:color w:val="222222"/>
          <w:sz w:val="28"/>
          <w:szCs w:val="28"/>
          <w:u w:val="single"/>
          <w:shd w:val="clear" w:color="auto" w:fill="FFFFFF"/>
        </w:rPr>
        <w:t>s argument seems weak but LMC seemingly missed a direct-consequences argument</w:t>
      </w:r>
    </w:p>
    <w:p w14:paraId="59ED067A" w14:textId="1F1D5994" w:rsidR="005F7A04" w:rsidRDefault="005F7A04"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It seems a bit unfair to </w:t>
      </w:r>
      <w:r w:rsidR="0023160A">
        <w:rPr>
          <w:rFonts w:ascii="Times New Roman" w:hAnsi="Times New Roman" w:cs="Times New Roman"/>
          <w:sz w:val="28"/>
          <w:szCs w:val="28"/>
          <w:shd w:val="clear" w:color="auto" w:fill="FFFFFF"/>
        </w:rPr>
        <w:t>categorically reject the use of this doctrine merely because a case is civil rather than criminal. This particular case aside, there certainly are civil cases with very serious collateral consequences.</w:t>
      </w:r>
    </w:p>
    <w:p w14:paraId="44025317" w14:textId="4808337D" w:rsidR="0023160A" w:rsidRDefault="0023160A"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That said, I don’t think LMC actually established any collateral consequence. </w:t>
      </w:r>
      <w:r w:rsidR="008C1898">
        <w:rPr>
          <w:rFonts w:ascii="Times New Roman" w:hAnsi="Times New Roman" w:cs="Times New Roman"/>
          <w:sz w:val="28"/>
          <w:szCs w:val="28"/>
          <w:shd w:val="clear" w:color="auto" w:fill="FFFFFF"/>
        </w:rPr>
        <w:t>All that Ms. Quinn won was the right not to be locked out. There was no decision whether she was a “trespasser”</w:t>
      </w:r>
      <w:r w:rsidR="001C62B5">
        <w:rPr>
          <w:rFonts w:ascii="Times New Roman" w:hAnsi="Times New Roman" w:cs="Times New Roman"/>
          <w:sz w:val="28"/>
          <w:szCs w:val="28"/>
          <w:shd w:val="clear" w:color="auto" w:fill="FFFFFF"/>
        </w:rPr>
        <w:t xml:space="preserve"> or</w:t>
      </w:r>
      <w:r w:rsidR="008C1898">
        <w:rPr>
          <w:rFonts w:ascii="Times New Roman" w:hAnsi="Times New Roman" w:cs="Times New Roman"/>
          <w:sz w:val="28"/>
          <w:szCs w:val="28"/>
          <w:shd w:val="clear" w:color="auto" w:fill="FFFFFF"/>
        </w:rPr>
        <w:t xml:space="preserve"> a “tenant</w:t>
      </w:r>
      <w:r w:rsidR="001C62B5">
        <w:rPr>
          <w:rFonts w:ascii="Times New Roman" w:hAnsi="Times New Roman" w:cs="Times New Roman"/>
          <w:sz w:val="28"/>
          <w:szCs w:val="28"/>
          <w:shd w:val="clear" w:color="auto" w:fill="FFFFFF"/>
        </w:rPr>
        <w:t>”</w:t>
      </w:r>
      <w:r w:rsidR="008C1898">
        <w:rPr>
          <w:rFonts w:ascii="Times New Roman" w:hAnsi="Times New Roman" w:cs="Times New Roman"/>
          <w:sz w:val="28"/>
          <w:szCs w:val="28"/>
          <w:shd w:val="clear" w:color="auto" w:fill="FFFFFF"/>
        </w:rPr>
        <w:t>. The courts simply concluded that she was an “other regular occupant” and that LMC needed a court order to remove her.</w:t>
      </w:r>
    </w:p>
    <w:p w14:paraId="0FC80789" w14:textId="7FEBD77C" w:rsidR="008C1898" w:rsidRDefault="008C1898"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Furthermore, there was no contract between LMC and Quinn. LMC argued that vociferously and Ms. Quinn never claimed she had such a contract. Both were correct. Therefore, she never owed rent since rent is payment under a lease</w:t>
      </w:r>
      <w:r w:rsidR="001D505C">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 xml:space="preserve">contract. When she held over past April 7, 2021 and did not pay LMC, certainly LMC was harmed. However, regardless her title – “trespasser”, “tenant”, “other regular occupant”, </w:t>
      </w:r>
      <w:r w:rsidR="00320A89">
        <w:rPr>
          <w:rFonts w:ascii="Times New Roman" w:hAnsi="Times New Roman" w:cs="Times New Roman"/>
          <w:sz w:val="28"/>
          <w:szCs w:val="28"/>
          <w:shd w:val="clear" w:color="auto" w:fill="FFFFFF"/>
        </w:rPr>
        <w:t xml:space="preserve">or </w:t>
      </w:r>
      <w:r w:rsidR="00E05534">
        <w:rPr>
          <w:rFonts w:ascii="Times New Roman" w:hAnsi="Times New Roman" w:cs="Times New Roman"/>
          <w:sz w:val="28"/>
          <w:szCs w:val="28"/>
          <w:shd w:val="clear" w:color="auto" w:fill="FFFFFF"/>
        </w:rPr>
        <w:t>something else</w:t>
      </w:r>
      <w:r>
        <w:rPr>
          <w:rFonts w:ascii="Times New Roman" w:hAnsi="Times New Roman" w:cs="Times New Roman"/>
          <w:sz w:val="28"/>
          <w:szCs w:val="28"/>
          <w:shd w:val="clear" w:color="auto" w:fill="FFFFFF"/>
        </w:rPr>
        <w:t xml:space="preserve"> – LMC’s harm was the forgone rent it might have collected from a new tenant </w:t>
      </w:r>
      <w:r w:rsidR="001C62B5">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any damage Ms. Quinn did to the unit </w:t>
      </w:r>
      <w:r w:rsidR="001C62B5">
        <w:rPr>
          <w:rFonts w:ascii="Times New Roman" w:hAnsi="Times New Roman" w:cs="Times New Roman"/>
          <w:sz w:val="28"/>
          <w:szCs w:val="28"/>
          <w:shd w:val="clear" w:color="auto" w:fill="FFFFFF"/>
        </w:rPr>
        <w:t>+</w:t>
      </w:r>
      <w:r>
        <w:rPr>
          <w:rFonts w:ascii="Times New Roman" w:hAnsi="Times New Roman" w:cs="Times New Roman"/>
          <w:sz w:val="28"/>
          <w:szCs w:val="28"/>
          <w:shd w:val="clear" w:color="auto" w:fill="FFFFFF"/>
        </w:rPr>
        <w:t xml:space="preserve"> its court costs in removing her. This would not change if the supreme court reversed the district court.</w:t>
      </w:r>
    </w:p>
    <w:p w14:paraId="06DD7FE7" w14:textId="1C0A7225" w:rsidR="001A2DFC" w:rsidRDefault="001A2DFC"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 xml:space="preserve">Interestingly, I think LMC </w:t>
      </w:r>
      <w:r w:rsidR="000724A6">
        <w:rPr>
          <w:rFonts w:ascii="Times New Roman" w:hAnsi="Times New Roman" w:cs="Times New Roman"/>
          <w:sz w:val="28"/>
          <w:szCs w:val="28"/>
          <w:shd w:val="clear" w:color="auto" w:fill="FFFFFF"/>
        </w:rPr>
        <w:t>failed to</w:t>
      </w:r>
      <w:r>
        <w:rPr>
          <w:rFonts w:ascii="Times New Roman" w:hAnsi="Times New Roman" w:cs="Times New Roman"/>
          <w:sz w:val="28"/>
          <w:szCs w:val="28"/>
          <w:shd w:val="clear" w:color="auto" w:fill="FFFFFF"/>
        </w:rPr>
        <w:t xml:space="preserve"> allege a</w:t>
      </w:r>
      <w:r w:rsidR="000724A6">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 xml:space="preserve">direct </w:t>
      </w:r>
      <w:r w:rsidR="000724A6">
        <w:rPr>
          <w:rFonts w:ascii="Times New Roman" w:hAnsi="Times New Roman" w:cs="Times New Roman"/>
          <w:sz w:val="28"/>
          <w:szCs w:val="28"/>
          <w:shd w:val="clear" w:color="auto" w:fill="FFFFFF"/>
        </w:rPr>
        <w:t xml:space="preserve">(actual) </w:t>
      </w:r>
      <w:r>
        <w:rPr>
          <w:rFonts w:ascii="Times New Roman" w:hAnsi="Times New Roman" w:cs="Times New Roman"/>
          <w:sz w:val="28"/>
          <w:szCs w:val="28"/>
          <w:shd w:val="clear" w:color="auto" w:fill="FFFFFF"/>
        </w:rPr>
        <w:t xml:space="preserve">consequence of losing the district court case. Had it won, it would have had claim </w:t>
      </w:r>
      <w:r w:rsidR="00EE7281">
        <w:rPr>
          <w:rFonts w:ascii="Times New Roman" w:hAnsi="Times New Roman" w:cs="Times New Roman"/>
          <w:sz w:val="28"/>
          <w:szCs w:val="28"/>
          <w:shd w:val="clear" w:color="auto" w:fill="FFFFFF"/>
        </w:rPr>
        <w:t xml:space="preserve">for $205.50 for costs under </w:t>
      </w:r>
      <w:hyperlink r:id="rId43" w:history="1">
        <w:r w:rsidR="00EE7281" w:rsidRPr="00EE7281">
          <w:rPr>
            <w:rStyle w:val="Hyperlink"/>
            <w:rFonts w:ascii="Times New Roman" w:hAnsi="Times New Roman" w:cs="Times New Roman"/>
            <w:sz w:val="28"/>
            <w:szCs w:val="28"/>
            <w:shd w:val="clear" w:color="auto" w:fill="FFFFFF"/>
          </w:rPr>
          <w:t>Minn. Stat. §549.02</w:t>
        </w:r>
      </w:hyperlink>
      <w:r w:rsidR="00EE7281">
        <w:rPr>
          <w:rFonts w:ascii="Times New Roman" w:hAnsi="Times New Roman" w:cs="Times New Roman"/>
          <w:sz w:val="28"/>
          <w:szCs w:val="28"/>
          <w:shd w:val="clear" w:color="auto" w:fill="FFFFFF"/>
        </w:rPr>
        <w:t xml:space="preserve"> for winning the case on the merits</w:t>
      </w:r>
      <w:r w:rsidR="00FB3339">
        <w:rPr>
          <w:rFonts w:ascii="Times New Roman" w:hAnsi="Times New Roman" w:cs="Times New Roman"/>
          <w:sz w:val="28"/>
          <w:szCs w:val="28"/>
          <w:shd w:val="clear" w:color="auto" w:fill="FFFFFF"/>
        </w:rPr>
        <w:t xml:space="preserve"> </w:t>
      </w:r>
      <w:r w:rsidR="00E05534">
        <w:rPr>
          <w:rFonts w:ascii="Times New Roman" w:hAnsi="Times New Roman" w:cs="Times New Roman"/>
          <w:sz w:val="28"/>
          <w:szCs w:val="28"/>
          <w:shd w:val="clear" w:color="auto" w:fill="FFFFFF"/>
        </w:rPr>
        <w:t>plus</w:t>
      </w:r>
      <w:r w:rsidR="00FB3339">
        <w:rPr>
          <w:rFonts w:ascii="Times New Roman" w:hAnsi="Times New Roman" w:cs="Times New Roman"/>
          <w:sz w:val="28"/>
          <w:szCs w:val="28"/>
          <w:shd w:val="clear" w:color="auto" w:fill="FFFFFF"/>
        </w:rPr>
        <w:t xml:space="preserve"> a claim for its filing fee of $297 under </w:t>
      </w:r>
      <w:hyperlink r:id="rId44" w:history="1">
        <w:r w:rsidR="00FB3339" w:rsidRPr="00FB3339">
          <w:rPr>
            <w:rStyle w:val="Hyperlink"/>
            <w:rFonts w:ascii="Times New Roman" w:hAnsi="Times New Roman" w:cs="Times New Roman"/>
            <w:sz w:val="28"/>
            <w:szCs w:val="28"/>
            <w:shd w:val="clear" w:color="auto" w:fill="FFFFFF"/>
          </w:rPr>
          <w:t>Minn. Stat. §549.04</w:t>
        </w:r>
      </w:hyperlink>
      <w:r w:rsidR="00FB3339">
        <w:rPr>
          <w:rFonts w:ascii="Times New Roman" w:hAnsi="Times New Roman" w:cs="Times New Roman"/>
          <w:sz w:val="28"/>
          <w:szCs w:val="28"/>
          <w:shd w:val="clear" w:color="auto" w:fill="FFFFFF"/>
        </w:rPr>
        <w:t xml:space="preserve"> as the prevailing party.</w:t>
      </w:r>
      <w:r w:rsidR="000724A6">
        <w:rPr>
          <w:rFonts w:ascii="Times New Roman" w:hAnsi="Times New Roman" w:cs="Times New Roman"/>
          <w:sz w:val="28"/>
          <w:szCs w:val="28"/>
          <w:shd w:val="clear" w:color="auto" w:fill="FFFFFF"/>
        </w:rPr>
        <w:t xml:space="preserve"> </w:t>
      </w:r>
      <w:r w:rsidR="00FB3339">
        <w:rPr>
          <w:rFonts w:ascii="Times New Roman" w:hAnsi="Times New Roman" w:cs="Times New Roman"/>
          <w:sz w:val="28"/>
          <w:szCs w:val="28"/>
          <w:shd w:val="clear" w:color="auto" w:fill="FFFFFF"/>
        </w:rPr>
        <w:t>Either or both claims</w:t>
      </w:r>
      <w:r w:rsidR="000724A6">
        <w:rPr>
          <w:rFonts w:ascii="Times New Roman" w:hAnsi="Times New Roman" w:cs="Times New Roman"/>
          <w:sz w:val="28"/>
          <w:szCs w:val="28"/>
          <w:shd w:val="clear" w:color="auto" w:fill="FFFFFF"/>
        </w:rPr>
        <w:t xml:space="preserve"> made the case not moot.</w:t>
      </w:r>
    </w:p>
    <w:p w14:paraId="2BD44EFF" w14:textId="69B22F3B" w:rsidR="003F51B7" w:rsidRPr="003F51B7" w:rsidRDefault="003F51B7" w:rsidP="003F51B7">
      <w:pPr>
        <w:rPr>
          <w:rFonts w:ascii="Times New Roman" w:hAnsi="Times New Roman" w:cs="Times New Roman"/>
          <w:b/>
          <w:bCs/>
          <w:sz w:val="28"/>
          <w:szCs w:val="28"/>
        </w:rPr>
      </w:pPr>
      <w:r w:rsidRPr="003F51B7">
        <w:rPr>
          <w:rFonts w:ascii="Times New Roman" w:hAnsi="Times New Roman" w:cs="Times New Roman"/>
          <w:b/>
          <w:bCs/>
          <w:sz w:val="28"/>
          <w:szCs w:val="28"/>
        </w:rPr>
        <w:t xml:space="preserve">PART </w:t>
      </w:r>
      <w:r>
        <w:rPr>
          <w:rFonts w:ascii="Times New Roman" w:hAnsi="Times New Roman" w:cs="Times New Roman"/>
          <w:b/>
          <w:bCs/>
          <w:sz w:val="28"/>
          <w:szCs w:val="28"/>
        </w:rPr>
        <w:t>3</w:t>
      </w:r>
    </w:p>
    <w:p w14:paraId="1AEA841B" w14:textId="7F9230D4" w:rsidR="00097FD0" w:rsidRPr="00AF452D" w:rsidRDefault="007F770D" w:rsidP="00097FD0">
      <w:pPr>
        <w:ind w:firstLine="720"/>
        <w:rPr>
          <w:rFonts w:ascii="Times New Roman" w:hAnsi="Times New Roman" w:cs="Times New Roman"/>
          <w:sz w:val="28"/>
          <w:szCs w:val="28"/>
          <w:u w:val="single"/>
          <w:shd w:val="clear" w:color="auto" w:fill="FFFFFF"/>
        </w:rPr>
      </w:pPr>
      <w:r>
        <w:rPr>
          <w:rFonts w:ascii="Times New Roman" w:hAnsi="Times New Roman" w:cs="Times New Roman"/>
          <w:sz w:val="28"/>
          <w:szCs w:val="28"/>
          <w:u w:val="single"/>
          <w:shd w:val="clear" w:color="auto" w:fill="FFFFFF"/>
        </w:rPr>
        <w:t>Practical considerations for the landlord</w:t>
      </w:r>
    </w:p>
    <w:p w14:paraId="422D8AAC" w14:textId="502C6059" w:rsidR="00627C67" w:rsidRDefault="00AB39FF"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Following</w:t>
      </w:r>
      <w:r w:rsidR="00136111" w:rsidRPr="00AF452D">
        <w:rPr>
          <w:rFonts w:ascii="Times New Roman" w:hAnsi="Times New Roman" w:cs="Times New Roman"/>
          <w:sz w:val="28"/>
          <w:szCs w:val="28"/>
          <w:shd w:val="clear" w:color="auto" w:fill="FFFFFF"/>
        </w:rPr>
        <w:t xml:space="preserve"> the Court of Appeals’ </w:t>
      </w:r>
      <w:r w:rsidR="00B30CCB">
        <w:rPr>
          <w:rFonts w:ascii="Times New Roman" w:hAnsi="Times New Roman" w:cs="Times New Roman"/>
          <w:sz w:val="28"/>
          <w:szCs w:val="28"/>
          <w:shd w:val="clear" w:color="auto" w:fill="FFFFFF"/>
        </w:rPr>
        <w:t>decision</w:t>
      </w:r>
      <w:r w:rsidR="00136111" w:rsidRPr="00AF452D">
        <w:rPr>
          <w:rFonts w:ascii="Times New Roman" w:hAnsi="Times New Roman" w:cs="Times New Roman"/>
          <w:sz w:val="28"/>
          <w:szCs w:val="28"/>
          <w:shd w:val="clear" w:color="auto" w:fill="FFFFFF"/>
        </w:rPr>
        <w:t>, when a landlord is confronted by a holding-over invitee and wants to oust h</w:t>
      </w:r>
      <w:r w:rsidR="00F13386">
        <w:rPr>
          <w:rFonts w:ascii="Times New Roman" w:hAnsi="Times New Roman" w:cs="Times New Roman"/>
          <w:sz w:val="28"/>
          <w:szCs w:val="28"/>
          <w:shd w:val="clear" w:color="auto" w:fill="FFFFFF"/>
        </w:rPr>
        <w:t>im</w:t>
      </w:r>
      <w:r w:rsidR="00136111" w:rsidRPr="00AF452D">
        <w:rPr>
          <w:rFonts w:ascii="Times New Roman" w:hAnsi="Times New Roman" w:cs="Times New Roman"/>
          <w:sz w:val="28"/>
          <w:szCs w:val="28"/>
          <w:shd w:val="clear" w:color="auto" w:fill="FFFFFF"/>
        </w:rPr>
        <w:t xml:space="preserve"> by the easiest but legal method, that landlord will have to decide whether the invitee is an “other regular occupant”. Under the totality-of-the-facts rule the landlord doesn’t have a bright line telling it if the invitee is an “other regular occupant”. </w:t>
      </w:r>
      <w:r w:rsidR="00627C67">
        <w:rPr>
          <w:rFonts w:ascii="Times New Roman" w:hAnsi="Times New Roman" w:cs="Times New Roman"/>
          <w:sz w:val="28"/>
          <w:szCs w:val="28"/>
          <w:shd w:val="clear" w:color="auto" w:fill="FFFFFF"/>
        </w:rPr>
        <w:t xml:space="preserve">Confronted with such an invitee, the practical first step should be to ask him about his history in the unit and gather the sort of facts the </w:t>
      </w:r>
      <w:r w:rsidR="00627C67" w:rsidRPr="00627C67">
        <w:rPr>
          <w:rFonts w:ascii="Times New Roman" w:hAnsi="Times New Roman" w:cs="Times New Roman"/>
          <w:i/>
          <w:iCs/>
          <w:sz w:val="28"/>
          <w:szCs w:val="28"/>
          <w:shd w:val="clear" w:color="auto" w:fill="FFFFFF"/>
        </w:rPr>
        <w:t>Quinn</w:t>
      </w:r>
      <w:r w:rsidR="00627C67">
        <w:rPr>
          <w:rFonts w:ascii="Times New Roman" w:hAnsi="Times New Roman" w:cs="Times New Roman"/>
          <w:sz w:val="28"/>
          <w:szCs w:val="28"/>
          <w:shd w:val="clear" w:color="auto" w:fill="FFFFFF"/>
        </w:rPr>
        <w:t xml:space="preserve"> court used in its analysis. In some cases</w:t>
      </w:r>
      <w:r w:rsidR="0020380B">
        <w:rPr>
          <w:rFonts w:ascii="Times New Roman" w:hAnsi="Times New Roman" w:cs="Times New Roman"/>
          <w:sz w:val="28"/>
          <w:szCs w:val="28"/>
          <w:shd w:val="clear" w:color="auto" w:fill="FFFFFF"/>
        </w:rPr>
        <w:t>,</w:t>
      </w:r>
      <w:r w:rsidR="00627C67">
        <w:rPr>
          <w:rFonts w:ascii="Times New Roman" w:hAnsi="Times New Roman" w:cs="Times New Roman"/>
          <w:sz w:val="28"/>
          <w:szCs w:val="28"/>
          <w:shd w:val="clear" w:color="auto" w:fill="FFFFFF"/>
        </w:rPr>
        <w:t xml:space="preserve"> it might become clear that the invitee is surely not </w:t>
      </w:r>
      <w:proofErr w:type="gramStart"/>
      <w:r w:rsidR="00627C67">
        <w:rPr>
          <w:rFonts w:ascii="Times New Roman" w:hAnsi="Times New Roman" w:cs="Times New Roman"/>
          <w:sz w:val="28"/>
          <w:szCs w:val="28"/>
          <w:shd w:val="clear" w:color="auto" w:fill="FFFFFF"/>
        </w:rPr>
        <w:t>an other</w:t>
      </w:r>
      <w:proofErr w:type="gramEnd"/>
      <w:r w:rsidR="00627C67">
        <w:rPr>
          <w:rFonts w:ascii="Times New Roman" w:hAnsi="Times New Roman" w:cs="Times New Roman"/>
          <w:sz w:val="28"/>
          <w:szCs w:val="28"/>
          <w:shd w:val="clear" w:color="auto" w:fill="FFFFFF"/>
        </w:rPr>
        <w:t xml:space="preserve"> regular occupant. Also, in many cases the same conversation can lead to the invitee agreeing to move out.</w:t>
      </w:r>
    </w:p>
    <w:p w14:paraId="6D7EF77F" w14:textId="089A21DF" w:rsidR="006B469E" w:rsidRPr="00AF452D" w:rsidRDefault="00136111"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If</w:t>
      </w:r>
      <w:r w:rsidR="00627C67">
        <w:rPr>
          <w:rFonts w:ascii="Times New Roman" w:hAnsi="Times New Roman" w:cs="Times New Roman"/>
          <w:sz w:val="28"/>
          <w:szCs w:val="28"/>
          <w:shd w:val="clear" w:color="auto" w:fill="FFFFFF"/>
        </w:rPr>
        <w:t xml:space="preserve"> the gathered facts show that</w:t>
      </w:r>
      <w:r w:rsidRPr="00AF452D">
        <w:rPr>
          <w:rFonts w:ascii="Times New Roman" w:hAnsi="Times New Roman" w:cs="Times New Roman"/>
          <w:sz w:val="28"/>
          <w:szCs w:val="28"/>
          <w:shd w:val="clear" w:color="auto" w:fill="FFFFFF"/>
        </w:rPr>
        <w:t xml:space="preserve"> </w:t>
      </w:r>
      <w:r w:rsidR="00627C67">
        <w:rPr>
          <w:rFonts w:ascii="Times New Roman" w:hAnsi="Times New Roman" w:cs="Times New Roman"/>
          <w:sz w:val="28"/>
          <w:szCs w:val="28"/>
          <w:shd w:val="clear" w:color="auto" w:fill="FFFFFF"/>
        </w:rPr>
        <w:t>the invitee’s status</w:t>
      </w:r>
      <w:r w:rsidRPr="00AF452D">
        <w:rPr>
          <w:rFonts w:ascii="Times New Roman" w:hAnsi="Times New Roman" w:cs="Times New Roman"/>
          <w:sz w:val="28"/>
          <w:szCs w:val="28"/>
          <w:shd w:val="clear" w:color="auto" w:fill="FFFFFF"/>
        </w:rPr>
        <w:t xml:space="preserve"> is a close call, the conservative approach is to use court process </w:t>
      </w:r>
      <w:r w:rsidR="00B30CCB">
        <w:rPr>
          <w:rFonts w:ascii="Times New Roman" w:hAnsi="Times New Roman" w:cs="Times New Roman"/>
          <w:sz w:val="28"/>
          <w:szCs w:val="28"/>
          <w:shd w:val="clear" w:color="auto" w:fill="FFFFFF"/>
        </w:rPr>
        <w:t>rather than</w:t>
      </w:r>
      <w:r w:rsidRPr="00AF452D">
        <w:rPr>
          <w:rFonts w:ascii="Times New Roman" w:hAnsi="Times New Roman" w:cs="Times New Roman"/>
          <w:sz w:val="28"/>
          <w:szCs w:val="28"/>
          <w:shd w:val="clear" w:color="auto" w:fill="FFFFFF"/>
        </w:rPr>
        <w:t xml:space="preserve"> </w:t>
      </w:r>
      <w:proofErr w:type="spellStart"/>
      <w:r w:rsidRPr="00AF452D">
        <w:rPr>
          <w:rFonts w:ascii="Times New Roman" w:hAnsi="Times New Roman" w:cs="Times New Roman"/>
          <w:sz w:val="28"/>
          <w:szCs w:val="28"/>
          <w:shd w:val="clear" w:color="auto" w:fill="FFFFFF"/>
        </w:rPr>
        <w:t>self help</w:t>
      </w:r>
      <w:proofErr w:type="spellEnd"/>
      <w:r w:rsidRPr="00AF452D">
        <w:rPr>
          <w:rFonts w:ascii="Times New Roman" w:hAnsi="Times New Roman" w:cs="Times New Roman"/>
          <w:sz w:val="28"/>
          <w:szCs w:val="28"/>
          <w:shd w:val="clear" w:color="auto" w:fill="FFFFFF"/>
        </w:rPr>
        <w:t xml:space="preserve"> to the oust</w:t>
      </w:r>
      <w:r w:rsidR="00AB39FF">
        <w:rPr>
          <w:rFonts w:ascii="Times New Roman" w:hAnsi="Times New Roman" w:cs="Times New Roman"/>
          <w:sz w:val="28"/>
          <w:szCs w:val="28"/>
          <w:shd w:val="clear" w:color="auto" w:fill="FFFFFF"/>
        </w:rPr>
        <w:t xml:space="preserve"> the invitee</w:t>
      </w:r>
      <w:r w:rsidRPr="00AF452D">
        <w:rPr>
          <w:rFonts w:ascii="Times New Roman" w:hAnsi="Times New Roman" w:cs="Times New Roman"/>
          <w:sz w:val="28"/>
          <w:szCs w:val="28"/>
          <w:shd w:val="clear" w:color="auto" w:fill="FFFFFF"/>
        </w:rPr>
        <w:t>. Otherwise, if the landlord turns out to be wrong, it will lose a resulting lockout-petition case under Minn. Stat. §504B.375.</w:t>
      </w:r>
    </w:p>
    <w:p w14:paraId="22345299" w14:textId="26682D94" w:rsidR="003C43F9" w:rsidRDefault="00136111"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LMC suggested that this places landlord</w:t>
      </w:r>
      <w:r w:rsidR="003C43F9" w:rsidRPr="00AF452D">
        <w:rPr>
          <w:rFonts w:ascii="Times New Roman" w:hAnsi="Times New Roman" w:cs="Times New Roman"/>
          <w:sz w:val="28"/>
          <w:szCs w:val="28"/>
          <w:shd w:val="clear" w:color="auto" w:fill="FFFFFF"/>
        </w:rPr>
        <w:t>s</w:t>
      </w:r>
      <w:r w:rsidRPr="00AF452D">
        <w:rPr>
          <w:rFonts w:ascii="Times New Roman" w:hAnsi="Times New Roman" w:cs="Times New Roman"/>
          <w:sz w:val="28"/>
          <w:szCs w:val="28"/>
          <w:shd w:val="clear" w:color="auto" w:fill="FFFFFF"/>
        </w:rPr>
        <w:t xml:space="preserve"> in an untenable position. I disagree. It merely tells landlords to be cautious, spend a little extra money and time, and remove </w:t>
      </w:r>
      <w:r w:rsidR="00627C67">
        <w:rPr>
          <w:rFonts w:ascii="Times New Roman" w:hAnsi="Times New Roman" w:cs="Times New Roman"/>
          <w:sz w:val="28"/>
          <w:szCs w:val="28"/>
          <w:shd w:val="clear" w:color="auto" w:fill="FFFFFF"/>
        </w:rPr>
        <w:t xml:space="preserve">most </w:t>
      </w:r>
      <w:r w:rsidRPr="00AF452D">
        <w:rPr>
          <w:rFonts w:ascii="Times New Roman" w:hAnsi="Times New Roman" w:cs="Times New Roman"/>
          <w:sz w:val="28"/>
          <w:szCs w:val="28"/>
          <w:shd w:val="clear" w:color="auto" w:fill="FFFFFF"/>
        </w:rPr>
        <w:t>invitee</w:t>
      </w:r>
      <w:r w:rsidR="003C43F9" w:rsidRPr="00AF452D">
        <w:rPr>
          <w:rFonts w:ascii="Times New Roman" w:hAnsi="Times New Roman" w:cs="Times New Roman"/>
          <w:sz w:val="28"/>
          <w:szCs w:val="28"/>
          <w:shd w:val="clear" w:color="auto" w:fill="FFFFFF"/>
        </w:rPr>
        <w:t>s</w:t>
      </w:r>
      <w:r w:rsidRPr="00AF452D">
        <w:rPr>
          <w:rFonts w:ascii="Times New Roman" w:hAnsi="Times New Roman" w:cs="Times New Roman"/>
          <w:sz w:val="28"/>
          <w:szCs w:val="28"/>
          <w:shd w:val="clear" w:color="auto" w:fill="FFFFFF"/>
        </w:rPr>
        <w:t xml:space="preserve"> by court process. In the old days, prior</w:t>
      </w:r>
      <w:r w:rsidR="003F3F08">
        <w:rPr>
          <w:rFonts w:ascii="Times New Roman" w:hAnsi="Times New Roman" w:cs="Times New Roman"/>
          <w:sz w:val="28"/>
          <w:szCs w:val="28"/>
          <w:shd w:val="clear" w:color="auto" w:fill="FFFFFF"/>
        </w:rPr>
        <w:t xml:space="preserve"> to </w:t>
      </w:r>
      <w:hyperlink r:id="rId45" w:history="1">
        <w:r w:rsidR="003F3F08" w:rsidRPr="003F3F08">
          <w:rPr>
            <w:rStyle w:val="Hyperlink"/>
            <w:rFonts w:ascii="Times New Roman" w:hAnsi="Times New Roman" w:cs="Times New Roman"/>
            <w:i/>
            <w:iCs/>
            <w:sz w:val="28"/>
            <w:szCs w:val="28"/>
            <w:shd w:val="clear" w:color="auto" w:fill="FFFFFF"/>
          </w:rPr>
          <w:t>Berg v. Wiley</w:t>
        </w:r>
        <w:r w:rsidR="003F3F08" w:rsidRPr="003F3F08">
          <w:rPr>
            <w:rStyle w:val="Hyperlink"/>
            <w:rFonts w:ascii="Times New Roman" w:hAnsi="Times New Roman" w:cs="Times New Roman"/>
            <w:sz w:val="28"/>
            <w:szCs w:val="28"/>
            <w:shd w:val="clear" w:color="auto" w:fill="FFFFFF"/>
          </w:rPr>
          <w:t>, 264 N.W.2d 145 (Minn. 1978)</w:t>
        </w:r>
      </w:hyperlink>
      <w:r w:rsidR="003F3F08">
        <w:rPr>
          <w:rFonts w:ascii="Times New Roman" w:hAnsi="Times New Roman" w:cs="Times New Roman"/>
          <w:sz w:val="28"/>
          <w:szCs w:val="28"/>
          <w:shd w:val="clear" w:color="auto" w:fill="FFFFFF"/>
        </w:rPr>
        <w:t>,</w:t>
      </w:r>
      <w:r w:rsidRPr="00AF452D">
        <w:rPr>
          <w:rFonts w:ascii="Times New Roman" w:hAnsi="Times New Roman" w:cs="Times New Roman"/>
          <w:sz w:val="28"/>
          <w:szCs w:val="28"/>
          <w:shd w:val="clear" w:color="auto" w:fill="FFFFFF"/>
        </w:rPr>
        <w:t xml:space="preserve"> landlord</w:t>
      </w:r>
      <w:r w:rsidR="003C43F9" w:rsidRPr="00AF452D">
        <w:rPr>
          <w:rFonts w:ascii="Times New Roman" w:hAnsi="Times New Roman" w:cs="Times New Roman"/>
          <w:sz w:val="28"/>
          <w:szCs w:val="28"/>
          <w:shd w:val="clear" w:color="auto" w:fill="FFFFFF"/>
        </w:rPr>
        <w:t>s</w:t>
      </w:r>
      <w:r w:rsidRPr="00AF452D">
        <w:rPr>
          <w:rFonts w:ascii="Times New Roman" w:hAnsi="Times New Roman" w:cs="Times New Roman"/>
          <w:sz w:val="28"/>
          <w:szCs w:val="28"/>
          <w:shd w:val="clear" w:color="auto" w:fill="FFFFFF"/>
        </w:rPr>
        <w:t xml:space="preserve"> could legally remove tenants by locking them out. </w:t>
      </w:r>
      <w:r w:rsidRPr="00627C67">
        <w:rPr>
          <w:rFonts w:ascii="Times New Roman" w:hAnsi="Times New Roman" w:cs="Times New Roman"/>
          <w:i/>
          <w:iCs/>
          <w:sz w:val="28"/>
          <w:szCs w:val="28"/>
          <w:shd w:val="clear" w:color="auto" w:fill="FFFFFF"/>
        </w:rPr>
        <w:t>Berg</w:t>
      </w:r>
      <w:r w:rsidRPr="00AF452D">
        <w:rPr>
          <w:rFonts w:ascii="Times New Roman" w:hAnsi="Times New Roman" w:cs="Times New Roman"/>
          <w:sz w:val="28"/>
          <w:szCs w:val="28"/>
          <w:shd w:val="clear" w:color="auto" w:fill="FFFFFF"/>
        </w:rPr>
        <w:t xml:space="preserve"> ended that practice. The landlord-tenant industry has adjusted well to </w:t>
      </w:r>
      <w:r w:rsidR="003C43F9" w:rsidRPr="00AF452D">
        <w:rPr>
          <w:rFonts w:ascii="Times New Roman" w:hAnsi="Times New Roman" w:cs="Times New Roman"/>
          <w:sz w:val="28"/>
          <w:szCs w:val="28"/>
          <w:shd w:val="clear" w:color="auto" w:fill="FFFFFF"/>
        </w:rPr>
        <w:t xml:space="preserve">the </w:t>
      </w:r>
      <w:r w:rsidR="003C43F9" w:rsidRPr="00627C67">
        <w:rPr>
          <w:rFonts w:ascii="Times New Roman" w:hAnsi="Times New Roman" w:cs="Times New Roman"/>
          <w:i/>
          <w:iCs/>
          <w:sz w:val="28"/>
          <w:szCs w:val="28"/>
          <w:shd w:val="clear" w:color="auto" w:fill="FFFFFF"/>
        </w:rPr>
        <w:t>Berg</w:t>
      </w:r>
      <w:r w:rsidRPr="00AF452D">
        <w:rPr>
          <w:rFonts w:ascii="Times New Roman" w:hAnsi="Times New Roman" w:cs="Times New Roman"/>
          <w:sz w:val="28"/>
          <w:szCs w:val="28"/>
          <w:shd w:val="clear" w:color="auto" w:fill="FFFFFF"/>
        </w:rPr>
        <w:t xml:space="preserve"> rule. It will adjust well to the rule from this case.</w:t>
      </w:r>
    </w:p>
    <w:p w14:paraId="05A94449" w14:textId="5B5E2AB8" w:rsidR="007F770D" w:rsidRPr="007F770D" w:rsidRDefault="007F770D" w:rsidP="005F7A04">
      <w:pPr>
        <w:rPr>
          <w:rFonts w:ascii="Times New Roman" w:hAnsi="Times New Roman" w:cs="Times New Roman"/>
          <w:sz w:val="28"/>
          <w:szCs w:val="28"/>
          <w:u w:val="single"/>
          <w:shd w:val="clear" w:color="auto" w:fill="FFFFFF"/>
        </w:rPr>
      </w:pPr>
      <w:r>
        <w:rPr>
          <w:rFonts w:ascii="Times New Roman" w:hAnsi="Times New Roman" w:cs="Times New Roman"/>
          <w:sz w:val="28"/>
          <w:szCs w:val="28"/>
          <w:shd w:val="clear" w:color="auto" w:fill="FFFFFF"/>
        </w:rPr>
        <w:tab/>
      </w:r>
      <w:r w:rsidRPr="007F770D">
        <w:rPr>
          <w:rFonts w:ascii="Times New Roman" w:hAnsi="Times New Roman" w:cs="Times New Roman"/>
          <w:sz w:val="28"/>
          <w:szCs w:val="28"/>
          <w:u w:val="single"/>
          <w:shd w:val="clear" w:color="auto" w:fill="FFFFFF"/>
        </w:rPr>
        <w:t>Practical considerations for the invitee</w:t>
      </w:r>
    </w:p>
    <w:p w14:paraId="676AF6AF" w14:textId="1C43C6B3" w:rsidR="007F770D" w:rsidRDefault="007F770D" w:rsidP="007F770D">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t xml:space="preserve">On the flip side, an invitee who has been in the unit for a good period of time and is thinking of staying has to make the opposite calculation. A landlord’s lockout might survive a section 504B.375 petition. Even if there </w:t>
      </w:r>
      <w:r w:rsidR="00B30CCB">
        <w:rPr>
          <w:rFonts w:ascii="Times New Roman" w:hAnsi="Times New Roman" w:cs="Times New Roman"/>
          <w:sz w:val="28"/>
          <w:szCs w:val="28"/>
          <w:shd w:val="clear" w:color="auto" w:fill="FFFFFF"/>
        </w:rPr>
        <w:t>isn’t a</w:t>
      </w:r>
      <w:r>
        <w:rPr>
          <w:rFonts w:ascii="Times New Roman" w:hAnsi="Times New Roman" w:cs="Times New Roman"/>
          <w:sz w:val="28"/>
          <w:szCs w:val="28"/>
          <w:shd w:val="clear" w:color="auto" w:fill="FFFFFF"/>
        </w:rPr>
        <w:t xml:space="preserve"> successful lockout, a properly filed eviction case will eventually oust the invitee, likely putting a bad mark on his tenant record. Thus, even if the invitee has no </w:t>
      </w:r>
      <w:r w:rsidR="00AB39FF">
        <w:rPr>
          <w:rFonts w:ascii="Times New Roman" w:hAnsi="Times New Roman" w:cs="Times New Roman"/>
          <w:sz w:val="28"/>
          <w:szCs w:val="28"/>
          <w:shd w:val="clear" w:color="auto" w:fill="FFFFFF"/>
        </w:rPr>
        <w:t xml:space="preserve">new </w:t>
      </w:r>
      <w:r>
        <w:rPr>
          <w:rFonts w:ascii="Times New Roman" w:hAnsi="Times New Roman" w:cs="Times New Roman"/>
          <w:sz w:val="28"/>
          <w:szCs w:val="28"/>
          <w:shd w:val="clear" w:color="auto" w:fill="FFFFFF"/>
        </w:rPr>
        <w:t>place</w:t>
      </w:r>
      <w:r w:rsidR="00AB39FF">
        <w:rPr>
          <w:rFonts w:ascii="Times New Roman" w:hAnsi="Times New Roman" w:cs="Times New Roman"/>
          <w:sz w:val="28"/>
          <w:szCs w:val="28"/>
          <w:shd w:val="clear" w:color="auto" w:fill="FFFFFF"/>
        </w:rPr>
        <w:t xml:space="preserve"> lined up</w:t>
      </w:r>
      <w:r w:rsidR="00B30CCB">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he has a strong motivation to negotiate a move-out date with the landlord.</w:t>
      </w:r>
    </w:p>
    <w:p w14:paraId="245EE459" w14:textId="619D033A" w:rsidR="007F770D" w:rsidRDefault="007F770D" w:rsidP="005F7A04">
      <w:pPr>
        <w:rPr>
          <w:rFonts w:ascii="Times New Roman" w:hAnsi="Times New Roman" w:cs="Times New Roman"/>
          <w:sz w:val="28"/>
          <w:szCs w:val="28"/>
          <w:shd w:val="clear" w:color="auto" w:fill="FFFFFF"/>
        </w:rPr>
      </w:pPr>
      <w:r>
        <w:rPr>
          <w:rFonts w:ascii="Times New Roman" w:hAnsi="Times New Roman" w:cs="Times New Roman"/>
          <w:sz w:val="28"/>
          <w:szCs w:val="28"/>
          <w:shd w:val="clear" w:color="auto" w:fill="FFFFFF"/>
        </w:rPr>
        <w:lastRenderedPageBreak/>
        <w:t>Did Ms. Quinn herself make this sort of calculation? It seems unlikely. Obviously</w:t>
      </w:r>
      <w:r w:rsidR="00B30CCB">
        <w:rPr>
          <w:rFonts w:ascii="Times New Roman" w:hAnsi="Times New Roman" w:cs="Times New Roman"/>
          <w:sz w:val="28"/>
          <w:szCs w:val="28"/>
          <w:shd w:val="clear" w:color="auto" w:fill="FFFFFF"/>
        </w:rPr>
        <w:t xml:space="preserve">, </w:t>
      </w:r>
      <w:r>
        <w:rPr>
          <w:rFonts w:ascii="Times New Roman" w:hAnsi="Times New Roman" w:cs="Times New Roman"/>
          <w:sz w:val="28"/>
          <w:szCs w:val="28"/>
          <w:shd w:val="clear" w:color="auto" w:fill="FFFFFF"/>
        </w:rPr>
        <w:t>she did not know the outcome of her own case. She did not have the legal background to do careful analysis of the meaning of “other regular occupant”</w:t>
      </w:r>
      <w:r w:rsidR="00AB39FF">
        <w:rPr>
          <w:rFonts w:ascii="Times New Roman" w:hAnsi="Times New Roman" w:cs="Times New Roman"/>
          <w:sz w:val="28"/>
          <w:szCs w:val="28"/>
          <w:shd w:val="clear" w:color="auto" w:fill="FFFFFF"/>
        </w:rPr>
        <w:t xml:space="preserve"> (or maybe even know the issue existed)</w:t>
      </w:r>
      <w:r>
        <w:rPr>
          <w:rFonts w:ascii="Times New Roman" w:hAnsi="Times New Roman" w:cs="Times New Roman"/>
          <w:sz w:val="28"/>
          <w:szCs w:val="28"/>
          <w:shd w:val="clear" w:color="auto" w:fill="FFFFFF"/>
        </w:rPr>
        <w:t>. Perhaps she had a crude notion that she was a tenant, that locking out tenants was illegal, and that the eviction moratorium tied LMC’s hands. The fact that twelve days passed between her being locked out and filing her lawsuit</w:t>
      </w:r>
      <w:r>
        <w:rPr>
          <w:rStyle w:val="FootnoteReference"/>
          <w:rFonts w:ascii="Times New Roman" w:hAnsi="Times New Roman" w:cs="Times New Roman"/>
          <w:sz w:val="28"/>
          <w:szCs w:val="28"/>
          <w:shd w:val="clear" w:color="auto" w:fill="FFFFFF"/>
        </w:rPr>
        <w:footnoteReference w:id="26"/>
      </w:r>
      <w:r>
        <w:rPr>
          <w:rFonts w:ascii="Times New Roman" w:hAnsi="Times New Roman" w:cs="Times New Roman"/>
          <w:sz w:val="28"/>
          <w:szCs w:val="28"/>
          <w:shd w:val="clear" w:color="auto" w:fill="FFFFFF"/>
        </w:rPr>
        <w:t xml:space="preserve"> </w:t>
      </w:r>
      <w:r w:rsidR="00363A5B">
        <w:rPr>
          <w:rFonts w:ascii="Times New Roman" w:hAnsi="Times New Roman" w:cs="Times New Roman"/>
          <w:sz w:val="28"/>
          <w:szCs w:val="28"/>
          <w:shd w:val="clear" w:color="auto" w:fill="FFFFFF"/>
        </w:rPr>
        <w:t>indicates</w:t>
      </w:r>
      <w:r>
        <w:rPr>
          <w:rFonts w:ascii="Times New Roman" w:hAnsi="Times New Roman" w:cs="Times New Roman"/>
          <w:sz w:val="28"/>
          <w:szCs w:val="28"/>
          <w:shd w:val="clear" w:color="auto" w:fill="FFFFFF"/>
        </w:rPr>
        <w:t xml:space="preserve"> she didn’t think that far ahead.</w:t>
      </w:r>
    </w:p>
    <w:p w14:paraId="291FD762" w14:textId="3274C7D9" w:rsidR="00097FD0" w:rsidRPr="00097FD0" w:rsidRDefault="007F770D" w:rsidP="007F770D">
      <w:pPr>
        <w:ind w:left="720"/>
        <w:rPr>
          <w:rFonts w:ascii="Times New Roman" w:hAnsi="Times New Roman" w:cs="Times New Roman"/>
          <w:sz w:val="28"/>
          <w:szCs w:val="28"/>
          <w:u w:val="single"/>
          <w:shd w:val="clear" w:color="auto" w:fill="FFFFFF"/>
        </w:rPr>
      </w:pPr>
      <w:r>
        <w:rPr>
          <w:rFonts w:ascii="Times New Roman" w:hAnsi="Times New Roman" w:cs="Times New Roman"/>
          <w:sz w:val="28"/>
          <w:szCs w:val="28"/>
          <w:u w:val="single"/>
          <w:shd w:val="clear" w:color="auto" w:fill="FFFFFF"/>
        </w:rPr>
        <w:t>The court’s construction of “residential tenant” is consistent with the rest of Minn. Stat. Chap. 504B</w:t>
      </w:r>
    </w:p>
    <w:p w14:paraId="2A222CE5" w14:textId="248F9126" w:rsidR="003C43F9" w:rsidRPr="00AF452D" w:rsidRDefault="003C43F9"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 xml:space="preserve">One other concern is whether the construction of “residential tenant” in </w:t>
      </w:r>
      <w:r w:rsidR="00A167F6" w:rsidRPr="00A167F6">
        <w:rPr>
          <w:rFonts w:ascii="Times New Roman" w:hAnsi="Times New Roman" w:cs="Times New Roman"/>
          <w:i/>
          <w:iCs/>
          <w:sz w:val="28"/>
          <w:szCs w:val="28"/>
          <w:shd w:val="clear" w:color="auto" w:fill="FFFFFF"/>
        </w:rPr>
        <w:t>Quinn</w:t>
      </w:r>
      <w:r w:rsidRPr="00AF452D">
        <w:rPr>
          <w:rFonts w:ascii="Times New Roman" w:hAnsi="Times New Roman" w:cs="Times New Roman"/>
          <w:sz w:val="28"/>
          <w:szCs w:val="28"/>
          <w:shd w:val="clear" w:color="auto" w:fill="FFFFFF"/>
        </w:rPr>
        <w:t xml:space="preserve"> makes statutes in Minn. Stat. Chap. 504B other than Minn. Stat. §504B.375 unworkable or absurd. If it makes some other statutes unworkable that would make the </w:t>
      </w:r>
      <w:r w:rsidRPr="003F3F08">
        <w:rPr>
          <w:rFonts w:ascii="Times New Roman" w:hAnsi="Times New Roman" w:cs="Times New Roman"/>
          <w:i/>
          <w:iCs/>
          <w:sz w:val="28"/>
          <w:szCs w:val="28"/>
          <w:shd w:val="clear" w:color="auto" w:fill="FFFFFF"/>
        </w:rPr>
        <w:t>Quinn</w:t>
      </w:r>
      <w:r w:rsidRPr="00AF452D">
        <w:rPr>
          <w:rFonts w:ascii="Times New Roman" w:hAnsi="Times New Roman" w:cs="Times New Roman"/>
          <w:sz w:val="28"/>
          <w:szCs w:val="28"/>
          <w:shd w:val="clear" w:color="auto" w:fill="FFFFFF"/>
        </w:rPr>
        <w:t xml:space="preserve"> rule a poor one on policy grounds. If it makes some other statutes absurd, that would suggest that by enacting such statutes post 1975 the legislature adjusted (amended) the meaning of “other regular occupants”</w:t>
      </w:r>
      <w:r w:rsidR="00097FD0">
        <w:rPr>
          <w:rFonts w:ascii="Times New Roman" w:hAnsi="Times New Roman" w:cs="Times New Roman"/>
          <w:sz w:val="28"/>
          <w:szCs w:val="28"/>
          <w:shd w:val="clear" w:color="auto" w:fill="FFFFFF"/>
        </w:rPr>
        <w:t>.</w:t>
      </w:r>
    </w:p>
    <w:p w14:paraId="778475B3" w14:textId="773D84A9" w:rsidR="003C43F9" w:rsidRDefault="003C43F9"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At oral argument, LMC’s attorney pointed to two possible problematic statutes, Minn. Stat. §504B.111 and Minn. Stat. §504B.181. I don’t think these statutes are the problems</w:t>
      </w:r>
      <w:r w:rsidR="003F3F08">
        <w:rPr>
          <w:rFonts w:ascii="Times New Roman" w:hAnsi="Times New Roman" w:cs="Times New Roman"/>
          <w:sz w:val="28"/>
          <w:szCs w:val="28"/>
          <w:shd w:val="clear" w:color="auto" w:fill="FFFFFF"/>
        </w:rPr>
        <w:t xml:space="preserve"> he</w:t>
      </w:r>
      <w:r w:rsidRPr="00AF452D">
        <w:rPr>
          <w:rFonts w:ascii="Times New Roman" w:hAnsi="Times New Roman" w:cs="Times New Roman"/>
          <w:sz w:val="28"/>
          <w:szCs w:val="28"/>
          <w:shd w:val="clear" w:color="auto" w:fill="FFFFFF"/>
        </w:rPr>
        <w:t xml:space="preserve"> claimed.</w:t>
      </w:r>
    </w:p>
    <w:p w14:paraId="6B18D699" w14:textId="32ED95FB" w:rsidR="00097FD0" w:rsidRPr="00AF452D" w:rsidRDefault="00097FD0" w:rsidP="00097FD0">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t>Minn. Stat. §504B.111</w:t>
      </w:r>
    </w:p>
    <w:p w14:paraId="3C8F4249" w14:textId="37821A22" w:rsidR="0042596A" w:rsidRPr="00097FD0" w:rsidRDefault="0042596A" w:rsidP="005F7A04">
      <w:pPr>
        <w:rPr>
          <w:rFonts w:ascii="Times New Roman" w:hAnsi="Times New Roman" w:cs="Times New Roman"/>
          <w:sz w:val="28"/>
          <w:szCs w:val="28"/>
          <w:shd w:val="clear" w:color="auto" w:fill="FFFFFF"/>
        </w:rPr>
      </w:pPr>
      <w:r w:rsidRPr="00097FD0">
        <w:rPr>
          <w:rFonts w:ascii="Times New Roman" w:hAnsi="Times New Roman" w:cs="Times New Roman"/>
          <w:sz w:val="28"/>
          <w:szCs w:val="28"/>
          <w:shd w:val="clear" w:color="auto" w:fill="FFFFFF"/>
        </w:rPr>
        <w:t>In pertinent part, Minn. Stat. §504B.111 reads:</w:t>
      </w:r>
    </w:p>
    <w:p w14:paraId="009950DE" w14:textId="153152E3" w:rsidR="003C43F9" w:rsidRPr="00AF452D" w:rsidRDefault="0042596A" w:rsidP="000C7A67">
      <w:pPr>
        <w:ind w:left="720"/>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A landlord of a residential building with 12 or more residential units must have a written lease for each unit rented to a residential tenant. The written lease must identify the specific unit the residential tenant will occupy before the residential tenant signs the lease.</w:t>
      </w:r>
    </w:p>
    <w:p w14:paraId="20457B59" w14:textId="22FEFAE2" w:rsidR="0042596A" w:rsidRDefault="0042596A" w:rsidP="005F7A04">
      <w:pPr>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 xml:space="preserve">Contrary to LMC’s stated concern, this does not say that a landlord </w:t>
      </w:r>
      <w:r w:rsidR="000C7A67" w:rsidRPr="00AF452D">
        <w:rPr>
          <w:rFonts w:ascii="Times New Roman" w:hAnsi="Times New Roman" w:cs="Times New Roman"/>
          <w:color w:val="000000"/>
          <w:sz w:val="28"/>
          <w:szCs w:val="28"/>
          <w:shd w:val="clear" w:color="auto" w:fill="FFFFFF"/>
        </w:rPr>
        <w:t xml:space="preserve">of a </w:t>
      </w:r>
      <w:r w:rsidR="000C7A67" w:rsidRPr="00AF452D">
        <w:rPr>
          <w:rFonts w:ascii="Times New Roman" w:hAnsi="Times New Roman" w:cs="Times New Roman"/>
          <w:color w:val="000000"/>
          <w:sz w:val="28"/>
          <w:szCs w:val="28"/>
          <w:u w:val="single"/>
          <w:shd w:val="clear" w:color="auto" w:fill="FFFFFF"/>
        </w:rPr>
        <w:t>&gt;</w:t>
      </w:r>
      <w:r w:rsidR="007F770D">
        <w:rPr>
          <w:rFonts w:ascii="Times New Roman" w:hAnsi="Times New Roman" w:cs="Times New Roman"/>
          <w:color w:val="000000"/>
          <w:sz w:val="28"/>
          <w:szCs w:val="28"/>
          <w:shd w:val="clear" w:color="auto" w:fill="FFFFFF"/>
        </w:rPr>
        <w:t xml:space="preserve"> 1</w:t>
      </w:r>
      <w:r w:rsidR="000C7A67" w:rsidRPr="00AF452D">
        <w:rPr>
          <w:rFonts w:ascii="Times New Roman" w:hAnsi="Times New Roman" w:cs="Times New Roman"/>
          <w:color w:val="000000"/>
          <w:sz w:val="28"/>
          <w:szCs w:val="28"/>
          <w:shd w:val="clear" w:color="auto" w:fill="FFFFFF"/>
        </w:rPr>
        <w:t xml:space="preserve">2-unit building </w:t>
      </w:r>
      <w:r w:rsidRPr="00AF452D">
        <w:rPr>
          <w:rFonts w:ascii="Times New Roman" w:hAnsi="Times New Roman" w:cs="Times New Roman"/>
          <w:color w:val="000000"/>
          <w:sz w:val="28"/>
          <w:szCs w:val="28"/>
          <w:shd w:val="clear" w:color="auto" w:fill="FFFFFF"/>
        </w:rPr>
        <w:t>must</w:t>
      </w:r>
      <w:r w:rsidR="000C7A67" w:rsidRPr="00AF452D">
        <w:rPr>
          <w:rFonts w:ascii="Times New Roman" w:hAnsi="Times New Roman" w:cs="Times New Roman"/>
          <w:color w:val="000000"/>
          <w:sz w:val="28"/>
          <w:szCs w:val="28"/>
          <w:shd w:val="clear" w:color="auto" w:fill="FFFFFF"/>
        </w:rPr>
        <w:t xml:space="preserve"> have a written lease with an “other regular occupant” who is not a leaseholder. It says that it must have a written lease if it rents a unit. LMC rented only to Smith. It fulfilled its duty by using a written lease rather than an oral one when it contracted with Smith.</w:t>
      </w:r>
    </w:p>
    <w:p w14:paraId="0CEB8C51" w14:textId="7FEE0DA0" w:rsidR="00097FD0" w:rsidRPr="00AF452D" w:rsidRDefault="00097FD0" w:rsidP="00097FD0">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t>Minn. Stat. §504B.1</w:t>
      </w:r>
      <w:r>
        <w:rPr>
          <w:rFonts w:ascii="Times New Roman" w:hAnsi="Times New Roman" w:cs="Times New Roman"/>
          <w:sz w:val="28"/>
          <w:szCs w:val="28"/>
          <w:u w:val="single"/>
          <w:shd w:val="clear" w:color="auto" w:fill="FFFFFF"/>
        </w:rPr>
        <w:t>81</w:t>
      </w:r>
    </w:p>
    <w:p w14:paraId="32BC78B2" w14:textId="77777777" w:rsidR="00AC4916" w:rsidRPr="00AF452D" w:rsidRDefault="000C7A67" w:rsidP="00AC4916">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In pertinent part, Minn. Stat. §504B.181 reads:</w:t>
      </w:r>
    </w:p>
    <w:p w14:paraId="5C478085" w14:textId="74952C15" w:rsidR="00AC4916" w:rsidRPr="00AF452D" w:rsidRDefault="00AC4916" w:rsidP="00097FD0">
      <w:pPr>
        <w:ind w:left="720"/>
        <w:rPr>
          <w:rFonts w:ascii="Times New Roman" w:hAnsi="Times New Roman" w:cs="Times New Roman"/>
          <w:color w:val="000000"/>
          <w:sz w:val="28"/>
          <w:szCs w:val="28"/>
        </w:rPr>
      </w:pPr>
      <w:r w:rsidRPr="00097FD0">
        <w:rPr>
          <w:rFonts w:ascii="Times New Roman" w:hAnsi="Times New Roman" w:cs="Times New Roman"/>
          <w:color w:val="000000"/>
          <w:sz w:val="28"/>
          <w:szCs w:val="28"/>
        </w:rPr>
        <w:lastRenderedPageBreak/>
        <w:t>Subdivision 1.</w:t>
      </w:r>
      <w:r w:rsidRPr="00097FD0">
        <w:rPr>
          <w:rFonts w:ascii="Times New Roman" w:hAnsi="Times New Roman" w:cs="Times New Roman"/>
          <w:b/>
          <w:bCs/>
          <w:color w:val="000000"/>
          <w:sz w:val="28"/>
          <w:szCs w:val="28"/>
        </w:rPr>
        <w:t xml:space="preserve"> </w:t>
      </w:r>
      <w:r w:rsidRPr="00097FD0">
        <w:rPr>
          <w:rStyle w:val="headnote"/>
          <w:rFonts w:ascii="Times New Roman" w:hAnsi="Times New Roman" w:cs="Times New Roman"/>
          <w:b/>
          <w:bCs/>
          <w:color w:val="000000"/>
          <w:sz w:val="28"/>
          <w:szCs w:val="28"/>
        </w:rPr>
        <w:t>Disclosure to tenant.</w:t>
      </w:r>
      <w:r w:rsidR="00097FD0">
        <w:rPr>
          <w:rStyle w:val="headnote"/>
          <w:rFonts w:ascii="Times New Roman" w:hAnsi="Times New Roman" w:cs="Times New Roman"/>
          <w:color w:val="000000"/>
          <w:sz w:val="28"/>
          <w:szCs w:val="28"/>
        </w:rPr>
        <w:t xml:space="preserve"> </w:t>
      </w:r>
      <w:r w:rsidRPr="00AF452D">
        <w:rPr>
          <w:rFonts w:ascii="Times New Roman" w:hAnsi="Times New Roman" w:cs="Times New Roman"/>
          <w:color w:val="000000"/>
          <w:sz w:val="28"/>
          <w:szCs w:val="28"/>
        </w:rPr>
        <w:t>There shall be disclosed to the residential tenant either in the rental agreement or otherwise in writing prior to commencement of the tenancy the name and address of:</w:t>
      </w:r>
    </w:p>
    <w:p w14:paraId="3E1A6082" w14:textId="77777777" w:rsidR="00AC4916" w:rsidRPr="00AF452D" w:rsidRDefault="00AC4916" w:rsidP="00097FD0">
      <w:pPr>
        <w:pStyle w:val="NormalWeb"/>
        <w:shd w:val="clear" w:color="auto" w:fill="FFFFFF"/>
        <w:spacing w:before="48" w:beforeAutospacing="0" w:after="120" w:afterAutospacing="0"/>
        <w:ind w:left="1440"/>
        <w:rPr>
          <w:color w:val="000000"/>
          <w:sz w:val="28"/>
          <w:szCs w:val="28"/>
        </w:rPr>
      </w:pPr>
      <w:r w:rsidRPr="00AF452D">
        <w:rPr>
          <w:color w:val="000000"/>
          <w:sz w:val="28"/>
          <w:szCs w:val="28"/>
        </w:rPr>
        <w:t>(1) the person authorized to manage the premises; and</w:t>
      </w:r>
    </w:p>
    <w:p w14:paraId="212C7559" w14:textId="77777777" w:rsidR="00AC4916" w:rsidRPr="00AF452D" w:rsidRDefault="00AC4916" w:rsidP="00097FD0">
      <w:pPr>
        <w:pStyle w:val="NormalWeb"/>
        <w:shd w:val="clear" w:color="auto" w:fill="FFFFFF"/>
        <w:spacing w:before="48" w:beforeAutospacing="0" w:after="120" w:afterAutospacing="0"/>
        <w:ind w:left="1440"/>
        <w:rPr>
          <w:color w:val="000000"/>
          <w:sz w:val="28"/>
          <w:szCs w:val="28"/>
        </w:rPr>
      </w:pPr>
      <w:r w:rsidRPr="00AF452D">
        <w:rPr>
          <w:color w:val="000000"/>
          <w:sz w:val="28"/>
          <w:szCs w:val="28"/>
        </w:rPr>
        <w:t>(2) the landlord of the premises or an agent authorized by the landlord to accept service of process and receive and give receipt for notices and demands.</w:t>
      </w:r>
    </w:p>
    <w:p w14:paraId="35253E0A" w14:textId="70C9CA0A" w:rsidR="00097FD0" w:rsidRPr="00097FD0" w:rsidRDefault="00AC4916" w:rsidP="00097FD0">
      <w:pPr>
        <w:pStyle w:val="NormalWeb"/>
        <w:shd w:val="clear" w:color="auto" w:fill="FFFFFF"/>
        <w:spacing w:before="48" w:beforeAutospacing="0" w:after="120" w:afterAutospacing="0"/>
        <w:ind w:left="720"/>
        <w:rPr>
          <w:color w:val="000000"/>
          <w:sz w:val="28"/>
          <w:szCs w:val="28"/>
        </w:rPr>
      </w:pPr>
      <w:r w:rsidRPr="00097FD0">
        <w:rPr>
          <w:color w:val="000000"/>
          <w:sz w:val="28"/>
          <w:szCs w:val="28"/>
        </w:rPr>
        <w:t>Subd. 2.</w:t>
      </w:r>
      <w:r w:rsidR="00097FD0" w:rsidRPr="00097FD0">
        <w:rPr>
          <w:b/>
          <w:bCs/>
          <w:color w:val="000000"/>
          <w:sz w:val="28"/>
          <w:szCs w:val="28"/>
        </w:rPr>
        <w:t xml:space="preserve"> </w:t>
      </w:r>
      <w:r w:rsidRPr="00097FD0">
        <w:rPr>
          <w:rStyle w:val="headnote"/>
          <w:b/>
          <w:bCs/>
          <w:color w:val="000000"/>
          <w:sz w:val="28"/>
          <w:szCs w:val="28"/>
        </w:rPr>
        <w:t>Posting of notice.</w:t>
      </w:r>
      <w:r w:rsidRPr="00AF452D">
        <w:rPr>
          <w:rStyle w:val="headnote"/>
          <w:color w:val="000000"/>
          <w:sz w:val="28"/>
          <w:szCs w:val="28"/>
        </w:rPr>
        <w:t xml:space="preserve"> </w:t>
      </w:r>
      <w:r w:rsidRPr="00097FD0">
        <w:rPr>
          <w:color w:val="000000"/>
          <w:sz w:val="28"/>
          <w:szCs w:val="28"/>
        </w:rPr>
        <w:t>A printed or typewritten notice containing the information which must be disclosed under subdivision 1 shall be placed in a conspicuous place on the premises.</w:t>
      </w:r>
    </w:p>
    <w:p w14:paraId="685F4FB3" w14:textId="65124D72" w:rsidR="000C7A67" w:rsidRPr="00AF452D" w:rsidRDefault="00AC4916" w:rsidP="005F7A04">
      <w:pPr>
        <w:rPr>
          <w:rFonts w:ascii="Times New Roman" w:hAnsi="Times New Roman" w:cs="Times New Roman"/>
          <w:color w:val="000000"/>
          <w:sz w:val="28"/>
          <w:szCs w:val="28"/>
        </w:rPr>
      </w:pPr>
      <w:r w:rsidRPr="00AF452D">
        <w:rPr>
          <w:rFonts w:ascii="Times New Roman" w:hAnsi="Times New Roman" w:cs="Times New Roman"/>
          <w:color w:val="000000"/>
          <w:sz w:val="28"/>
          <w:szCs w:val="28"/>
        </w:rPr>
        <w:t>LMC’s concern is that if it doesn’t know an invitee (</w:t>
      </w:r>
      <w:r w:rsidR="00AE767C" w:rsidRPr="00AF452D">
        <w:rPr>
          <w:rFonts w:ascii="Times New Roman" w:hAnsi="Times New Roman" w:cs="Times New Roman"/>
          <w:color w:val="000000"/>
          <w:sz w:val="28"/>
          <w:szCs w:val="28"/>
        </w:rPr>
        <w:t>e.g.,</w:t>
      </w:r>
      <w:r w:rsidRPr="00AF452D">
        <w:rPr>
          <w:rFonts w:ascii="Times New Roman" w:hAnsi="Times New Roman" w:cs="Times New Roman"/>
          <w:color w:val="000000"/>
          <w:sz w:val="28"/>
          <w:szCs w:val="28"/>
        </w:rPr>
        <w:t xml:space="preserve"> Quinn) is present, how can it disclose to her the authorized manager and agent for service of process</w:t>
      </w:r>
      <w:r w:rsidR="00B65058" w:rsidRPr="00AF452D">
        <w:rPr>
          <w:rFonts w:ascii="Times New Roman" w:hAnsi="Times New Roman" w:cs="Times New Roman"/>
          <w:color w:val="000000"/>
          <w:sz w:val="28"/>
          <w:szCs w:val="28"/>
        </w:rPr>
        <w:t>? A simple answer is that the posted notice described in subdivision 2 accomplishes this. If the concern is subdivision 1’s requirement of disclosure prior to the commencement of the tenancy</w:t>
      </w:r>
      <w:r w:rsidR="001A2976" w:rsidRPr="00AF452D">
        <w:rPr>
          <w:rFonts w:ascii="Times New Roman" w:hAnsi="Times New Roman" w:cs="Times New Roman"/>
          <w:color w:val="000000"/>
          <w:sz w:val="28"/>
          <w:szCs w:val="28"/>
        </w:rPr>
        <w:t xml:space="preserve">, when the invitee, as in Quinn’s case, moves in later, there is no problem. Indeed, the invitee cannot be an “other regular occupant” at the start of the tenancy or before it starts because to be </w:t>
      </w:r>
      <w:proofErr w:type="gramStart"/>
      <w:r w:rsidR="001A2976" w:rsidRPr="00AF452D">
        <w:rPr>
          <w:rFonts w:ascii="Times New Roman" w:hAnsi="Times New Roman" w:cs="Times New Roman"/>
          <w:color w:val="000000"/>
          <w:sz w:val="28"/>
          <w:szCs w:val="28"/>
        </w:rPr>
        <w:t>a</w:t>
      </w:r>
      <w:r w:rsidR="00A167F6">
        <w:rPr>
          <w:rFonts w:ascii="Times New Roman" w:hAnsi="Times New Roman" w:cs="Times New Roman"/>
          <w:color w:val="000000"/>
          <w:sz w:val="28"/>
          <w:szCs w:val="28"/>
        </w:rPr>
        <w:t>n other</w:t>
      </w:r>
      <w:proofErr w:type="gramEnd"/>
      <w:r w:rsidR="001A2976" w:rsidRPr="00AF452D">
        <w:rPr>
          <w:rFonts w:ascii="Times New Roman" w:hAnsi="Times New Roman" w:cs="Times New Roman"/>
          <w:color w:val="000000"/>
          <w:sz w:val="28"/>
          <w:szCs w:val="28"/>
        </w:rPr>
        <w:t xml:space="preserve"> regular occupant some time must pass. There is no actual problem</w:t>
      </w:r>
      <w:r w:rsidR="006B0EAE" w:rsidRPr="00AF452D">
        <w:rPr>
          <w:rFonts w:ascii="Times New Roman" w:hAnsi="Times New Roman" w:cs="Times New Roman"/>
          <w:color w:val="000000"/>
          <w:sz w:val="28"/>
          <w:szCs w:val="28"/>
        </w:rPr>
        <w:t>; the landlord simply makes the disclosure to the leaseholder when he signs the lease.</w:t>
      </w:r>
    </w:p>
    <w:p w14:paraId="517F09E6" w14:textId="2186323C" w:rsidR="002407C6" w:rsidRDefault="00E748CD" w:rsidP="005F7A04">
      <w:pPr>
        <w:rPr>
          <w:rFonts w:ascii="Times New Roman" w:hAnsi="Times New Roman" w:cs="Times New Roman"/>
          <w:color w:val="000000"/>
          <w:sz w:val="28"/>
          <w:szCs w:val="28"/>
        </w:rPr>
      </w:pPr>
      <w:r w:rsidRPr="00AF452D">
        <w:rPr>
          <w:rFonts w:ascii="Times New Roman" w:hAnsi="Times New Roman" w:cs="Times New Roman"/>
          <w:color w:val="000000"/>
          <w:sz w:val="28"/>
          <w:szCs w:val="28"/>
        </w:rPr>
        <w:t xml:space="preserve">There are several other statutes in chapter 504B </w:t>
      </w:r>
      <w:r w:rsidR="00A167F6">
        <w:rPr>
          <w:rFonts w:ascii="Times New Roman" w:hAnsi="Times New Roman" w:cs="Times New Roman"/>
          <w:color w:val="000000"/>
          <w:sz w:val="28"/>
          <w:szCs w:val="28"/>
        </w:rPr>
        <w:t>that include</w:t>
      </w:r>
      <w:r w:rsidRPr="00AF452D">
        <w:rPr>
          <w:rFonts w:ascii="Times New Roman" w:hAnsi="Times New Roman" w:cs="Times New Roman"/>
          <w:color w:val="000000"/>
          <w:sz w:val="28"/>
          <w:szCs w:val="28"/>
        </w:rPr>
        <w:t xml:space="preserve"> the phrase “residential tenant”.</w:t>
      </w:r>
      <w:r w:rsidR="00A167F6">
        <w:rPr>
          <w:rFonts w:ascii="Times New Roman" w:hAnsi="Times New Roman" w:cs="Times New Roman"/>
          <w:color w:val="000000"/>
          <w:sz w:val="28"/>
          <w:szCs w:val="28"/>
        </w:rPr>
        <w:t xml:space="preserve"> They are discussed below.</w:t>
      </w:r>
    </w:p>
    <w:p w14:paraId="57D51E78" w14:textId="5C4A5EFB" w:rsidR="00097FD0" w:rsidRPr="00AF452D" w:rsidRDefault="00097FD0" w:rsidP="00097FD0">
      <w:pPr>
        <w:ind w:left="720" w:firstLine="720"/>
        <w:rPr>
          <w:rFonts w:ascii="Times New Roman" w:hAnsi="Times New Roman" w:cs="Times New Roman"/>
          <w:color w:val="000000"/>
          <w:sz w:val="28"/>
          <w:szCs w:val="28"/>
        </w:rPr>
      </w:pPr>
      <w:r>
        <w:rPr>
          <w:rFonts w:ascii="Times New Roman" w:hAnsi="Times New Roman" w:cs="Times New Roman"/>
          <w:sz w:val="28"/>
          <w:szCs w:val="28"/>
          <w:u w:val="single"/>
          <w:shd w:val="clear" w:color="auto" w:fill="FFFFFF"/>
        </w:rPr>
        <w:t>TRA and related statutes</w:t>
      </w:r>
    </w:p>
    <w:p w14:paraId="12024B28" w14:textId="19E3D343" w:rsidR="006B0EAE" w:rsidRDefault="00A167F6" w:rsidP="005F7A04">
      <w:pPr>
        <w:rPr>
          <w:rFonts w:ascii="Times New Roman" w:hAnsi="Times New Roman" w:cs="Times New Roman"/>
          <w:sz w:val="28"/>
          <w:szCs w:val="28"/>
          <w:shd w:val="clear" w:color="auto" w:fill="FFFFFF"/>
        </w:rPr>
      </w:pPr>
      <w:r>
        <w:rPr>
          <w:rFonts w:ascii="Times New Roman" w:hAnsi="Times New Roman" w:cs="Times New Roman"/>
          <w:color w:val="000000"/>
          <w:sz w:val="28"/>
          <w:szCs w:val="28"/>
        </w:rPr>
        <w:t>The</w:t>
      </w:r>
      <w:r w:rsidR="00E748CD" w:rsidRPr="00AF452D">
        <w:rPr>
          <w:rFonts w:ascii="Times New Roman" w:hAnsi="Times New Roman" w:cs="Times New Roman"/>
          <w:color w:val="000000"/>
          <w:sz w:val="28"/>
          <w:szCs w:val="28"/>
        </w:rPr>
        <w:t xml:space="preserve"> TRA</w:t>
      </w:r>
      <w:r w:rsidR="002407C6" w:rsidRPr="00AF452D">
        <w:rPr>
          <w:rFonts w:ascii="Times New Roman" w:hAnsi="Times New Roman" w:cs="Times New Roman"/>
          <w:color w:val="000000"/>
          <w:sz w:val="28"/>
          <w:szCs w:val="28"/>
        </w:rPr>
        <w:t xml:space="preserve"> </w:t>
      </w:r>
      <w:r w:rsidR="00625407">
        <w:rPr>
          <w:rFonts w:ascii="Times New Roman" w:hAnsi="Times New Roman" w:cs="Times New Roman"/>
          <w:color w:val="000000"/>
          <w:sz w:val="28"/>
          <w:szCs w:val="28"/>
        </w:rPr>
        <w:t>and</w:t>
      </w:r>
      <w:r w:rsidR="002407C6" w:rsidRPr="00AF452D">
        <w:rPr>
          <w:rFonts w:ascii="Times New Roman" w:hAnsi="Times New Roman" w:cs="Times New Roman"/>
          <w:color w:val="000000"/>
          <w:sz w:val="28"/>
          <w:szCs w:val="28"/>
        </w:rPr>
        <w:t xml:space="preserve"> the closely related Emergency Tenant Remedies Action</w:t>
      </w:r>
      <w:r w:rsidR="00E748CD" w:rsidRPr="00AF452D">
        <w:rPr>
          <w:rFonts w:ascii="Times New Roman" w:hAnsi="Times New Roman" w:cs="Times New Roman"/>
          <w:color w:val="000000"/>
          <w:sz w:val="28"/>
          <w:szCs w:val="28"/>
        </w:rPr>
        <w:t xml:space="preserve"> </w:t>
      </w:r>
      <w:r w:rsidR="002407C6" w:rsidRPr="00AF452D">
        <w:rPr>
          <w:rFonts w:ascii="Times New Roman" w:hAnsi="Times New Roman" w:cs="Times New Roman"/>
          <w:color w:val="000000"/>
          <w:sz w:val="28"/>
          <w:szCs w:val="28"/>
        </w:rPr>
        <w:t xml:space="preserve">and Rent Escrow Action </w:t>
      </w:r>
      <w:r w:rsidR="00E748CD" w:rsidRPr="00AF452D">
        <w:rPr>
          <w:rFonts w:ascii="Times New Roman" w:hAnsi="Times New Roman" w:cs="Times New Roman"/>
          <w:color w:val="000000"/>
          <w:sz w:val="28"/>
          <w:szCs w:val="28"/>
        </w:rPr>
        <w:t xml:space="preserve">-- </w:t>
      </w:r>
      <w:r w:rsidR="00E748CD" w:rsidRPr="00AF452D">
        <w:rPr>
          <w:rFonts w:ascii="Times New Roman" w:hAnsi="Times New Roman" w:cs="Times New Roman"/>
          <w:sz w:val="28"/>
          <w:szCs w:val="28"/>
          <w:shd w:val="clear" w:color="auto" w:fill="FFFFFF"/>
        </w:rPr>
        <w:t>Minn. Stat. §504B.185</w:t>
      </w:r>
      <w:r w:rsidR="002407C6" w:rsidRPr="00AF452D">
        <w:rPr>
          <w:rFonts w:ascii="Times New Roman" w:hAnsi="Times New Roman" w:cs="Times New Roman"/>
          <w:sz w:val="28"/>
          <w:szCs w:val="28"/>
          <w:shd w:val="clear" w:color="auto" w:fill="FFFFFF"/>
        </w:rPr>
        <w:t xml:space="preserve"> and Minn. Stat. §504B.3</w:t>
      </w:r>
      <w:r w:rsidR="00685F94">
        <w:rPr>
          <w:rFonts w:ascii="Times New Roman" w:hAnsi="Times New Roman" w:cs="Times New Roman"/>
          <w:sz w:val="28"/>
          <w:szCs w:val="28"/>
          <w:shd w:val="clear" w:color="auto" w:fill="FFFFFF"/>
        </w:rPr>
        <w:t>81</w:t>
      </w:r>
      <w:r w:rsidR="002407C6" w:rsidRPr="00AF452D">
        <w:rPr>
          <w:rFonts w:ascii="Times New Roman" w:hAnsi="Times New Roman" w:cs="Times New Roman"/>
          <w:sz w:val="28"/>
          <w:szCs w:val="28"/>
          <w:shd w:val="clear" w:color="auto" w:fill="FFFFFF"/>
        </w:rPr>
        <w:t xml:space="preserve"> to Minn. Stat. §504B.471</w:t>
      </w:r>
      <w:r>
        <w:rPr>
          <w:rFonts w:ascii="Times New Roman" w:hAnsi="Times New Roman" w:cs="Times New Roman"/>
          <w:sz w:val="28"/>
          <w:szCs w:val="28"/>
          <w:shd w:val="clear" w:color="auto" w:fill="FFFFFF"/>
        </w:rPr>
        <w:t xml:space="preserve"> -- </w:t>
      </w:r>
      <w:r w:rsidR="002407C6" w:rsidRPr="00AF452D">
        <w:rPr>
          <w:rFonts w:ascii="Times New Roman" w:hAnsi="Times New Roman" w:cs="Times New Roman"/>
          <w:sz w:val="28"/>
          <w:szCs w:val="28"/>
          <w:shd w:val="clear" w:color="auto" w:fill="FFFFFF"/>
        </w:rPr>
        <w:t xml:space="preserve">obviously raise no concern as discussed at length in Part </w:t>
      </w:r>
      <w:r w:rsidR="001137FD">
        <w:rPr>
          <w:rFonts w:ascii="Times New Roman" w:hAnsi="Times New Roman" w:cs="Times New Roman"/>
          <w:sz w:val="28"/>
          <w:szCs w:val="28"/>
          <w:shd w:val="clear" w:color="auto" w:fill="FFFFFF"/>
        </w:rPr>
        <w:t>1.</w:t>
      </w:r>
    </w:p>
    <w:p w14:paraId="7ABF965F" w14:textId="25DAD63F" w:rsidR="00097FD0" w:rsidRPr="008942D9" w:rsidRDefault="00097FD0" w:rsidP="005F7A04">
      <w:pPr>
        <w:rPr>
          <w:rFonts w:ascii="Times New Roman" w:hAnsi="Times New Roman" w:cs="Times New Roman"/>
          <w:sz w:val="28"/>
          <w:szCs w:val="28"/>
          <w:u w:val="single"/>
          <w:shd w:val="clear" w:color="auto" w:fill="FFFFFF"/>
        </w:rPr>
      </w:pPr>
      <w:r>
        <w:rPr>
          <w:rFonts w:ascii="Times New Roman" w:hAnsi="Times New Roman" w:cs="Times New Roman"/>
          <w:sz w:val="28"/>
          <w:szCs w:val="28"/>
          <w:shd w:val="clear" w:color="auto" w:fill="FFFFFF"/>
        </w:rPr>
        <w:tab/>
      </w:r>
      <w:r>
        <w:rPr>
          <w:rFonts w:ascii="Times New Roman" w:hAnsi="Times New Roman" w:cs="Times New Roman"/>
          <w:sz w:val="28"/>
          <w:szCs w:val="28"/>
          <w:shd w:val="clear" w:color="auto" w:fill="FFFFFF"/>
        </w:rPr>
        <w:tab/>
      </w:r>
      <w:r w:rsidRPr="008942D9">
        <w:rPr>
          <w:rFonts w:ascii="Times New Roman" w:hAnsi="Times New Roman" w:cs="Times New Roman"/>
          <w:sz w:val="28"/>
          <w:szCs w:val="28"/>
          <w:u w:val="single"/>
          <w:shd w:val="clear" w:color="auto" w:fill="FFFFFF"/>
        </w:rPr>
        <w:t>Tenant-screening</w:t>
      </w:r>
      <w:r w:rsidR="008942D9" w:rsidRPr="008942D9">
        <w:rPr>
          <w:rFonts w:ascii="Times New Roman" w:hAnsi="Times New Roman" w:cs="Times New Roman"/>
          <w:sz w:val="28"/>
          <w:szCs w:val="28"/>
          <w:u w:val="single"/>
          <w:shd w:val="clear" w:color="auto" w:fill="FFFFFF"/>
        </w:rPr>
        <w:t>/credit</w:t>
      </w:r>
      <w:r w:rsidR="008942D9">
        <w:rPr>
          <w:rFonts w:ascii="Times New Roman" w:hAnsi="Times New Roman" w:cs="Times New Roman"/>
          <w:sz w:val="28"/>
          <w:szCs w:val="28"/>
          <w:u w:val="single"/>
          <w:shd w:val="clear" w:color="auto" w:fill="FFFFFF"/>
        </w:rPr>
        <w:t>-</w:t>
      </w:r>
      <w:r w:rsidR="008942D9" w:rsidRPr="008942D9">
        <w:rPr>
          <w:rFonts w:ascii="Times New Roman" w:hAnsi="Times New Roman" w:cs="Times New Roman"/>
          <w:sz w:val="28"/>
          <w:szCs w:val="28"/>
          <w:u w:val="single"/>
          <w:shd w:val="clear" w:color="auto" w:fill="FFFFFF"/>
        </w:rPr>
        <w:t>bureau statutes</w:t>
      </w:r>
      <w:r w:rsidRPr="008942D9">
        <w:rPr>
          <w:rFonts w:ascii="Times New Roman" w:hAnsi="Times New Roman" w:cs="Times New Roman"/>
          <w:sz w:val="28"/>
          <w:szCs w:val="28"/>
          <w:u w:val="single"/>
          <w:shd w:val="clear" w:color="auto" w:fill="FFFFFF"/>
        </w:rPr>
        <w:t xml:space="preserve"> </w:t>
      </w:r>
    </w:p>
    <w:p w14:paraId="12F82E49" w14:textId="16EF9BAA" w:rsidR="002407C6" w:rsidRDefault="009E62EC"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 xml:space="preserve">Minn. Stat. </w:t>
      </w:r>
      <w:r w:rsidR="00F13386" w:rsidRPr="00AF452D">
        <w:rPr>
          <w:rFonts w:ascii="Times New Roman" w:hAnsi="Times New Roman" w:cs="Times New Roman"/>
          <w:sz w:val="28"/>
          <w:szCs w:val="28"/>
          <w:shd w:val="clear" w:color="auto" w:fill="FFFFFF"/>
        </w:rPr>
        <w:t>§</w:t>
      </w:r>
      <w:r w:rsidRPr="00AF452D">
        <w:rPr>
          <w:rFonts w:ascii="Times New Roman" w:hAnsi="Times New Roman" w:cs="Times New Roman"/>
          <w:sz w:val="28"/>
          <w:szCs w:val="28"/>
          <w:shd w:val="clear" w:color="auto" w:fill="FFFFFF"/>
        </w:rPr>
        <w:t>§ 504B.235</w:t>
      </w:r>
      <w:r w:rsidR="00F13386">
        <w:rPr>
          <w:rFonts w:ascii="Times New Roman" w:hAnsi="Times New Roman" w:cs="Times New Roman"/>
          <w:sz w:val="28"/>
          <w:szCs w:val="28"/>
          <w:shd w:val="clear" w:color="auto" w:fill="FFFFFF"/>
        </w:rPr>
        <w:t xml:space="preserve"> to </w:t>
      </w:r>
      <w:r w:rsidRPr="00AF452D">
        <w:rPr>
          <w:rFonts w:ascii="Times New Roman" w:hAnsi="Times New Roman" w:cs="Times New Roman"/>
          <w:sz w:val="28"/>
          <w:szCs w:val="28"/>
          <w:shd w:val="clear" w:color="auto" w:fill="FFFFFF"/>
        </w:rPr>
        <w:t>504B.245 regulate</w:t>
      </w:r>
      <w:r w:rsidR="001137FD">
        <w:rPr>
          <w:rFonts w:ascii="Times New Roman" w:hAnsi="Times New Roman" w:cs="Times New Roman"/>
          <w:sz w:val="28"/>
          <w:szCs w:val="28"/>
          <w:shd w:val="clear" w:color="auto" w:fill="FFFFFF"/>
        </w:rPr>
        <w:t xml:space="preserve"> how</w:t>
      </w:r>
      <w:r w:rsidRPr="00AF452D">
        <w:rPr>
          <w:rFonts w:ascii="Times New Roman" w:hAnsi="Times New Roman" w:cs="Times New Roman"/>
          <w:sz w:val="28"/>
          <w:szCs w:val="28"/>
          <w:shd w:val="clear" w:color="auto" w:fill="FFFFFF"/>
        </w:rPr>
        <w:t xml:space="preserve"> </w:t>
      </w:r>
      <w:r w:rsidR="001137FD">
        <w:rPr>
          <w:rFonts w:ascii="Times New Roman" w:hAnsi="Times New Roman" w:cs="Times New Roman"/>
          <w:sz w:val="28"/>
          <w:szCs w:val="28"/>
          <w:shd w:val="clear" w:color="auto" w:fill="FFFFFF"/>
        </w:rPr>
        <w:t>tenant-screening agencies (credit bureaus) must deal</w:t>
      </w:r>
      <w:r w:rsidR="008942D9">
        <w:rPr>
          <w:rFonts w:ascii="Times New Roman" w:hAnsi="Times New Roman" w:cs="Times New Roman"/>
          <w:sz w:val="28"/>
          <w:szCs w:val="28"/>
          <w:shd w:val="clear" w:color="auto" w:fill="FFFFFF"/>
        </w:rPr>
        <w:t xml:space="preserve"> with applicants for </w:t>
      </w:r>
      <w:r w:rsidR="009B7689">
        <w:rPr>
          <w:rFonts w:ascii="Times New Roman" w:hAnsi="Times New Roman" w:cs="Times New Roman"/>
          <w:sz w:val="28"/>
          <w:szCs w:val="28"/>
          <w:shd w:val="clear" w:color="auto" w:fill="FFFFFF"/>
        </w:rPr>
        <w:t>leases</w:t>
      </w:r>
      <w:r w:rsidRPr="00AF452D">
        <w:rPr>
          <w:rFonts w:ascii="Times New Roman" w:hAnsi="Times New Roman" w:cs="Times New Roman"/>
          <w:sz w:val="28"/>
          <w:szCs w:val="28"/>
          <w:shd w:val="clear" w:color="auto" w:fill="FFFFFF"/>
        </w:rPr>
        <w:t>. The</w:t>
      </w:r>
      <w:r w:rsidR="001137FD">
        <w:rPr>
          <w:rFonts w:ascii="Times New Roman" w:hAnsi="Times New Roman" w:cs="Times New Roman"/>
          <w:sz w:val="28"/>
          <w:szCs w:val="28"/>
          <w:shd w:val="clear" w:color="auto" w:fill="FFFFFF"/>
        </w:rPr>
        <w:t>se</w:t>
      </w:r>
      <w:r w:rsidRPr="00AF452D">
        <w:rPr>
          <w:rFonts w:ascii="Times New Roman" w:hAnsi="Times New Roman" w:cs="Times New Roman"/>
          <w:sz w:val="28"/>
          <w:szCs w:val="28"/>
          <w:shd w:val="clear" w:color="auto" w:fill="FFFFFF"/>
        </w:rPr>
        <w:t xml:space="preserve"> </w:t>
      </w:r>
      <w:r w:rsidR="001137FD">
        <w:rPr>
          <w:rFonts w:ascii="Times New Roman" w:hAnsi="Times New Roman" w:cs="Times New Roman"/>
          <w:sz w:val="28"/>
          <w:szCs w:val="28"/>
          <w:shd w:val="clear" w:color="auto" w:fill="FFFFFF"/>
        </w:rPr>
        <w:t>agencies’</w:t>
      </w:r>
      <w:r w:rsidRPr="00AF452D">
        <w:rPr>
          <w:rFonts w:ascii="Times New Roman" w:hAnsi="Times New Roman" w:cs="Times New Roman"/>
          <w:sz w:val="28"/>
          <w:szCs w:val="28"/>
          <w:shd w:val="clear" w:color="auto" w:fill="FFFFFF"/>
        </w:rPr>
        <w:t xml:space="preserve"> reports depend on the credit records of the consumers</w:t>
      </w:r>
      <w:r w:rsidR="009B7689">
        <w:rPr>
          <w:rFonts w:ascii="Times New Roman" w:hAnsi="Times New Roman" w:cs="Times New Roman"/>
          <w:sz w:val="28"/>
          <w:szCs w:val="28"/>
          <w:shd w:val="clear" w:color="auto" w:fill="FFFFFF"/>
        </w:rPr>
        <w:t>, called “residential tenants” in the three statutes.</w:t>
      </w:r>
      <w:r w:rsidRPr="00AF452D">
        <w:rPr>
          <w:rFonts w:ascii="Times New Roman" w:hAnsi="Times New Roman" w:cs="Times New Roman"/>
          <w:sz w:val="28"/>
          <w:szCs w:val="28"/>
          <w:shd w:val="clear" w:color="auto" w:fill="FFFFFF"/>
        </w:rPr>
        <w:t xml:space="preserve"> </w:t>
      </w:r>
      <w:r w:rsidR="009B7689">
        <w:rPr>
          <w:rFonts w:ascii="Times New Roman" w:hAnsi="Times New Roman" w:cs="Times New Roman"/>
          <w:sz w:val="28"/>
          <w:szCs w:val="28"/>
          <w:shd w:val="clear" w:color="auto" w:fill="FFFFFF"/>
        </w:rPr>
        <w:t>W</w:t>
      </w:r>
      <w:r w:rsidRPr="00AF452D">
        <w:rPr>
          <w:rFonts w:ascii="Times New Roman" w:hAnsi="Times New Roman" w:cs="Times New Roman"/>
          <w:sz w:val="28"/>
          <w:szCs w:val="28"/>
          <w:shd w:val="clear" w:color="auto" w:fill="FFFFFF"/>
        </w:rPr>
        <w:t xml:space="preserve">hether the consumer </w:t>
      </w:r>
      <w:r w:rsidR="009B7689">
        <w:rPr>
          <w:rFonts w:ascii="Times New Roman" w:hAnsi="Times New Roman" w:cs="Times New Roman"/>
          <w:sz w:val="28"/>
          <w:szCs w:val="28"/>
          <w:shd w:val="clear" w:color="auto" w:fill="FFFFFF"/>
        </w:rPr>
        <w:t>is or was</w:t>
      </w:r>
      <w:r w:rsidRPr="00AF452D">
        <w:rPr>
          <w:rFonts w:ascii="Times New Roman" w:hAnsi="Times New Roman" w:cs="Times New Roman"/>
          <w:sz w:val="28"/>
          <w:szCs w:val="28"/>
          <w:shd w:val="clear" w:color="auto" w:fill="FFFFFF"/>
        </w:rPr>
        <w:t xml:space="preserve"> a traditional tenant or </w:t>
      </w:r>
      <w:proofErr w:type="spellStart"/>
      <w:proofErr w:type="gramStart"/>
      <w:r w:rsidRPr="00AF452D">
        <w:rPr>
          <w:rFonts w:ascii="Times New Roman" w:hAnsi="Times New Roman" w:cs="Times New Roman"/>
          <w:sz w:val="28"/>
          <w:szCs w:val="28"/>
          <w:shd w:val="clear" w:color="auto" w:fill="FFFFFF"/>
        </w:rPr>
        <w:t>an other</w:t>
      </w:r>
      <w:proofErr w:type="spellEnd"/>
      <w:proofErr w:type="gramEnd"/>
      <w:r w:rsidRPr="00AF452D">
        <w:rPr>
          <w:rFonts w:ascii="Times New Roman" w:hAnsi="Times New Roman" w:cs="Times New Roman"/>
          <w:sz w:val="28"/>
          <w:szCs w:val="28"/>
          <w:shd w:val="clear" w:color="auto" w:fill="FFFFFF"/>
        </w:rPr>
        <w:t xml:space="preserve"> regular occupant</w:t>
      </w:r>
      <w:r w:rsidR="009B7689">
        <w:rPr>
          <w:rFonts w:ascii="Times New Roman" w:hAnsi="Times New Roman" w:cs="Times New Roman"/>
          <w:sz w:val="28"/>
          <w:szCs w:val="28"/>
          <w:shd w:val="clear" w:color="auto" w:fill="FFFFFF"/>
        </w:rPr>
        <w:t xml:space="preserve"> should pose no problem when the agency prepares its report.</w:t>
      </w:r>
    </w:p>
    <w:p w14:paraId="4A184A13" w14:textId="77777777" w:rsidR="00A167F6" w:rsidRDefault="00A167F6" w:rsidP="005F7A04">
      <w:pPr>
        <w:rPr>
          <w:rFonts w:ascii="Times New Roman" w:hAnsi="Times New Roman" w:cs="Times New Roman"/>
          <w:sz w:val="28"/>
          <w:szCs w:val="28"/>
          <w:shd w:val="clear" w:color="auto" w:fill="FFFFFF"/>
        </w:rPr>
      </w:pPr>
    </w:p>
    <w:p w14:paraId="16FFC30F" w14:textId="77777777" w:rsidR="00A167F6" w:rsidRDefault="00A167F6" w:rsidP="005F7A04">
      <w:pPr>
        <w:rPr>
          <w:rFonts w:ascii="Times New Roman" w:hAnsi="Times New Roman" w:cs="Times New Roman"/>
          <w:sz w:val="28"/>
          <w:szCs w:val="28"/>
          <w:shd w:val="clear" w:color="auto" w:fill="FFFFFF"/>
        </w:rPr>
      </w:pPr>
    </w:p>
    <w:p w14:paraId="335B6143" w14:textId="68B9137B" w:rsidR="008942D9" w:rsidRPr="00AF452D" w:rsidRDefault="008942D9" w:rsidP="008942D9">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lastRenderedPageBreak/>
        <w:t>Minn. Stat. §504B.</w:t>
      </w:r>
      <w:r>
        <w:rPr>
          <w:rFonts w:ascii="Times New Roman" w:hAnsi="Times New Roman" w:cs="Times New Roman"/>
          <w:sz w:val="28"/>
          <w:szCs w:val="28"/>
          <w:u w:val="single"/>
          <w:shd w:val="clear" w:color="auto" w:fill="FFFFFF"/>
        </w:rPr>
        <w:t>205</w:t>
      </w:r>
    </w:p>
    <w:p w14:paraId="15CEE423" w14:textId="5D994B88" w:rsidR="009E62EC" w:rsidRDefault="00C9221A"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 xml:space="preserve">Minn. Stat. §504B.205 prohibits landlords from punishing “residential tenants” who contact police and other emergency personal for help. Landlords will have no problem obeying this statute regardless the exact status of the person asking for help – just don’t punish </w:t>
      </w:r>
      <w:r w:rsidR="008942D9">
        <w:rPr>
          <w:rFonts w:ascii="Times New Roman" w:hAnsi="Times New Roman" w:cs="Times New Roman"/>
          <w:sz w:val="28"/>
          <w:szCs w:val="28"/>
          <w:shd w:val="clear" w:color="auto" w:fill="FFFFFF"/>
        </w:rPr>
        <w:t xml:space="preserve">the person </w:t>
      </w:r>
      <w:r w:rsidRPr="00AF452D">
        <w:rPr>
          <w:rFonts w:ascii="Times New Roman" w:hAnsi="Times New Roman" w:cs="Times New Roman"/>
          <w:sz w:val="28"/>
          <w:szCs w:val="28"/>
          <w:shd w:val="clear" w:color="auto" w:fill="FFFFFF"/>
        </w:rPr>
        <w:t>for making the contact.</w:t>
      </w:r>
    </w:p>
    <w:p w14:paraId="6DFD1578" w14:textId="076DE799" w:rsidR="008942D9" w:rsidRPr="00AF452D" w:rsidRDefault="008942D9" w:rsidP="008942D9">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t>Minn. Stat. §504B.</w:t>
      </w:r>
      <w:r>
        <w:rPr>
          <w:rFonts w:ascii="Times New Roman" w:hAnsi="Times New Roman" w:cs="Times New Roman"/>
          <w:sz w:val="28"/>
          <w:szCs w:val="28"/>
          <w:u w:val="single"/>
          <w:shd w:val="clear" w:color="auto" w:fill="FFFFFF"/>
        </w:rPr>
        <w:t>211</w:t>
      </w:r>
    </w:p>
    <w:p w14:paraId="17154708" w14:textId="25E3CF39" w:rsidR="00C9221A" w:rsidRDefault="00D64166" w:rsidP="005F7A04">
      <w:pPr>
        <w:rPr>
          <w:rFonts w:ascii="Times New Roman" w:hAnsi="Times New Roman" w:cs="Times New Roman"/>
          <w:color w:val="000000"/>
          <w:sz w:val="28"/>
          <w:szCs w:val="28"/>
          <w:shd w:val="clear" w:color="auto" w:fill="FFFFFF"/>
        </w:rPr>
      </w:pPr>
      <w:r w:rsidRPr="00AF452D">
        <w:rPr>
          <w:rFonts w:ascii="Times New Roman" w:hAnsi="Times New Roman" w:cs="Times New Roman"/>
          <w:sz w:val="28"/>
          <w:szCs w:val="28"/>
          <w:shd w:val="clear" w:color="auto" w:fill="FFFFFF"/>
        </w:rPr>
        <w:t>Minn. Stat. §504B.211 says that landlord who wants to enter a tenant’s unit for a valid, non-emergency business reason (e.g.</w:t>
      </w:r>
      <w:r w:rsidR="00E62BA9">
        <w:rPr>
          <w:rFonts w:ascii="Times New Roman" w:hAnsi="Times New Roman" w:cs="Times New Roman"/>
          <w:sz w:val="28"/>
          <w:szCs w:val="28"/>
          <w:shd w:val="clear" w:color="auto" w:fill="FFFFFF"/>
        </w:rPr>
        <w:t xml:space="preserve">, </w:t>
      </w:r>
      <w:r w:rsidRPr="00AF452D">
        <w:rPr>
          <w:rFonts w:ascii="Times New Roman" w:hAnsi="Times New Roman" w:cs="Times New Roman"/>
          <w:sz w:val="28"/>
          <w:szCs w:val="28"/>
          <w:shd w:val="clear" w:color="auto" w:fill="FFFFFF"/>
        </w:rPr>
        <w:t>repairs) must make “</w:t>
      </w:r>
      <w:r w:rsidRPr="00AF452D">
        <w:rPr>
          <w:rFonts w:ascii="Times New Roman" w:hAnsi="Times New Roman" w:cs="Times New Roman"/>
          <w:color w:val="000000"/>
          <w:sz w:val="28"/>
          <w:szCs w:val="28"/>
          <w:shd w:val="clear" w:color="auto" w:fill="FFFFFF"/>
        </w:rPr>
        <w:t xml:space="preserve">a good faith effort to give the residential tenant reasonable notice under the circumstances of the intent to enter.” If the landlord doesn’t know there is an invitee who is </w:t>
      </w:r>
      <w:proofErr w:type="gramStart"/>
      <w:r w:rsidRPr="00AF452D">
        <w:rPr>
          <w:rFonts w:ascii="Times New Roman" w:hAnsi="Times New Roman" w:cs="Times New Roman"/>
          <w:color w:val="000000"/>
          <w:sz w:val="28"/>
          <w:szCs w:val="28"/>
          <w:shd w:val="clear" w:color="auto" w:fill="FFFFFF"/>
        </w:rPr>
        <w:t>an other</w:t>
      </w:r>
      <w:proofErr w:type="gramEnd"/>
      <w:r w:rsidRPr="00AF452D">
        <w:rPr>
          <w:rFonts w:ascii="Times New Roman" w:hAnsi="Times New Roman" w:cs="Times New Roman"/>
          <w:color w:val="000000"/>
          <w:sz w:val="28"/>
          <w:szCs w:val="28"/>
          <w:shd w:val="clear" w:color="auto" w:fill="FFFFFF"/>
        </w:rPr>
        <w:t xml:space="preserve"> regular occupant, good faith requires no notice. If the landlord does </w:t>
      </w:r>
      <w:r w:rsidR="00625407">
        <w:rPr>
          <w:rFonts w:ascii="Times New Roman" w:hAnsi="Times New Roman" w:cs="Times New Roman"/>
          <w:color w:val="000000"/>
          <w:sz w:val="28"/>
          <w:szCs w:val="28"/>
          <w:shd w:val="clear" w:color="auto" w:fill="FFFFFF"/>
        </w:rPr>
        <w:t xml:space="preserve">know </w:t>
      </w:r>
      <w:r w:rsidRPr="00AF452D">
        <w:rPr>
          <w:rFonts w:ascii="Times New Roman" w:hAnsi="Times New Roman" w:cs="Times New Roman"/>
          <w:color w:val="000000"/>
          <w:sz w:val="28"/>
          <w:szCs w:val="28"/>
          <w:shd w:val="clear" w:color="auto" w:fill="FFFFFF"/>
        </w:rPr>
        <w:t>of such an invitee, the landlord can make such an effort just as it can with a traditional leaseholder. (</w:t>
      </w:r>
      <w:r w:rsidR="00625407">
        <w:rPr>
          <w:rFonts w:ascii="Times New Roman" w:hAnsi="Times New Roman" w:cs="Times New Roman"/>
          <w:color w:val="000000"/>
          <w:sz w:val="28"/>
          <w:szCs w:val="28"/>
          <w:shd w:val="clear" w:color="auto" w:fill="FFFFFF"/>
        </w:rPr>
        <w:t>I</w:t>
      </w:r>
      <w:r w:rsidRPr="00AF452D">
        <w:rPr>
          <w:rFonts w:ascii="Times New Roman" w:hAnsi="Times New Roman" w:cs="Times New Roman"/>
          <w:color w:val="000000"/>
          <w:sz w:val="28"/>
          <w:szCs w:val="28"/>
          <w:shd w:val="clear" w:color="auto" w:fill="FFFFFF"/>
        </w:rPr>
        <w:t>n most cases, what landlords do is to put a note under or on the apartment door, meaning the status of the humans behind that door doesn’t matter.)</w:t>
      </w:r>
    </w:p>
    <w:p w14:paraId="1303C9E4" w14:textId="2E2BA7D5" w:rsidR="008942D9" w:rsidRPr="008942D9" w:rsidRDefault="008942D9" w:rsidP="008942D9">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t>Minn. Stat. §504B.</w:t>
      </w:r>
      <w:r>
        <w:rPr>
          <w:rFonts w:ascii="Times New Roman" w:hAnsi="Times New Roman" w:cs="Times New Roman"/>
          <w:sz w:val="28"/>
          <w:szCs w:val="28"/>
          <w:u w:val="single"/>
          <w:shd w:val="clear" w:color="auto" w:fill="FFFFFF"/>
        </w:rPr>
        <w:t>215</w:t>
      </w:r>
    </w:p>
    <w:p w14:paraId="6B8DD339" w14:textId="537E365B" w:rsidR="00C67012" w:rsidRPr="00AF452D" w:rsidRDefault="00D600FD" w:rsidP="005F7A04">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 xml:space="preserve">Minn. Stat. §504B.215 uses the phrase “residential tenants” only once, in subdivision </w:t>
      </w:r>
      <w:r w:rsidR="00C67012" w:rsidRPr="00AF452D">
        <w:rPr>
          <w:rFonts w:ascii="Times New Roman" w:hAnsi="Times New Roman" w:cs="Times New Roman"/>
          <w:sz w:val="28"/>
          <w:szCs w:val="28"/>
          <w:shd w:val="clear" w:color="auto" w:fill="FFFFFF"/>
        </w:rPr>
        <w:t>3(e)</w:t>
      </w:r>
      <w:r w:rsidRPr="00AF452D">
        <w:rPr>
          <w:rFonts w:ascii="Times New Roman" w:hAnsi="Times New Roman" w:cs="Times New Roman"/>
          <w:sz w:val="28"/>
          <w:szCs w:val="28"/>
          <w:shd w:val="clear" w:color="auto" w:fill="FFFFFF"/>
        </w:rPr>
        <w:t xml:space="preserve">, which says, </w:t>
      </w:r>
    </w:p>
    <w:p w14:paraId="35143242" w14:textId="77777777" w:rsidR="00C67012" w:rsidRPr="00AF452D" w:rsidRDefault="00D600FD" w:rsidP="00C67012">
      <w:pPr>
        <w:ind w:left="720"/>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 xml:space="preserve">In a single-metered residential building, other residential tenants in the building may contribute payments to the utility company or municipality on the account of the tenant who is the customer of record under paragraph (b) or on the landlord's account under paragraph (c). </w:t>
      </w:r>
    </w:p>
    <w:p w14:paraId="4B42C8FC" w14:textId="1179BC69" w:rsidR="00D600FD" w:rsidRDefault="00D600FD" w:rsidP="005F7A04">
      <w:pPr>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 xml:space="preserve">This poses no </w:t>
      </w:r>
      <w:r w:rsidR="00C67012" w:rsidRPr="00AF452D">
        <w:rPr>
          <w:rFonts w:ascii="Times New Roman" w:hAnsi="Times New Roman" w:cs="Times New Roman"/>
          <w:color w:val="000000"/>
          <w:sz w:val="28"/>
          <w:szCs w:val="28"/>
          <w:shd w:val="clear" w:color="auto" w:fill="FFFFFF"/>
        </w:rPr>
        <w:t xml:space="preserve">statutory-construction </w:t>
      </w:r>
      <w:r w:rsidRPr="00AF452D">
        <w:rPr>
          <w:rFonts w:ascii="Times New Roman" w:hAnsi="Times New Roman" w:cs="Times New Roman"/>
          <w:color w:val="000000"/>
          <w:sz w:val="28"/>
          <w:szCs w:val="28"/>
          <w:shd w:val="clear" w:color="auto" w:fill="FFFFFF"/>
        </w:rPr>
        <w:t>problem</w:t>
      </w:r>
      <w:r w:rsidR="006518BB">
        <w:rPr>
          <w:rFonts w:ascii="Times New Roman" w:hAnsi="Times New Roman" w:cs="Times New Roman"/>
          <w:color w:val="000000"/>
          <w:sz w:val="28"/>
          <w:szCs w:val="28"/>
          <w:shd w:val="clear" w:color="auto" w:fill="FFFFFF"/>
        </w:rPr>
        <w:t>. I</w:t>
      </w:r>
      <w:r w:rsidRPr="00AF452D">
        <w:rPr>
          <w:rFonts w:ascii="Times New Roman" w:hAnsi="Times New Roman" w:cs="Times New Roman"/>
          <w:color w:val="000000"/>
          <w:sz w:val="28"/>
          <w:szCs w:val="28"/>
          <w:shd w:val="clear" w:color="auto" w:fill="FFFFFF"/>
        </w:rPr>
        <w:t>f an invitee like Quinn wants to chip in on a delinquent bill she can do so.</w:t>
      </w:r>
    </w:p>
    <w:p w14:paraId="3199C846" w14:textId="0ED9C985" w:rsidR="008942D9" w:rsidRPr="008942D9" w:rsidRDefault="008942D9" w:rsidP="008942D9">
      <w:pPr>
        <w:ind w:left="720" w:firstLine="720"/>
        <w:rPr>
          <w:rFonts w:ascii="Times New Roman" w:hAnsi="Times New Roman" w:cs="Times New Roman"/>
          <w:sz w:val="28"/>
          <w:szCs w:val="28"/>
          <w:shd w:val="clear" w:color="auto" w:fill="FFFFFF"/>
        </w:rPr>
      </w:pPr>
      <w:r w:rsidRPr="00097FD0">
        <w:rPr>
          <w:rFonts w:ascii="Times New Roman" w:hAnsi="Times New Roman" w:cs="Times New Roman"/>
          <w:sz w:val="28"/>
          <w:szCs w:val="28"/>
          <w:u w:val="single"/>
          <w:shd w:val="clear" w:color="auto" w:fill="FFFFFF"/>
        </w:rPr>
        <w:t>Minn. Stat. §504B.</w:t>
      </w:r>
      <w:r>
        <w:rPr>
          <w:rFonts w:ascii="Times New Roman" w:hAnsi="Times New Roman" w:cs="Times New Roman"/>
          <w:sz w:val="28"/>
          <w:szCs w:val="28"/>
          <w:u w:val="single"/>
          <w:shd w:val="clear" w:color="auto" w:fill="FFFFFF"/>
        </w:rPr>
        <w:t>315</w:t>
      </w:r>
    </w:p>
    <w:p w14:paraId="201EDCF1" w14:textId="1292B58D" w:rsidR="00C67012" w:rsidRPr="00AF452D" w:rsidRDefault="00C67012" w:rsidP="00C67012">
      <w:pPr>
        <w:rPr>
          <w:rFonts w:ascii="Times New Roman" w:hAnsi="Times New Roman" w:cs="Times New Roman"/>
          <w:sz w:val="28"/>
          <w:szCs w:val="28"/>
          <w:shd w:val="clear" w:color="auto" w:fill="FFFFFF"/>
        </w:rPr>
      </w:pPr>
      <w:r w:rsidRPr="00AF452D">
        <w:rPr>
          <w:rFonts w:ascii="Times New Roman" w:hAnsi="Times New Roman" w:cs="Times New Roman"/>
          <w:sz w:val="28"/>
          <w:szCs w:val="28"/>
          <w:shd w:val="clear" w:color="auto" w:fill="FFFFFF"/>
        </w:rPr>
        <w:t>In pertinent part, Minn. Stat. §504B.315 reads:</w:t>
      </w:r>
    </w:p>
    <w:p w14:paraId="26A05128" w14:textId="11727305" w:rsidR="00C67012" w:rsidRPr="00AF452D" w:rsidRDefault="00C67012" w:rsidP="00C67012">
      <w:pPr>
        <w:ind w:left="720"/>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 xml:space="preserve">No residential tenant of residential premises may be evicted, denied a continuing tenancy, or denied a renewal of a lease on the basis of familial status [children added to the household] commenced during the tenancy unless [certain notice- or breach-of lease conditions </w:t>
      </w:r>
      <w:proofErr w:type="gramStart"/>
      <w:r w:rsidRPr="00AF452D">
        <w:rPr>
          <w:rFonts w:ascii="Times New Roman" w:hAnsi="Times New Roman" w:cs="Times New Roman"/>
          <w:color w:val="000000"/>
          <w:sz w:val="28"/>
          <w:szCs w:val="28"/>
          <w:shd w:val="clear" w:color="auto" w:fill="FFFFFF"/>
        </w:rPr>
        <w:t>apply]</w:t>
      </w:r>
      <w:r w:rsidR="00E963F5">
        <w:rPr>
          <w:rFonts w:ascii="Times New Roman" w:hAnsi="Times New Roman" w:cs="Times New Roman"/>
          <w:color w:val="000000"/>
          <w:sz w:val="28"/>
          <w:szCs w:val="28"/>
          <w:shd w:val="clear" w:color="auto" w:fill="FFFFFF"/>
        </w:rPr>
        <w:t>…</w:t>
      </w:r>
      <w:proofErr w:type="gramEnd"/>
      <w:r w:rsidR="00E963F5">
        <w:rPr>
          <w:rFonts w:ascii="Times New Roman" w:hAnsi="Times New Roman" w:cs="Times New Roman"/>
          <w:color w:val="000000"/>
          <w:sz w:val="28"/>
          <w:szCs w:val="28"/>
          <w:shd w:val="clear" w:color="auto" w:fill="FFFFFF"/>
        </w:rPr>
        <w:t>.</w:t>
      </w:r>
    </w:p>
    <w:p w14:paraId="2135F5E2" w14:textId="63AF186D" w:rsidR="00C67012" w:rsidRPr="00AF452D" w:rsidRDefault="00C67012" w:rsidP="005F7A04">
      <w:pPr>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t xml:space="preserve">This poses no statutory-construction problem. When a landlord like LMC wants to evict </w:t>
      </w:r>
      <w:r w:rsidR="008942D9">
        <w:rPr>
          <w:rFonts w:ascii="Times New Roman" w:hAnsi="Times New Roman" w:cs="Times New Roman"/>
          <w:color w:val="000000"/>
          <w:sz w:val="28"/>
          <w:szCs w:val="28"/>
          <w:shd w:val="clear" w:color="auto" w:fill="FFFFFF"/>
        </w:rPr>
        <w:t xml:space="preserve">or terminate </w:t>
      </w:r>
      <w:proofErr w:type="gramStart"/>
      <w:r w:rsidRPr="00AF452D">
        <w:rPr>
          <w:rFonts w:ascii="Times New Roman" w:hAnsi="Times New Roman" w:cs="Times New Roman"/>
          <w:color w:val="000000"/>
          <w:sz w:val="28"/>
          <w:szCs w:val="28"/>
          <w:shd w:val="clear" w:color="auto" w:fill="FFFFFF"/>
        </w:rPr>
        <w:t>a</w:t>
      </w:r>
      <w:r w:rsidR="008942D9">
        <w:rPr>
          <w:rFonts w:ascii="Times New Roman" w:hAnsi="Times New Roman" w:cs="Times New Roman"/>
          <w:color w:val="000000"/>
          <w:sz w:val="28"/>
          <w:szCs w:val="28"/>
          <w:shd w:val="clear" w:color="auto" w:fill="FFFFFF"/>
        </w:rPr>
        <w:t>n</w:t>
      </w:r>
      <w:r w:rsidRPr="00AF452D">
        <w:rPr>
          <w:rFonts w:ascii="Times New Roman" w:hAnsi="Times New Roman" w:cs="Times New Roman"/>
          <w:color w:val="000000"/>
          <w:sz w:val="28"/>
          <w:szCs w:val="28"/>
          <w:shd w:val="clear" w:color="auto" w:fill="FFFFFF"/>
        </w:rPr>
        <w:t xml:space="preserve"> invitee/other</w:t>
      </w:r>
      <w:proofErr w:type="gramEnd"/>
      <w:r w:rsidRPr="00AF452D">
        <w:rPr>
          <w:rFonts w:ascii="Times New Roman" w:hAnsi="Times New Roman" w:cs="Times New Roman"/>
          <w:color w:val="000000"/>
          <w:sz w:val="28"/>
          <w:szCs w:val="28"/>
          <w:shd w:val="clear" w:color="auto" w:fill="FFFFFF"/>
        </w:rPr>
        <w:t xml:space="preserve"> regular occupant like Quinn, it can do so unless it is motivated by her or others in the unit adding a child to the family.</w:t>
      </w:r>
    </w:p>
    <w:p w14:paraId="0BD0B981" w14:textId="391E21D5" w:rsidR="001A2976" w:rsidRDefault="00AF452D" w:rsidP="005F7A04">
      <w:pPr>
        <w:rPr>
          <w:rFonts w:ascii="Times New Roman" w:hAnsi="Times New Roman" w:cs="Times New Roman"/>
          <w:color w:val="000000"/>
          <w:sz w:val="28"/>
          <w:szCs w:val="28"/>
          <w:shd w:val="clear" w:color="auto" w:fill="FFFFFF"/>
        </w:rPr>
      </w:pPr>
      <w:r w:rsidRPr="00AF452D">
        <w:rPr>
          <w:rFonts w:ascii="Times New Roman" w:hAnsi="Times New Roman" w:cs="Times New Roman"/>
          <w:color w:val="000000"/>
          <w:sz w:val="28"/>
          <w:szCs w:val="28"/>
          <w:shd w:val="clear" w:color="auto" w:fill="FFFFFF"/>
        </w:rPr>
        <w:lastRenderedPageBreak/>
        <w:t>In summary, the use of the phrase “residential tenant” in various parts of Minn. Stat. Chap. 504B poses neither practical or legal problems.</w:t>
      </w:r>
    </w:p>
    <w:p w14:paraId="5404A84B" w14:textId="32A4CF7D" w:rsidR="009B7689" w:rsidRPr="00E963F5" w:rsidRDefault="00E963F5" w:rsidP="00E963F5">
      <w:pPr>
        <w:ind w:left="720"/>
        <w:rPr>
          <w:rFonts w:ascii="Times New Roman" w:hAnsi="Times New Roman" w:cs="Times New Roman"/>
          <w:color w:val="000000"/>
          <w:sz w:val="28"/>
          <w:szCs w:val="28"/>
          <w:u w:val="single"/>
          <w:shd w:val="clear" w:color="auto" w:fill="FFFFFF"/>
        </w:rPr>
      </w:pPr>
      <w:r w:rsidRPr="00E963F5">
        <w:rPr>
          <w:rFonts w:ascii="Times New Roman" w:hAnsi="Times New Roman" w:cs="Times New Roman"/>
          <w:color w:val="000000"/>
          <w:sz w:val="28"/>
          <w:szCs w:val="28"/>
          <w:u w:val="single"/>
          <w:shd w:val="clear" w:color="auto" w:fill="FFFFFF"/>
        </w:rPr>
        <w:t>Perhaps LMC should have tried to oust Quinn quickly with an injunctive action.</w:t>
      </w:r>
    </w:p>
    <w:p w14:paraId="043E754C" w14:textId="0431200C" w:rsidR="009B7689" w:rsidRDefault="00DF4341" w:rsidP="005F7A04">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LMC noted that the COVID-19-related eviction moratorium made it difficult to evict Ms. Quinn by court process. It strikes me that this was a relatively minor problem compared to the much larger number of traditional tenants who had breached their lease or held over past the end of their lease and were protected by the moratorium. It seems as if LMC figured something like, “at least we can lockout Ms. Quinn, a small victory amidst a host of traditional tenants who should be ousted but whom we are stuck with during the moratorium.”</w:t>
      </w:r>
    </w:p>
    <w:p w14:paraId="6BA724C7" w14:textId="0E1715C2" w:rsidR="00DF4341" w:rsidRPr="00F14F1A" w:rsidRDefault="00DF4341" w:rsidP="005F7A04">
      <w:pPr>
        <w:rPr>
          <w:rFonts w:ascii="Times New Roman" w:hAnsi="Times New Roman" w:cs="Times New Roman"/>
          <w:color w:val="000000"/>
          <w:sz w:val="28"/>
          <w:szCs w:val="28"/>
          <w:shd w:val="clear" w:color="auto" w:fill="FFFFFF"/>
        </w:rPr>
      </w:pPr>
      <w:r w:rsidRPr="00F14F1A">
        <w:rPr>
          <w:rFonts w:ascii="Times New Roman" w:hAnsi="Times New Roman" w:cs="Times New Roman"/>
          <w:color w:val="000000"/>
          <w:sz w:val="28"/>
          <w:szCs w:val="28"/>
          <w:shd w:val="clear" w:color="auto" w:fill="FFFFFF"/>
        </w:rPr>
        <w:t xml:space="preserve">One avenue LMC overlooked is that the moratorium, </w:t>
      </w:r>
      <w:hyperlink r:id="rId46" w:history="1">
        <w:proofErr w:type="spellStart"/>
        <w:r w:rsidR="0061010E" w:rsidRPr="00F14F1A">
          <w:rPr>
            <w:rStyle w:val="Hyperlink"/>
            <w:rFonts w:ascii="Times New Roman" w:hAnsi="Times New Roman" w:cs="Times New Roman"/>
            <w:sz w:val="28"/>
            <w:szCs w:val="28"/>
            <w:shd w:val="clear" w:color="auto" w:fill="FFFFFF"/>
          </w:rPr>
          <w:t>Emerg</w:t>
        </w:r>
        <w:proofErr w:type="spellEnd"/>
        <w:r w:rsidR="0061010E" w:rsidRPr="00F14F1A">
          <w:rPr>
            <w:rStyle w:val="Hyperlink"/>
            <w:rFonts w:ascii="Times New Roman" w:hAnsi="Times New Roman" w:cs="Times New Roman"/>
            <w:sz w:val="28"/>
            <w:szCs w:val="28"/>
            <w:shd w:val="clear" w:color="auto" w:fill="FFFFFF"/>
          </w:rPr>
          <w:t>. Exec. Order No. 20-73 (June 5, 2020)</w:t>
        </w:r>
      </w:hyperlink>
      <w:r w:rsidRPr="00F14F1A">
        <w:rPr>
          <w:rFonts w:ascii="Times New Roman" w:hAnsi="Times New Roman" w:cs="Times New Roman"/>
          <w:color w:val="000000"/>
          <w:sz w:val="28"/>
          <w:szCs w:val="28"/>
          <w:shd w:val="clear" w:color="auto" w:fill="FFFFFF"/>
        </w:rPr>
        <w:t xml:space="preserve">, only prohibited ouster via </w:t>
      </w:r>
      <w:r w:rsidR="00C468DB" w:rsidRPr="00F14F1A">
        <w:rPr>
          <w:rFonts w:ascii="Times New Roman" w:hAnsi="Times New Roman" w:cs="Times New Roman"/>
          <w:color w:val="000000"/>
          <w:sz w:val="28"/>
          <w:szCs w:val="28"/>
          <w:shd w:val="clear" w:color="auto" w:fill="FFFFFF"/>
        </w:rPr>
        <w:t>Minn. Stat. §§</w:t>
      </w:r>
      <w:r w:rsidR="00F14F1A">
        <w:rPr>
          <w:rFonts w:ascii="Times New Roman" w:hAnsi="Times New Roman" w:cs="Times New Roman"/>
          <w:color w:val="000000"/>
          <w:sz w:val="28"/>
          <w:szCs w:val="28"/>
          <w:shd w:val="clear" w:color="auto" w:fill="FFFFFF"/>
        </w:rPr>
        <w:t xml:space="preserve"> </w:t>
      </w:r>
      <w:r w:rsidR="00C468DB" w:rsidRPr="00F14F1A">
        <w:rPr>
          <w:rFonts w:ascii="Times New Roman" w:hAnsi="Times New Roman" w:cs="Times New Roman"/>
          <w:color w:val="000000"/>
          <w:sz w:val="28"/>
          <w:szCs w:val="28"/>
          <w:shd w:val="clear" w:color="auto" w:fill="FFFFFF"/>
        </w:rPr>
        <w:t>504B.285 and 504B.291</w:t>
      </w:r>
      <w:r w:rsidRPr="00F14F1A">
        <w:rPr>
          <w:rFonts w:ascii="Times New Roman" w:hAnsi="Times New Roman" w:cs="Times New Roman"/>
          <w:color w:val="000000"/>
          <w:sz w:val="28"/>
          <w:szCs w:val="28"/>
          <w:shd w:val="clear" w:color="auto" w:fill="FFFFFF"/>
        </w:rPr>
        <w:t>.</w:t>
      </w:r>
      <w:r w:rsidR="0061010E" w:rsidRPr="00F14F1A">
        <w:rPr>
          <w:rStyle w:val="FootnoteReference"/>
          <w:rFonts w:ascii="Times New Roman" w:hAnsi="Times New Roman" w:cs="Times New Roman"/>
          <w:color w:val="000000"/>
          <w:sz w:val="28"/>
          <w:szCs w:val="28"/>
          <w:shd w:val="clear" w:color="auto" w:fill="FFFFFF"/>
        </w:rPr>
        <w:footnoteReference w:id="27"/>
      </w:r>
      <w:r w:rsidRPr="00F14F1A">
        <w:rPr>
          <w:rFonts w:ascii="Times New Roman" w:hAnsi="Times New Roman" w:cs="Times New Roman"/>
          <w:color w:val="000000"/>
          <w:sz w:val="28"/>
          <w:szCs w:val="28"/>
          <w:shd w:val="clear" w:color="auto" w:fill="FFFFFF"/>
        </w:rPr>
        <w:t xml:space="preserve"> While such court ousters</w:t>
      </w:r>
      <w:r w:rsidR="00E963F5">
        <w:rPr>
          <w:rFonts w:ascii="Times New Roman" w:hAnsi="Times New Roman" w:cs="Times New Roman"/>
          <w:color w:val="000000"/>
          <w:sz w:val="28"/>
          <w:szCs w:val="28"/>
          <w:shd w:val="clear" w:color="auto" w:fill="FFFFFF"/>
        </w:rPr>
        <w:t xml:space="preserve"> – “eviction actions” --</w:t>
      </w:r>
      <w:r w:rsidRPr="00F14F1A">
        <w:rPr>
          <w:rFonts w:ascii="Times New Roman" w:hAnsi="Times New Roman" w:cs="Times New Roman"/>
          <w:color w:val="000000"/>
          <w:sz w:val="28"/>
          <w:szCs w:val="28"/>
          <w:shd w:val="clear" w:color="auto" w:fill="FFFFFF"/>
        </w:rPr>
        <w:t xml:space="preserve"> are by far the most common </w:t>
      </w:r>
      <w:r w:rsidR="00656CDC">
        <w:rPr>
          <w:rFonts w:ascii="Times New Roman" w:hAnsi="Times New Roman" w:cs="Times New Roman"/>
          <w:color w:val="000000"/>
          <w:sz w:val="28"/>
          <w:szCs w:val="28"/>
          <w:shd w:val="clear" w:color="auto" w:fill="FFFFFF"/>
        </w:rPr>
        <w:t xml:space="preserve">ouster </w:t>
      </w:r>
      <w:r w:rsidR="00E963F5">
        <w:rPr>
          <w:rFonts w:ascii="Times New Roman" w:hAnsi="Times New Roman" w:cs="Times New Roman"/>
          <w:color w:val="000000"/>
          <w:sz w:val="28"/>
          <w:szCs w:val="28"/>
          <w:shd w:val="clear" w:color="auto" w:fill="FFFFFF"/>
        </w:rPr>
        <w:t>procedure used</w:t>
      </w:r>
      <w:r w:rsidRPr="00F14F1A">
        <w:rPr>
          <w:rFonts w:ascii="Times New Roman" w:hAnsi="Times New Roman" w:cs="Times New Roman"/>
          <w:color w:val="000000"/>
          <w:sz w:val="28"/>
          <w:szCs w:val="28"/>
          <w:shd w:val="clear" w:color="auto" w:fill="FFFFFF"/>
        </w:rPr>
        <w:t xml:space="preserve">, there are other avenues </w:t>
      </w:r>
      <w:r w:rsidR="00E963F5">
        <w:rPr>
          <w:rFonts w:ascii="Times New Roman" w:hAnsi="Times New Roman" w:cs="Times New Roman"/>
          <w:color w:val="000000"/>
          <w:sz w:val="28"/>
          <w:szCs w:val="28"/>
          <w:shd w:val="clear" w:color="auto" w:fill="FFFFFF"/>
        </w:rPr>
        <w:t>available</w:t>
      </w:r>
      <w:r w:rsidRPr="00F14F1A">
        <w:rPr>
          <w:rFonts w:ascii="Times New Roman" w:hAnsi="Times New Roman" w:cs="Times New Roman"/>
          <w:color w:val="000000"/>
          <w:sz w:val="28"/>
          <w:szCs w:val="28"/>
          <w:shd w:val="clear" w:color="auto" w:fill="FFFFFF"/>
        </w:rPr>
        <w:t>. A</w:t>
      </w:r>
      <w:r w:rsidR="009C784D" w:rsidRPr="00F14F1A">
        <w:rPr>
          <w:rFonts w:ascii="Times New Roman" w:hAnsi="Times New Roman" w:cs="Times New Roman"/>
          <w:color w:val="000000"/>
          <w:sz w:val="28"/>
          <w:szCs w:val="28"/>
          <w:shd w:val="clear" w:color="auto" w:fill="FFFFFF"/>
        </w:rPr>
        <w:t xml:space="preserve">s </w:t>
      </w:r>
      <w:hyperlink r:id="rId47" w:history="1">
        <w:proofErr w:type="spellStart"/>
        <w:r w:rsidR="009C784D" w:rsidRPr="00F14F1A">
          <w:rPr>
            <w:rStyle w:val="Hyperlink"/>
            <w:rFonts w:ascii="Times New Roman" w:hAnsi="Times New Roman" w:cs="Times New Roman"/>
            <w:i/>
            <w:iCs/>
            <w:sz w:val="28"/>
            <w:szCs w:val="28"/>
            <w:shd w:val="clear" w:color="auto" w:fill="FFFFFF"/>
          </w:rPr>
          <w:t>Yager</w:t>
        </w:r>
        <w:proofErr w:type="spellEnd"/>
        <w:r w:rsidR="009C784D" w:rsidRPr="00F14F1A">
          <w:rPr>
            <w:rStyle w:val="Hyperlink"/>
            <w:rFonts w:ascii="Times New Roman" w:hAnsi="Times New Roman" w:cs="Times New Roman"/>
            <w:i/>
            <w:iCs/>
            <w:sz w:val="28"/>
            <w:szCs w:val="28"/>
            <w:shd w:val="clear" w:color="auto" w:fill="FFFFFF"/>
          </w:rPr>
          <w:t xml:space="preserve"> v. Thompson</w:t>
        </w:r>
        <w:r w:rsidR="009C784D" w:rsidRPr="00F14F1A">
          <w:rPr>
            <w:rStyle w:val="Hyperlink"/>
            <w:rFonts w:ascii="Times New Roman" w:hAnsi="Times New Roman" w:cs="Times New Roman"/>
            <w:sz w:val="28"/>
            <w:szCs w:val="28"/>
            <w:shd w:val="clear" w:color="auto" w:fill="FFFFFF"/>
          </w:rPr>
          <w:t>, 352 N.W.2d 71,74 (Minn. App. 1984)</w:t>
        </w:r>
      </w:hyperlink>
      <w:r w:rsidR="009C784D" w:rsidRPr="00F14F1A">
        <w:rPr>
          <w:rFonts w:ascii="Times New Roman" w:hAnsi="Times New Roman" w:cs="Times New Roman"/>
          <w:color w:val="000000"/>
          <w:sz w:val="28"/>
          <w:szCs w:val="28"/>
          <w:shd w:val="clear" w:color="auto" w:fill="FFFFFF"/>
        </w:rPr>
        <w:t xml:space="preserve"> </w:t>
      </w:r>
      <w:r w:rsidR="002049A8" w:rsidRPr="00F14F1A">
        <w:rPr>
          <w:rFonts w:ascii="Times New Roman" w:hAnsi="Times New Roman" w:cs="Times New Roman"/>
          <w:color w:val="000000"/>
          <w:sz w:val="28"/>
          <w:szCs w:val="28"/>
          <w:shd w:val="clear" w:color="auto" w:fill="FFFFFF"/>
        </w:rPr>
        <w:t>held</w:t>
      </w:r>
      <w:r w:rsidRPr="00F14F1A">
        <w:rPr>
          <w:rFonts w:ascii="Times New Roman" w:hAnsi="Times New Roman" w:cs="Times New Roman"/>
          <w:color w:val="000000"/>
          <w:sz w:val="28"/>
          <w:szCs w:val="28"/>
          <w:shd w:val="clear" w:color="auto" w:fill="FFFFFF"/>
        </w:rPr>
        <w:t xml:space="preserve">, </w:t>
      </w:r>
    </w:p>
    <w:p w14:paraId="11F58F07" w14:textId="2587E6E3" w:rsidR="002049A8" w:rsidRPr="00CB5FB0" w:rsidRDefault="002049A8" w:rsidP="00CB5FB0">
      <w:pPr>
        <w:ind w:left="720"/>
        <w:rPr>
          <w:rFonts w:ascii="Times New Roman" w:hAnsi="Times New Roman" w:cs="Times New Roman"/>
          <w:color w:val="222222"/>
          <w:sz w:val="28"/>
          <w:szCs w:val="28"/>
          <w:shd w:val="clear" w:color="auto" w:fill="FFFFFF"/>
        </w:rPr>
      </w:pPr>
      <w:r w:rsidRPr="00CB5FB0">
        <w:rPr>
          <w:rFonts w:ascii="Times New Roman" w:hAnsi="Times New Roman" w:cs="Times New Roman"/>
          <w:color w:val="222222"/>
          <w:sz w:val="28"/>
          <w:szCs w:val="28"/>
          <w:shd w:val="clear" w:color="auto" w:fill="FFFFFF"/>
        </w:rPr>
        <w:t>The Thompsons [occupants] construe the language in </w:t>
      </w:r>
      <w:r w:rsidRPr="00CB5FB0">
        <w:rPr>
          <w:rFonts w:ascii="Times New Roman" w:hAnsi="Times New Roman" w:cs="Times New Roman"/>
          <w:i/>
          <w:iCs/>
          <w:color w:val="222222"/>
          <w:sz w:val="28"/>
          <w:szCs w:val="28"/>
          <w:shd w:val="clear" w:color="auto" w:fill="FFFFFF"/>
        </w:rPr>
        <w:t>Berg</w:t>
      </w:r>
      <w:r w:rsidRPr="00CB5FB0">
        <w:rPr>
          <w:rFonts w:ascii="Times New Roman" w:hAnsi="Times New Roman" w:cs="Times New Roman"/>
          <w:color w:val="222222"/>
          <w:sz w:val="28"/>
          <w:szCs w:val="28"/>
          <w:shd w:val="clear" w:color="auto" w:fill="FFFFFF"/>
        </w:rPr>
        <w:t> to mean that a landlord could obtain injunctive relief against waste to protect himself, but could not regain possession through use of those remedies. This argument is without merit. The Court in </w:t>
      </w:r>
      <w:r w:rsidRPr="00CB5FB0">
        <w:rPr>
          <w:rFonts w:ascii="Times New Roman" w:hAnsi="Times New Roman" w:cs="Times New Roman"/>
          <w:i/>
          <w:iCs/>
          <w:color w:val="222222"/>
          <w:sz w:val="28"/>
          <w:szCs w:val="28"/>
          <w:shd w:val="clear" w:color="auto" w:fill="FFFFFF"/>
        </w:rPr>
        <w:t>Berg</w:t>
      </w:r>
      <w:r w:rsidRPr="00CB5FB0">
        <w:rPr>
          <w:rFonts w:ascii="Times New Roman" w:hAnsi="Times New Roman" w:cs="Times New Roman"/>
          <w:color w:val="222222"/>
          <w:sz w:val="28"/>
          <w:szCs w:val="28"/>
          <w:shd w:val="clear" w:color="auto" w:fill="FFFFFF"/>
        </w:rPr>
        <w:t xml:space="preserve"> anticipated that the forcible entry and unlawful detainer statutes would not be sufficient in every circumstance. </w:t>
      </w:r>
      <w:r w:rsidRPr="00CB5FB0">
        <w:rPr>
          <w:rFonts w:ascii="Times New Roman" w:hAnsi="Times New Roman" w:cs="Times New Roman"/>
          <w:color w:val="222222"/>
          <w:sz w:val="28"/>
          <w:szCs w:val="28"/>
          <w:u w:val="single"/>
          <w:shd w:val="clear" w:color="auto" w:fill="FFFFFF"/>
        </w:rPr>
        <w:t>Under appropriate circumstances, injunctive relief is available</w:t>
      </w:r>
      <w:r w:rsidRPr="00CB5FB0">
        <w:rPr>
          <w:rFonts w:ascii="Times New Roman" w:hAnsi="Times New Roman" w:cs="Times New Roman"/>
          <w:color w:val="222222"/>
          <w:sz w:val="28"/>
          <w:szCs w:val="28"/>
          <w:shd w:val="clear" w:color="auto" w:fill="FFFFFF"/>
        </w:rPr>
        <w:t>. It is not enough that there is a remedy at law; it must be as practical and efficient to the ends of justice and its prompt administration as the remedy in equit</w:t>
      </w:r>
      <w:r w:rsidR="0020380B">
        <w:rPr>
          <w:rFonts w:ascii="Times New Roman" w:hAnsi="Times New Roman" w:cs="Times New Roman"/>
          <w:color w:val="222222"/>
          <w:sz w:val="28"/>
          <w:szCs w:val="28"/>
          <w:shd w:val="clear" w:color="auto" w:fill="FFFFFF"/>
        </w:rPr>
        <w:t xml:space="preserve">y. </w:t>
      </w:r>
      <w:r w:rsidRPr="00E963F5">
        <w:rPr>
          <w:rFonts w:ascii="Times New Roman" w:hAnsi="Times New Roman" w:cs="Times New Roman"/>
          <w:color w:val="222222"/>
          <w:sz w:val="28"/>
          <w:szCs w:val="28"/>
          <w:shd w:val="clear" w:color="auto" w:fill="FFFFFF"/>
        </w:rPr>
        <w:t>Therefore, the statutory remedy for forcible entry and unlawful detainer [now called an eviction action] is not the exclusive remedy available for repossession of properties.</w:t>
      </w:r>
    </w:p>
    <w:p w14:paraId="33CB62BB" w14:textId="50C3FC24" w:rsidR="009C784D" w:rsidRDefault="002049A8" w:rsidP="005F7A04">
      <w:pPr>
        <w:rPr>
          <w:rFonts w:ascii="Times New Roman" w:hAnsi="Times New Roman" w:cs="Times New Roman"/>
          <w:color w:val="222222"/>
          <w:sz w:val="28"/>
          <w:szCs w:val="28"/>
          <w:shd w:val="clear" w:color="auto" w:fill="FFFFFF"/>
        </w:rPr>
      </w:pPr>
      <w:r w:rsidRPr="00CB5FB0">
        <w:rPr>
          <w:rFonts w:ascii="Times New Roman" w:hAnsi="Times New Roman" w:cs="Times New Roman"/>
          <w:color w:val="222222"/>
          <w:sz w:val="28"/>
          <w:szCs w:val="28"/>
          <w:shd w:val="clear" w:color="auto" w:fill="FFFFFF"/>
        </w:rPr>
        <w:lastRenderedPageBreak/>
        <w:t>(</w:t>
      </w:r>
      <w:proofErr w:type="gramStart"/>
      <w:r w:rsidRPr="00CB5FB0">
        <w:rPr>
          <w:rFonts w:ascii="Times New Roman" w:hAnsi="Times New Roman" w:cs="Times New Roman"/>
          <w:color w:val="222222"/>
          <w:sz w:val="28"/>
          <w:szCs w:val="28"/>
          <w:shd w:val="clear" w:color="auto" w:fill="FFFFFF"/>
        </w:rPr>
        <w:t>emphasis</w:t>
      </w:r>
      <w:proofErr w:type="gramEnd"/>
      <w:r w:rsidRPr="00CB5FB0">
        <w:rPr>
          <w:rFonts w:ascii="Times New Roman" w:hAnsi="Times New Roman" w:cs="Times New Roman"/>
          <w:color w:val="222222"/>
          <w:sz w:val="28"/>
          <w:szCs w:val="28"/>
          <w:shd w:val="clear" w:color="auto" w:fill="FFFFFF"/>
        </w:rPr>
        <w:t xml:space="preserve"> added</w:t>
      </w:r>
      <w:r w:rsidR="0020380B">
        <w:rPr>
          <w:rFonts w:ascii="Times New Roman" w:hAnsi="Times New Roman" w:cs="Times New Roman"/>
          <w:color w:val="222222"/>
          <w:sz w:val="28"/>
          <w:szCs w:val="28"/>
          <w:shd w:val="clear" w:color="auto" w:fill="FFFFFF"/>
        </w:rPr>
        <w:t>, internal citation omitted</w:t>
      </w:r>
      <w:r w:rsidRPr="00CB5FB0">
        <w:rPr>
          <w:rFonts w:ascii="Times New Roman" w:hAnsi="Times New Roman" w:cs="Times New Roman"/>
          <w:color w:val="222222"/>
          <w:sz w:val="28"/>
          <w:szCs w:val="28"/>
          <w:shd w:val="clear" w:color="auto" w:fill="FFFFFF"/>
        </w:rPr>
        <w:t xml:space="preserve">). </w:t>
      </w:r>
    </w:p>
    <w:p w14:paraId="5AB2755B" w14:textId="2F05A56C" w:rsidR="00DA1AB3" w:rsidRDefault="002049A8" w:rsidP="005A09D8">
      <w:pPr>
        <w:pBdr>
          <w:bottom w:val="double" w:sz="6" w:space="1" w:color="auto"/>
        </w:pBdr>
        <w:rPr>
          <w:rFonts w:ascii="Times New Roman" w:hAnsi="Times New Roman" w:cs="Times New Roman"/>
          <w:color w:val="222222"/>
          <w:sz w:val="28"/>
          <w:szCs w:val="28"/>
          <w:shd w:val="clear" w:color="auto" w:fill="FFFFFF"/>
        </w:rPr>
      </w:pPr>
      <w:r w:rsidRPr="00CB5FB0">
        <w:rPr>
          <w:rFonts w:ascii="Times New Roman" w:hAnsi="Times New Roman" w:cs="Times New Roman"/>
          <w:color w:val="222222"/>
          <w:sz w:val="28"/>
          <w:szCs w:val="28"/>
          <w:shd w:val="clear" w:color="auto" w:fill="FFFFFF"/>
        </w:rPr>
        <w:t xml:space="preserve">Were LMC to have filed for an injunction, the </w:t>
      </w:r>
      <w:r w:rsidR="009C784D">
        <w:rPr>
          <w:rFonts w:ascii="Times New Roman" w:hAnsi="Times New Roman" w:cs="Times New Roman"/>
          <w:color w:val="222222"/>
          <w:sz w:val="28"/>
          <w:szCs w:val="28"/>
          <w:shd w:val="clear" w:color="auto" w:fill="FFFFFF"/>
        </w:rPr>
        <w:t xml:space="preserve">trial </w:t>
      </w:r>
      <w:r w:rsidRPr="00CB5FB0">
        <w:rPr>
          <w:rFonts w:ascii="Times New Roman" w:hAnsi="Times New Roman" w:cs="Times New Roman"/>
          <w:color w:val="222222"/>
          <w:sz w:val="28"/>
          <w:szCs w:val="28"/>
          <w:shd w:val="clear" w:color="auto" w:fill="FFFFFF"/>
        </w:rPr>
        <w:t>court would have balanced the equities in deciding whether to order Ms. Quinn</w:t>
      </w:r>
      <w:r w:rsidR="009C784D">
        <w:rPr>
          <w:rFonts w:ascii="Times New Roman" w:hAnsi="Times New Roman" w:cs="Times New Roman"/>
          <w:color w:val="222222"/>
          <w:sz w:val="28"/>
          <w:szCs w:val="28"/>
          <w:shd w:val="clear" w:color="auto" w:fill="FFFFFF"/>
        </w:rPr>
        <w:t>’s ouster</w:t>
      </w:r>
      <w:r w:rsidRPr="00CB5FB0">
        <w:rPr>
          <w:rFonts w:ascii="Times New Roman" w:hAnsi="Times New Roman" w:cs="Times New Roman"/>
          <w:color w:val="222222"/>
          <w:sz w:val="28"/>
          <w:szCs w:val="28"/>
          <w:shd w:val="clear" w:color="auto" w:fill="FFFFFF"/>
        </w:rPr>
        <w:t xml:space="preserve">. </w:t>
      </w:r>
      <w:r w:rsidR="00F14F1A">
        <w:rPr>
          <w:rFonts w:ascii="Times New Roman" w:hAnsi="Times New Roman" w:cs="Times New Roman"/>
          <w:color w:val="222222"/>
          <w:sz w:val="28"/>
          <w:szCs w:val="28"/>
          <w:shd w:val="clear" w:color="auto" w:fill="FFFFFF"/>
        </w:rPr>
        <w:t>S</w:t>
      </w:r>
      <w:r w:rsidRPr="00CB5FB0">
        <w:rPr>
          <w:rFonts w:ascii="Times New Roman" w:hAnsi="Times New Roman" w:cs="Times New Roman"/>
          <w:color w:val="222222"/>
          <w:sz w:val="28"/>
          <w:szCs w:val="28"/>
          <w:shd w:val="clear" w:color="auto" w:fill="FFFFFF"/>
        </w:rPr>
        <w:t xml:space="preserve">ince the executive order already allowed eviction actions under Minn. Stat. § 504B.301 – actions to remove squatters who entered a unit illegally – it would not </w:t>
      </w:r>
      <w:r w:rsidR="00656CDC">
        <w:rPr>
          <w:rFonts w:ascii="Times New Roman" w:hAnsi="Times New Roman" w:cs="Times New Roman"/>
          <w:color w:val="222222"/>
          <w:sz w:val="28"/>
          <w:szCs w:val="28"/>
          <w:shd w:val="clear" w:color="auto" w:fill="FFFFFF"/>
        </w:rPr>
        <w:t>have been</w:t>
      </w:r>
      <w:r w:rsidRPr="00CB5FB0">
        <w:rPr>
          <w:rFonts w:ascii="Times New Roman" w:hAnsi="Times New Roman" w:cs="Times New Roman"/>
          <w:color w:val="222222"/>
          <w:sz w:val="28"/>
          <w:szCs w:val="28"/>
          <w:shd w:val="clear" w:color="auto" w:fill="FFFFFF"/>
        </w:rPr>
        <w:t xml:space="preserve"> a huge leap to allow oust</w:t>
      </w:r>
      <w:r w:rsidR="00656CDC">
        <w:rPr>
          <w:rFonts w:ascii="Times New Roman" w:hAnsi="Times New Roman" w:cs="Times New Roman"/>
          <w:color w:val="222222"/>
          <w:sz w:val="28"/>
          <w:szCs w:val="28"/>
          <w:shd w:val="clear" w:color="auto" w:fill="FFFFFF"/>
        </w:rPr>
        <w:t>er of</w:t>
      </w:r>
      <w:r w:rsidR="006848A7">
        <w:rPr>
          <w:rFonts w:ascii="Times New Roman" w:hAnsi="Times New Roman" w:cs="Times New Roman"/>
          <w:color w:val="222222"/>
          <w:sz w:val="28"/>
          <w:szCs w:val="28"/>
          <w:shd w:val="clear" w:color="auto" w:fill="FFFFFF"/>
        </w:rPr>
        <w:t xml:space="preserve"> Ms. Quinn</w:t>
      </w:r>
      <w:r w:rsidRPr="00CB5FB0">
        <w:rPr>
          <w:rFonts w:ascii="Times New Roman" w:hAnsi="Times New Roman" w:cs="Times New Roman"/>
          <w:color w:val="222222"/>
          <w:sz w:val="28"/>
          <w:szCs w:val="28"/>
          <w:shd w:val="clear" w:color="auto" w:fill="FFFFFF"/>
        </w:rPr>
        <w:t xml:space="preserve"> by inju</w:t>
      </w:r>
      <w:r w:rsidR="000145A8">
        <w:rPr>
          <w:rFonts w:ascii="Times New Roman" w:hAnsi="Times New Roman" w:cs="Times New Roman"/>
          <w:color w:val="222222"/>
          <w:sz w:val="28"/>
          <w:szCs w:val="28"/>
          <w:shd w:val="clear" w:color="auto" w:fill="FFFFFF"/>
        </w:rPr>
        <w:t>n</w:t>
      </w:r>
      <w:r w:rsidRPr="00CB5FB0">
        <w:rPr>
          <w:rFonts w:ascii="Times New Roman" w:hAnsi="Times New Roman" w:cs="Times New Roman"/>
          <w:color w:val="222222"/>
          <w:sz w:val="28"/>
          <w:szCs w:val="28"/>
          <w:shd w:val="clear" w:color="auto" w:fill="FFFFFF"/>
        </w:rPr>
        <w:t>ction</w:t>
      </w:r>
      <w:r w:rsidR="006848A7">
        <w:rPr>
          <w:rFonts w:ascii="Times New Roman" w:hAnsi="Times New Roman" w:cs="Times New Roman"/>
          <w:color w:val="222222"/>
          <w:sz w:val="28"/>
          <w:szCs w:val="28"/>
          <w:shd w:val="clear" w:color="auto" w:fill="FFFFFF"/>
        </w:rPr>
        <w:t>.</w:t>
      </w:r>
      <w:r w:rsidRPr="00CB5FB0">
        <w:rPr>
          <w:rFonts w:ascii="Times New Roman" w:hAnsi="Times New Roman" w:cs="Times New Roman"/>
          <w:color w:val="222222"/>
          <w:sz w:val="28"/>
          <w:szCs w:val="28"/>
          <w:shd w:val="clear" w:color="auto" w:fill="FFFFFF"/>
        </w:rPr>
        <w:t xml:space="preserve"> Ms. Quinn was not a squatter subject to Minn. Stat. § 504B.301 but </w:t>
      </w:r>
      <w:r w:rsidR="006848A7">
        <w:rPr>
          <w:rFonts w:ascii="Times New Roman" w:hAnsi="Times New Roman" w:cs="Times New Roman"/>
          <w:color w:val="222222"/>
          <w:sz w:val="28"/>
          <w:szCs w:val="28"/>
          <w:shd w:val="clear" w:color="auto" w:fill="FFFFFF"/>
        </w:rPr>
        <w:t xml:space="preserve">she </w:t>
      </w:r>
      <w:r w:rsidRPr="00CB5FB0">
        <w:rPr>
          <w:rFonts w:ascii="Times New Roman" w:hAnsi="Times New Roman" w:cs="Times New Roman"/>
          <w:color w:val="222222"/>
          <w:sz w:val="28"/>
          <w:szCs w:val="28"/>
          <w:shd w:val="clear" w:color="auto" w:fill="FFFFFF"/>
        </w:rPr>
        <w:t xml:space="preserve">was somewhat similar – halfway between </w:t>
      </w:r>
      <w:r w:rsidR="001137FD">
        <w:rPr>
          <w:rFonts w:ascii="Times New Roman" w:hAnsi="Times New Roman" w:cs="Times New Roman"/>
          <w:color w:val="222222"/>
          <w:sz w:val="28"/>
          <w:szCs w:val="28"/>
          <w:shd w:val="clear" w:color="auto" w:fill="FFFFFF"/>
        </w:rPr>
        <w:t>a squatter</w:t>
      </w:r>
      <w:r w:rsidRPr="00CB5FB0">
        <w:rPr>
          <w:rFonts w:ascii="Times New Roman" w:hAnsi="Times New Roman" w:cs="Times New Roman"/>
          <w:color w:val="222222"/>
          <w:sz w:val="28"/>
          <w:szCs w:val="28"/>
          <w:shd w:val="clear" w:color="auto" w:fill="FFFFFF"/>
        </w:rPr>
        <w:t xml:space="preserve"> and a </w:t>
      </w:r>
      <w:r w:rsidR="006848A7">
        <w:rPr>
          <w:rFonts w:ascii="Times New Roman" w:hAnsi="Times New Roman" w:cs="Times New Roman"/>
          <w:color w:val="222222"/>
          <w:sz w:val="28"/>
          <w:szCs w:val="28"/>
          <w:shd w:val="clear" w:color="auto" w:fill="FFFFFF"/>
        </w:rPr>
        <w:t>traditional</w:t>
      </w:r>
      <w:r w:rsidRPr="00CB5FB0">
        <w:rPr>
          <w:rFonts w:ascii="Times New Roman" w:hAnsi="Times New Roman" w:cs="Times New Roman"/>
          <w:color w:val="222222"/>
          <w:sz w:val="28"/>
          <w:szCs w:val="28"/>
          <w:shd w:val="clear" w:color="auto" w:fill="FFFFFF"/>
        </w:rPr>
        <w:t xml:space="preserve"> tenant. If Ms. Quinn was such a problem – one that motivated LMC to litigate her lockout case </w:t>
      </w:r>
      <w:r w:rsidR="006848A7">
        <w:rPr>
          <w:rFonts w:ascii="Times New Roman" w:hAnsi="Times New Roman" w:cs="Times New Roman"/>
          <w:color w:val="222222"/>
          <w:sz w:val="28"/>
          <w:szCs w:val="28"/>
          <w:shd w:val="clear" w:color="auto" w:fill="FFFFFF"/>
        </w:rPr>
        <w:t xml:space="preserve">all the way </w:t>
      </w:r>
      <w:r w:rsidRPr="00CB5FB0">
        <w:rPr>
          <w:rFonts w:ascii="Times New Roman" w:hAnsi="Times New Roman" w:cs="Times New Roman"/>
          <w:color w:val="222222"/>
          <w:sz w:val="28"/>
          <w:szCs w:val="28"/>
          <w:shd w:val="clear" w:color="auto" w:fill="FFFFFF"/>
        </w:rPr>
        <w:t>to the state supreme court – trying to use an</w:t>
      </w:r>
      <w:r w:rsidR="005A09D8">
        <w:rPr>
          <w:rFonts w:ascii="Times New Roman" w:hAnsi="Times New Roman" w:cs="Times New Roman"/>
          <w:color w:val="222222"/>
          <w:sz w:val="28"/>
          <w:szCs w:val="28"/>
          <w:shd w:val="clear" w:color="auto" w:fill="FFFFFF"/>
        </w:rPr>
        <w:t xml:space="preserve"> injunction action seems as if it would have been a reasonable idea.</w:t>
      </w:r>
    </w:p>
    <w:p w14:paraId="34D18650" w14:textId="77777777" w:rsidR="0062238E" w:rsidRDefault="0062238E" w:rsidP="005A09D8">
      <w:pPr>
        <w:pBdr>
          <w:bottom w:val="double" w:sz="6" w:space="1" w:color="auto"/>
        </w:pBdr>
        <w:rPr>
          <w:rFonts w:ascii="Times New Roman" w:hAnsi="Times New Roman" w:cs="Times New Roman"/>
          <w:color w:val="222222"/>
          <w:sz w:val="28"/>
          <w:szCs w:val="28"/>
          <w:shd w:val="clear" w:color="auto" w:fill="FFFFFF"/>
        </w:rPr>
      </w:pPr>
    </w:p>
    <w:sectPr w:rsidR="0062238E">
      <w:headerReference w:type="default" r:id="rId4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0AC35" w14:textId="77777777" w:rsidR="00BB0DCE" w:rsidRDefault="00BB0DCE" w:rsidP="00C06B88">
      <w:pPr>
        <w:spacing w:after="0" w:line="240" w:lineRule="auto"/>
      </w:pPr>
      <w:r>
        <w:separator/>
      </w:r>
    </w:p>
  </w:endnote>
  <w:endnote w:type="continuationSeparator" w:id="0">
    <w:p w14:paraId="6AA98C77" w14:textId="77777777" w:rsidR="00BB0DCE" w:rsidRDefault="00BB0DCE" w:rsidP="00C06B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8FED0" w14:textId="77777777" w:rsidR="00BB0DCE" w:rsidRDefault="00BB0DCE" w:rsidP="00C06B88">
      <w:pPr>
        <w:spacing w:after="0" w:line="240" w:lineRule="auto"/>
      </w:pPr>
      <w:r>
        <w:separator/>
      </w:r>
    </w:p>
  </w:footnote>
  <w:footnote w:type="continuationSeparator" w:id="0">
    <w:p w14:paraId="7DF101B2" w14:textId="77777777" w:rsidR="00BB0DCE" w:rsidRDefault="00BB0DCE" w:rsidP="00C06B88">
      <w:pPr>
        <w:spacing w:after="0" w:line="240" w:lineRule="auto"/>
      </w:pPr>
      <w:r>
        <w:continuationSeparator/>
      </w:r>
    </w:p>
  </w:footnote>
  <w:footnote w:id="1">
    <w:p w14:paraId="145D7BEA" w14:textId="24B5D8FB" w:rsidR="00065A5C" w:rsidRPr="00E56EFB" w:rsidRDefault="00065A5C">
      <w:pPr>
        <w:pStyle w:val="FootnoteText"/>
        <w:rPr>
          <w:rFonts w:ascii="Times New Roman" w:hAnsi="Times New Roman" w:cs="Times New Roman"/>
          <w:sz w:val="24"/>
          <w:szCs w:val="24"/>
        </w:rPr>
      </w:pPr>
      <w:r w:rsidRPr="00E56EFB">
        <w:rPr>
          <w:rStyle w:val="FootnoteReference"/>
          <w:rFonts w:ascii="Times New Roman" w:hAnsi="Times New Roman" w:cs="Times New Roman"/>
          <w:sz w:val="24"/>
          <w:szCs w:val="24"/>
        </w:rPr>
        <w:footnoteRef/>
      </w:r>
      <w:r w:rsidRPr="00E56EFB">
        <w:rPr>
          <w:rFonts w:ascii="Times New Roman" w:hAnsi="Times New Roman" w:cs="Times New Roman"/>
          <w:sz w:val="24"/>
          <w:szCs w:val="24"/>
        </w:rPr>
        <w:t xml:space="preserve"> </w:t>
      </w:r>
      <w:r w:rsidR="0002731B" w:rsidRPr="0002731B">
        <w:rPr>
          <w:rFonts w:ascii="Times New Roman" w:hAnsi="Times New Roman" w:cs="Times New Roman"/>
          <w:color w:val="000000" w:themeColor="text1"/>
          <w:sz w:val="24"/>
          <w:szCs w:val="24"/>
        </w:rPr>
        <w:t>Most of the facts are taken from the Court of Appeals’ opinion. The others are available in the underlying district court decisions that were appealed.</w:t>
      </w:r>
    </w:p>
  </w:footnote>
  <w:footnote w:id="2">
    <w:p w14:paraId="61678E9B" w14:textId="621BF077" w:rsidR="002D406D" w:rsidRPr="003C393F" w:rsidRDefault="002D406D" w:rsidP="002D406D">
      <w:pPr>
        <w:pStyle w:val="NormalWeb"/>
      </w:pPr>
      <w:r w:rsidRPr="003C393F">
        <w:rPr>
          <w:rStyle w:val="FootnoteReference"/>
        </w:rPr>
        <w:footnoteRef/>
      </w:r>
      <w:r w:rsidRPr="003C393F">
        <w:t xml:space="preserve"> The court of appeals stated </w:t>
      </w:r>
      <w:r w:rsidR="00E56EFB" w:rsidRPr="003C393F">
        <w:t xml:space="preserve">, </w:t>
      </w:r>
      <w:r w:rsidRPr="003C393F">
        <w:t>“Quinn testified that she paid $400 per month to J.S. as rent under an oral agreement between the two of them</w:t>
      </w:r>
      <w:r w:rsidR="00D045EB" w:rsidRPr="003C393F">
        <w:t>”</w:t>
      </w:r>
      <w:r w:rsidR="005C52C2" w:rsidRPr="003C393F">
        <w:t>,</w:t>
      </w:r>
      <w:r w:rsidR="00D045EB" w:rsidRPr="003C393F">
        <w:t xml:space="preserve"> </w:t>
      </w:r>
      <w:hyperlink r:id="rId1" w:history="1">
        <w:r w:rsidR="00D045EB" w:rsidRPr="003C393F">
          <w:rPr>
            <w:rStyle w:val="Hyperlink"/>
            <w:bCs/>
            <w:i/>
          </w:rPr>
          <w:t>Quinn</w:t>
        </w:r>
        <w:r w:rsidR="00D045EB" w:rsidRPr="003C393F">
          <w:rPr>
            <w:rStyle w:val="Hyperlink"/>
            <w:b/>
            <w:bCs/>
            <w:i/>
          </w:rPr>
          <w:t xml:space="preserve">, </w:t>
        </w:r>
        <w:r w:rsidR="00D045EB" w:rsidRPr="003C393F">
          <w:rPr>
            <w:rStyle w:val="Hyperlink"/>
          </w:rPr>
          <w:t>972</w:t>
        </w:r>
        <w:r w:rsidR="003C393F" w:rsidRPr="003C393F">
          <w:rPr>
            <w:rStyle w:val="Hyperlink"/>
          </w:rPr>
          <w:t xml:space="preserve"> N.W.2d</w:t>
        </w:r>
        <w:r w:rsidR="00D045EB" w:rsidRPr="003C393F">
          <w:rPr>
            <w:rStyle w:val="Hyperlink"/>
          </w:rPr>
          <w:t xml:space="preserve"> at 883</w:t>
        </w:r>
      </w:hyperlink>
      <w:r w:rsidR="00D045EB" w:rsidRPr="003C393F">
        <w:t>, a</w:t>
      </w:r>
      <w:r w:rsidRPr="003C393F">
        <w:t>nd affirmed as a finding of fact that “there was an oral agreement for Quinn to pay rent to J.S[</w:t>
      </w:r>
      <w:proofErr w:type="spellStart"/>
      <w:r w:rsidRPr="003C393F">
        <w:t>mith</w:t>
      </w:r>
      <w:proofErr w:type="spellEnd"/>
      <w:r w:rsidRPr="003C393F">
        <w:t>]”.</w:t>
      </w:r>
      <w:r w:rsidR="003C393F" w:rsidRPr="003C393F">
        <w:t xml:space="preserve"> </w:t>
      </w:r>
      <w:hyperlink r:id="rId2" w:history="1">
        <w:r w:rsidR="003C393F" w:rsidRPr="003C393F">
          <w:rPr>
            <w:rStyle w:val="Hyperlink"/>
            <w:bCs/>
            <w:i/>
          </w:rPr>
          <w:t xml:space="preserve">Id. </w:t>
        </w:r>
        <w:r w:rsidR="003C393F" w:rsidRPr="003C393F">
          <w:rPr>
            <w:rStyle w:val="Hyperlink"/>
          </w:rPr>
          <w:t>at 88</w:t>
        </w:r>
      </w:hyperlink>
      <w:r w:rsidR="003C393F" w:rsidRPr="003C393F">
        <w:rPr>
          <w:rStyle w:val="Hyperlink"/>
        </w:rPr>
        <w:t>9</w:t>
      </w:r>
      <w:r w:rsidRPr="003C393F">
        <w:t xml:space="preserve"> This was a bit imprecise. What the trial court found was, “[Paragraph] 12. Plaintiff credibly testified that she paid $400 per month to reside in the unit with Ms. Smith and had made her most recent payment in March 2021.” … [Paragraph] 31. Plaintiff … had an oral agreement with Ms. Smith to pay $400 per month to occupy the unit.” </w:t>
      </w:r>
    </w:p>
    <w:p w14:paraId="5CD6BEE7" w14:textId="5F840742" w:rsidR="002D406D" w:rsidRPr="00984938" w:rsidRDefault="002D406D" w:rsidP="008E2FCA">
      <w:pPr>
        <w:pStyle w:val="NormalWeb"/>
        <w:rPr>
          <w:color w:val="222222"/>
          <w:shd w:val="clear" w:color="auto" w:fill="FFFFFF"/>
        </w:rPr>
      </w:pPr>
      <w:r w:rsidRPr="00E56EFB">
        <w:t xml:space="preserve">Careful reading of the transcript indicates that Quinn proved an agreement for some sort of occupancy at $400 per month and payment of the $400. Calling </w:t>
      </w:r>
      <w:r w:rsidR="00AD5427">
        <w:t xml:space="preserve">this “rent” </w:t>
      </w:r>
      <w:r w:rsidRPr="00E56EFB">
        <w:t xml:space="preserve">is a legal conclusion. </w:t>
      </w:r>
      <w:r w:rsidR="00FA6802">
        <w:t xml:space="preserve">“Rent” is payment under a lease or sublease. </w:t>
      </w:r>
      <w:r w:rsidRPr="00E56EFB">
        <w:t>Probably Quinn</w:t>
      </w:r>
      <w:r w:rsidR="001A30B2" w:rsidRPr="00E56EFB">
        <w:t>’s attorney</w:t>
      </w:r>
      <w:r w:rsidRPr="00E56EFB">
        <w:t xml:space="preserve"> did not prove that there was a true sublease between Quinn and Smith. There might have been one but the actual proof and seemingly the finding was that they had formed some sort of contract for occupancy at $400 per month. </w:t>
      </w:r>
      <w:r w:rsidR="001A30B2" w:rsidRPr="00E56EFB">
        <w:t>There was no proof of a specific part of the apartment possessed by Quinn nor of Quinn</w:t>
      </w:r>
      <w:r w:rsidR="0071439D" w:rsidRPr="00E56EFB">
        <w:t>’s</w:t>
      </w:r>
      <w:r w:rsidR="001A30B2" w:rsidRPr="00E56EFB">
        <w:t xml:space="preserve"> having an undivided half interest in the entire apartment</w:t>
      </w:r>
      <w:r w:rsidR="007D3927">
        <w:t>,</w:t>
      </w:r>
      <w:r w:rsidR="001A30B2" w:rsidRPr="00E56EFB">
        <w:t xml:space="preserve"> and thus no full proof of a lease. </w:t>
      </w:r>
      <w:hyperlink r:id="rId3" w:history="1">
        <w:r w:rsidR="008E2FCA" w:rsidRPr="00E56EFB">
          <w:rPr>
            <w:rStyle w:val="Hyperlink"/>
            <w:i/>
            <w:iCs/>
            <w:color w:val="1A0DAB"/>
            <w:shd w:val="clear" w:color="auto" w:fill="FFFFFF"/>
          </w:rPr>
          <w:t xml:space="preserve">Minn. Sands, LLC v. </w:t>
        </w:r>
        <w:proofErr w:type="spellStart"/>
        <w:r w:rsidR="008E2FCA" w:rsidRPr="00E56EFB">
          <w:rPr>
            <w:rStyle w:val="Hyperlink"/>
            <w:i/>
            <w:iCs/>
            <w:color w:val="1A0DAB"/>
            <w:shd w:val="clear" w:color="auto" w:fill="FFFFFF"/>
          </w:rPr>
          <w:t>Cnty</w:t>
        </w:r>
        <w:proofErr w:type="spellEnd"/>
        <w:r w:rsidR="008E2FCA" w:rsidRPr="00E56EFB">
          <w:rPr>
            <w:rStyle w:val="Hyperlink"/>
            <w:i/>
            <w:iCs/>
            <w:color w:val="1A0DAB"/>
            <w:shd w:val="clear" w:color="auto" w:fill="FFFFFF"/>
          </w:rPr>
          <w:t>. of Winona,</w:t>
        </w:r>
        <w:r w:rsidR="008E2FCA" w:rsidRPr="00E56EFB">
          <w:rPr>
            <w:rStyle w:val="Hyperlink"/>
            <w:color w:val="1A0DAB"/>
            <w:shd w:val="clear" w:color="auto" w:fill="FFFFFF"/>
          </w:rPr>
          <w:t> 940 N.W.2d 183,202 (Minn. 2020)</w:t>
        </w:r>
      </w:hyperlink>
      <w:r w:rsidR="004C0633">
        <w:rPr>
          <w:rStyle w:val="Hyperlink"/>
          <w:color w:val="1A0DAB"/>
          <w:shd w:val="clear" w:color="auto" w:fill="FFFFFF"/>
        </w:rPr>
        <w:t xml:space="preserve"> (elements of a lease); </w:t>
      </w:r>
      <w:hyperlink r:id="rId4" w:history="1">
        <w:proofErr w:type="spellStart"/>
        <w:r w:rsidR="004C0633" w:rsidRPr="002162B8">
          <w:rPr>
            <w:rStyle w:val="Hyperlink"/>
            <w:i/>
            <w:iCs/>
          </w:rPr>
          <w:t>Seabloom</w:t>
        </w:r>
        <w:proofErr w:type="spellEnd"/>
        <w:r w:rsidR="004C0633" w:rsidRPr="002162B8">
          <w:rPr>
            <w:rStyle w:val="Hyperlink"/>
            <w:i/>
            <w:iCs/>
          </w:rPr>
          <w:t xml:space="preserve"> v. </w:t>
        </w:r>
        <w:proofErr w:type="spellStart"/>
        <w:r w:rsidR="004C0633" w:rsidRPr="002162B8">
          <w:rPr>
            <w:rStyle w:val="Hyperlink"/>
            <w:i/>
            <w:iCs/>
          </w:rPr>
          <w:t>Krier</w:t>
        </w:r>
        <w:proofErr w:type="spellEnd"/>
        <w:r w:rsidR="004C0633" w:rsidRPr="002162B8">
          <w:rPr>
            <w:rStyle w:val="Hyperlink"/>
          </w:rPr>
          <w:t>, 219 Minn. 362,367, 18 N.W.2d 88,91(1945</w:t>
        </w:r>
        <w:r w:rsidR="004C0633">
          <w:rPr>
            <w:rStyle w:val="Hyperlink"/>
          </w:rPr>
          <w:t>) (lease vs license)</w:t>
        </w:r>
      </w:hyperlink>
      <w:r w:rsidR="004C0633">
        <w:rPr>
          <w:i/>
          <w:iCs/>
        </w:rPr>
        <w:t>.</w:t>
      </w:r>
      <w:r w:rsidR="004C0633">
        <w:rPr>
          <w:rStyle w:val="Hyperlink"/>
          <w:color w:val="1A0DAB"/>
          <w:shd w:val="clear" w:color="auto" w:fill="FFFFFF"/>
        </w:rPr>
        <w:t xml:space="preserve"> </w:t>
      </w:r>
      <w:r w:rsidRPr="00E56EFB">
        <w:t>Indeed, as stated in footnote 1 of the appellate opinion, “Previously [in district court], Quinn also argued that she was a residential tenant under the first prong of the statute because sh</w:t>
      </w:r>
      <w:r w:rsidR="001A30B2" w:rsidRPr="00E56EFB">
        <w:t>e had an oral</w:t>
      </w:r>
      <w:r w:rsidR="0071439D" w:rsidRPr="00E56EFB">
        <w:t xml:space="preserve"> contract with J.S.</w:t>
      </w:r>
      <w:r w:rsidRPr="00E56EFB">
        <w:t xml:space="preserve"> that required the payment of money. Because Quinn did not advance her oral-contract argument as an alternative basis to affirm, we limit our review to whether Quinn</w:t>
      </w:r>
      <w:r w:rsidR="0071439D" w:rsidRPr="00E56EFB">
        <w:t xml:space="preserve"> was an ‘other regular occupant’</w:t>
      </w:r>
      <w:r w:rsidRPr="00E56EFB">
        <w:t xml:space="preserve"> of the apartment.” I.e.</w:t>
      </w:r>
      <w:r w:rsidR="008C2C54" w:rsidRPr="00E56EFB">
        <w:t>,</w:t>
      </w:r>
      <w:r w:rsidRPr="00E56EFB">
        <w:t xml:space="preserve"> the court of appeals assumed that Quinn was not a subtenant of Smith; instead</w:t>
      </w:r>
      <w:r w:rsidR="008C2C54" w:rsidRPr="00E56EFB">
        <w:t>,</w:t>
      </w:r>
      <w:r w:rsidRPr="00E56EFB">
        <w:t xml:space="preserve"> she was a licensee </w:t>
      </w:r>
      <w:r w:rsidR="0071439D" w:rsidRPr="00E56EFB">
        <w:t xml:space="preserve">or something similar </w:t>
      </w:r>
      <w:r w:rsidRPr="00E56EFB">
        <w:t>who paid money to Smith in return for Smith allowing Quinn to live with her.</w:t>
      </w:r>
    </w:p>
  </w:footnote>
  <w:footnote w:id="3">
    <w:p w14:paraId="356681A7" w14:textId="67174A63" w:rsidR="008A2616" w:rsidRPr="00FA6802" w:rsidRDefault="008A2616">
      <w:pPr>
        <w:pStyle w:val="FootnoteText"/>
        <w:rPr>
          <w:rFonts w:ascii="Times New Roman" w:hAnsi="Times New Roman" w:cs="Times New Roman"/>
          <w:sz w:val="24"/>
          <w:szCs w:val="24"/>
        </w:rPr>
      </w:pPr>
      <w:r w:rsidRPr="00FA6802">
        <w:rPr>
          <w:rStyle w:val="FootnoteReference"/>
          <w:rFonts w:ascii="Times New Roman" w:hAnsi="Times New Roman" w:cs="Times New Roman"/>
          <w:sz w:val="24"/>
          <w:szCs w:val="24"/>
        </w:rPr>
        <w:footnoteRef/>
      </w:r>
      <w:r w:rsidRPr="00FA6802">
        <w:rPr>
          <w:rFonts w:ascii="Times New Roman" w:hAnsi="Times New Roman" w:cs="Times New Roman"/>
          <w:sz w:val="24"/>
          <w:szCs w:val="24"/>
        </w:rPr>
        <w:t xml:space="preserve"> The lease (“Exhibit 4”) and the notice (“Exhibit 5”) were obtained from the district court clerk and are made available </w:t>
      </w:r>
      <w:hyperlink r:id="rId5" w:history="1">
        <w:r w:rsidR="006C4CAB" w:rsidRPr="00FA6802">
          <w:rPr>
            <w:rStyle w:val="Hyperlink"/>
            <w:rFonts w:ascii="Times New Roman" w:hAnsi="Times New Roman" w:cs="Times New Roman"/>
            <w:sz w:val="24"/>
            <w:szCs w:val="24"/>
          </w:rPr>
          <w:t>here</w:t>
        </w:r>
      </w:hyperlink>
      <w:r w:rsidRPr="00FA6802">
        <w:rPr>
          <w:rFonts w:ascii="Times New Roman" w:hAnsi="Times New Roman" w:cs="Times New Roman"/>
          <w:sz w:val="24"/>
          <w:szCs w:val="24"/>
        </w:rPr>
        <w:t>.</w:t>
      </w:r>
    </w:p>
    <w:p w14:paraId="3888C66D" w14:textId="77777777" w:rsidR="008A2616" w:rsidRPr="00FA6802" w:rsidRDefault="008A2616">
      <w:pPr>
        <w:pStyle w:val="FootnoteText"/>
        <w:rPr>
          <w:rFonts w:ascii="Times New Roman" w:hAnsi="Times New Roman" w:cs="Times New Roman"/>
          <w:sz w:val="24"/>
          <w:szCs w:val="24"/>
        </w:rPr>
      </w:pPr>
    </w:p>
  </w:footnote>
  <w:footnote w:id="4">
    <w:p w14:paraId="72310682" w14:textId="56622281" w:rsidR="000B39B6" w:rsidRPr="00FA6802" w:rsidRDefault="000B39B6">
      <w:pPr>
        <w:pStyle w:val="FootnoteText"/>
        <w:rPr>
          <w:rFonts w:ascii="Times New Roman" w:hAnsi="Times New Roman" w:cs="Times New Roman"/>
          <w:sz w:val="24"/>
          <w:szCs w:val="24"/>
        </w:rPr>
      </w:pPr>
      <w:r w:rsidRPr="00FA6802">
        <w:rPr>
          <w:rStyle w:val="FootnoteReference"/>
          <w:rFonts w:ascii="Times New Roman" w:hAnsi="Times New Roman" w:cs="Times New Roman"/>
          <w:sz w:val="24"/>
          <w:szCs w:val="24"/>
        </w:rPr>
        <w:footnoteRef/>
      </w:r>
      <w:r w:rsidRPr="00FA6802">
        <w:rPr>
          <w:rFonts w:ascii="Times New Roman" w:hAnsi="Times New Roman" w:cs="Times New Roman"/>
          <w:sz w:val="24"/>
          <w:szCs w:val="24"/>
        </w:rPr>
        <w:t xml:space="preserve"> Quinn was in the apartment when the lock was changed electronically, but was effectively locked out because if she left the apartment she could not reenter. In this day of </w:t>
      </w:r>
      <w:r w:rsidR="00D402D9" w:rsidRPr="00FA6802">
        <w:rPr>
          <w:rFonts w:ascii="Times New Roman" w:hAnsi="Times New Roman" w:cs="Times New Roman"/>
          <w:sz w:val="24"/>
          <w:szCs w:val="24"/>
        </w:rPr>
        <w:t>I</w:t>
      </w:r>
      <w:r w:rsidRPr="00FA6802">
        <w:rPr>
          <w:rFonts w:ascii="Times New Roman" w:hAnsi="Times New Roman" w:cs="Times New Roman"/>
          <w:sz w:val="24"/>
          <w:szCs w:val="24"/>
        </w:rPr>
        <w:t>nternet deliveries</w:t>
      </w:r>
      <w:r w:rsidR="00D402D9" w:rsidRPr="00FA6802">
        <w:rPr>
          <w:rFonts w:ascii="Times New Roman" w:hAnsi="Times New Roman" w:cs="Times New Roman"/>
          <w:sz w:val="24"/>
          <w:szCs w:val="24"/>
        </w:rPr>
        <w:t xml:space="preserve"> and helpful friends</w:t>
      </w:r>
      <w:r w:rsidRPr="00FA6802">
        <w:rPr>
          <w:rFonts w:ascii="Times New Roman" w:hAnsi="Times New Roman" w:cs="Times New Roman"/>
          <w:sz w:val="24"/>
          <w:szCs w:val="24"/>
        </w:rPr>
        <w:t xml:space="preserve">, she managed to survive in this limbo for about </w:t>
      </w:r>
      <w:r w:rsidR="007D3927">
        <w:rPr>
          <w:rFonts w:ascii="Times New Roman" w:hAnsi="Times New Roman" w:cs="Times New Roman"/>
          <w:sz w:val="24"/>
          <w:szCs w:val="24"/>
        </w:rPr>
        <w:t>twelve days</w:t>
      </w:r>
      <w:r w:rsidRPr="00FA6802">
        <w:rPr>
          <w:rFonts w:ascii="Times New Roman" w:hAnsi="Times New Roman" w:cs="Times New Roman"/>
          <w:sz w:val="24"/>
          <w:szCs w:val="24"/>
        </w:rPr>
        <w:t xml:space="preserve"> before electronically filing her lockout petition.</w:t>
      </w:r>
      <w:r w:rsidR="00676D72">
        <w:rPr>
          <w:rFonts w:ascii="Times New Roman" w:hAnsi="Times New Roman" w:cs="Times New Roman"/>
          <w:sz w:val="24"/>
          <w:szCs w:val="24"/>
        </w:rPr>
        <w:t xml:space="preserve"> </w:t>
      </w:r>
      <w:r w:rsidR="008C2C54" w:rsidRPr="00FA6802">
        <w:rPr>
          <w:rFonts w:ascii="Times New Roman" w:hAnsi="Times New Roman" w:cs="Times New Roman"/>
          <w:sz w:val="24"/>
          <w:szCs w:val="24"/>
        </w:rPr>
        <w:t xml:space="preserve">LMC did not </w:t>
      </w:r>
      <w:r w:rsidR="00FA6802" w:rsidRPr="00FA6802">
        <w:rPr>
          <w:rFonts w:ascii="Times New Roman" w:hAnsi="Times New Roman" w:cs="Times New Roman"/>
          <w:sz w:val="24"/>
          <w:szCs w:val="24"/>
        </w:rPr>
        <w:t>c</w:t>
      </w:r>
      <w:r w:rsidRPr="00FA6802">
        <w:rPr>
          <w:rFonts w:ascii="Times New Roman" w:hAnsi="Times New Roman" w:cs="Times New Roman"/>
          <w:sz w:val="24"/>
          <w:szCs w:val="24"/>
        </w:rPr>
        <w:t>ont</w:t>
      </w:r>
      <w:r w:rsidR="008D7D9C" w:rsidRPr="00FA6802">
        <w:rPr>
          <w:rFonts w:ascii="Times New Roman" w:hAnsi="Times New Roman" w:cs="Times New Roman"/>
          <w:sz w:val="24"/>
          <w:szCs w:val="24"/>
        </w:rPr>
        <w:t>est that Quinn was locked out</w:t>
      </w:r>
      <w:r w:rsidR="00D402D9" w:rsidRPr="00FA6802">
        <w:rPr>
          <w:rFonts w:ascii="Times New Roman" w:hAnsi="Times New Roman" w:cs="Times New Roman"/>
          <w:sz w:val="24"/>
          <w:szCs w:val="24"/>
        </w:rPr>
        <w:t>.</w:t>
      </w:r>
    </w:p>
    <w:p w14:paraId="5DD38AEE" w14:textId="77777777" w:rsidR="00D402D9" w:rsidRPr="008E2FCA" w:rsidRDefault="00D402D9">
      <w:pPr>
        <w:pStyle w:val="FootnoteText"/>
        <w:rPr>
          <w:rFonts w:ascii="Times New Roman" w:hAnsi="Times New Roman" w:cs="Times New Roman"/>
          <w:sz w:val="22"/>
          <w:szCs w:val="22"/>
        </w:rPr>
      </w:pPr>
    </w:p>
  </w:footnote>
  <w:footnote w:id="5">
    <w:p w14:paraId="3001D91F" w14:textId="7E3A04C6" w:rsidR="00F5448C" w:rsidRPr="0066037D" w:rsidRDefault="00F5448C">
      <w:pPr>
        <w:pStyle w:val="FootnoteText"/>
        <w:rPr>
          <w:rFonts w:ascii="Times New Roman" w:hAnsi="Times New Roman" w:cs="Times New Roman"/>
          <w:sz w:val="24"/>
          <w:szCs w:val="24"/>
        </w:rPr>
      </w:pPr>
      <w:r w:rsidRPr="0066037D">
        <w:rPr>
          <w:rStyle w:val="FootnoteReference"/>
          <w:rFonts w:ascii="Times New Roman" w:hAnsi="Times New Roman" w:cs="Times New Roman"/>
          <w:sz w:val="24"/>
          <w:szCs w:val="24"/>
        </w:rPr>
        <w:footnoteRef/>
      </w:r>
      <w:r w:rsidRPr="0066037D">
        <w:rPr>
          <w:rFonts w:ascii="Times New Roman" w:hAnsi="Times New Roman" w:cs="Times New Roman"/>
          <w:sz w:val="24"/>
          <w:szCs w:val="24"/>
        </w:rPr>
        <w:t xml:space="preserve"> </w:t>
      </w:r>
      <w:r w:rsidR="0020663F" w:rsidRPr="0066037D">
        <w:rPr>
          <w:rFonts w:ascii="Times New Roman" w:hAnsi="Times New Roman" w:cs="Times New Roman"/>
          <w:sz w:val="24"/>
          <w:szCs w:val="24"/>
        </w:rPr>
        <w:t>A</w:t>
      </w:r>
      <w:r w:rsidR="00477720" w:rsidRPr="0066037D">
        <w:rPr>
          <w:rFonts w:ascii="Times New Roman" w:hAnsi="Times New Roman" w:cs="Times New Roman"/>
          <w:sz w:val="24"/>
          <w:szCs w:val="24"/>
        </w:rPr>
        <w:t xml:space="preserve"> 1989 amendment expanded the definition of a lockout to include situations like Quinn’s where she was physically inside the apartment but was effectively locked out. </w:t>
      </w:r>
      <w:r w:rsidR="0020663F" w:rsidRPr="0066037D">
        <w:rPr>
          <w:rFonts w:ascii="Times New Roman" w:hAnsi="Times New Roman" w:cs="Times New Roman"/>
          <w:sz w:val="24"/>
          <w:szCs w:val="24"/>
        </w:rPr>
        <w:t>A</w:t>
      </w:r>
      <w:r w:rsidR="00477720" w:rsidRPr="0066037D">
        <w:rPr>
          <w:rFonts w:ascii="Times New Roman" w:hAnsi="Times New Roman" w:cs="Times New Roman"/>
          <w:sz w:val="24"/>
          <w:szCs w:val="24"/>
        </w:rPr>
        <w:t xml:space="preserve"> 1992 amendment allowed certain mortgagees and vendees to file a petition under the law</w:t>
      </w:r>
      <w:r w:rsidR="005562C5" w:rsidRPr="0066037D">
        <w:rPr>
          <w:rFonts w:ascii="Times New Roman" w:hAnsi="Times New Roman" w:cs="Times New Roman"/>
          <w:sz w:val="24"/>
          <w:szCs w:val="24"/>
        </w:rPr>
        <w:t xml:space="preserve"> in addition to “</w:t>
      </w:r>
      <w:r w:rsidR="00153957" w:rsidRPr="0066037D">
        <w:rPr>
          <w:rFonts w:ascii="Times New Roman" w:hAnsi="Times New Roman" w:cs="Times New Roman"/>
          <w:sz w:val="24"/>
          <w:szCs w:val="24"/>
        </w:rPr>
        <w:t xml:space="preserve">[residential] </w:t>
      </w:r>
      <w:r w:rsidR="005562C5" w:rsidRPr="0066037D">
        <w:rPr>
          <w:rFonts w:ascii="Times New Roman" w:hAnsi="Times New Roman" w:cs="Times New Roman"/>
          <w:sz w:val="24"/>
          <w:szCs w:val="24"/>
        </w:rPr>
        <w:t>tenants”.</w:t>
      </w:r>
      <w:r w:rsidR="0020663F" w:rsidRPr="0066037D">
        <w:rPr>
          <w:rFonts w:ascii="Times New Roman" w:hAnsi="Times New Roman" w:cs="Times New Roman"/>
          <w:sz w:val="24"/>
          <w:szCs w:val="24"/>
        </w:rPr>
        <w:t xml:space="preserve"> Amendments in 1986, 1998 and 2005 were parts of Revisor’s bills. The 1986 law made changes to render statutes gender neutral. The 1998 bill changed references to municipal court to district court since municipal courts were obsolete. The 2005 bill deleted references to constables and marshals as obsolete positions.</w:t>
      </w:r>
    </w:p>
    <w:p w14:paraId="407013AB" w14:textId="77777777" w:rsidR="00C332CD" w:rsidRPr="001C2624" w:rsidRDefault="00C332CD">
      <w:pPr>
        <w:pStyle w:val="FootnoteText"/>
        <w:rPr>
          <w:rFonts w:ascii="Times New Roman" w:hAnsi="Times New Roman" w:cs="Times New Roman"/>
          <w:sz w:val="28"/>
          <w:szCs w:val="28"/>
        </w:rPr>
      </w:pPr>
    </w:p>
  </w:footnote>
  <w:footnote w:id="6">
    <w:p w14:paraId="04E298B0" w14:textId="6895AEF8" w:rsidR="00C332CD" w:rsidRPr="0066037D" w:rsidRDefault="00C332CD">
      <w:pPr>
        <w:pStyle w:val="FootnoteText"/>
        <w:rPr>
          <w:rFonts w:ascii="Times New Roman" w:hAnsi="Times New Roman" w:cs="Times New Roman"/>
          <w:sz w:val="24"/>
          <w:szCs w:val="24"/>
        </w:rPr>
      </w:pPr>
      <w:r w:rsidRPr="0066037D">
        <w:rPr>
          <w:rStyle w:val="FootnoteReference"/>
          <w:rFonts w:ascii="Times New Roman" w:hAnsi="Times New Roman" w:cs="Times New Roman"/>
          <w:sz w:val="24"/>
          <w:szCs w:val="24"/>
        </w:rPr>
        <w:footnoteRef/>
      </w:r>
      <w:r w:rsidRPr="0066037D">
        <w:rPr>
          <w:rFonts w:ascii="Times New Roman" w:hAnsi="Times New Roman" w:cs="Times New Roman"/>
          <w:sz w:val="24"/>
          <w:szCs w:val="24"/>
        </w:rPr>
        <w:t xml:space="preserve"> The legislative history of this law is available </w:t>
      </w:r>
      <w:r w:rsidR="00A53D8A">
        <w:rPr>
          <w:rFonts w:ascii="Times New Roman" w:hAnsi="Times New Roman" w:cs="Times New Roman"/>
          <w:sz w:val="24"/>
          <w:szCs w:val="24"/>
        </w:rPr>
        <w:t xml:space="preserve">at </w:t>
      </w:r>
      <w:hyperlink r:id="rId6" w:history="1">
        <w:r w:rsidR="00A53D8A" w:rsidRPr="00870E9C">
          <w:rPr>
            <w:rStyle w:val="Hyperlink"/>
            <w:rFonts w:ascii="Times New Roman" w:hAnsi="Times New Roman" w:cs="Times New Roman"/>
            <w:sz w:val="24"/>
            <w:szCs w:val="24"/>
          </w:rPr>
          <w:t>https://birnberglegalwebsite.files.wordpress.com/2023/02/legislative-history-of-1975-minn-laws-ch.-410-c.pdf</w:t>
        </w:r>
      </w:hyperlink>
      <w:r w:rsidR="00A53D8A">
        <w:rPr>
          <w:rFonts w:ascii="Times New Roman" w:hAnsi="Times New Roman" w:cs="Times New Roman"/>
          <w:sz w:val="24"/>
          <w:szCs w:val="24"/>
        </w:rPr>
        <w:t xml:space="preserve"> </w:t>
      </w:r>
    </w:p>
  </w:footnote>
  <w:footnote w:id="7">
    <w:p w14:paraId="48C6EECC" w14:textId="6787C774" w:rsidR="005F0F02" w:rsidRDefault="005F0F02" w:rsidP="002A55F0">
      <w:pPr>
        <w:pStyle w:val="FootnoteText"/>
        <w:rPr>
          <w:rFonts w:ascii="Times New Roman" w:hAnsi="Times New Roman" w:cs="Times New Roman"/>
          <w:color w:val="212529"/>
          <w:sz w:val="24"/>
          <w:szCs w:val="24"/>
          <w:shd w:val="clear" w:color="auto" w:fill="FFFFFF"/>
        </w:rPr>
      </w:pPr>
      <w:r w:rsidRPr="0066037D">
        <w:rPr>
          <w:rStyle w:val="FootnoteReference"/>
          <w:rFonts w:ascii="Times New Roman" w:hAnsi="Times New Roman" w:cs="Times New Roman"/>
          <w:sz w:val="24"/>
          <w:szCs w:val="24"/>
        </w:rPr>
        <w:footnoteRef/>
      </w:r>
      <w:r w:rsidR="002A55F0" w:rsidRPr="0066037D">
        <w:rPr>
          <w:rFonts w:ascii="Times New Roman" w:hAnsi="Times New Roman" w:cs="Times New Roman"/>
          <w:sz w:val="24"/>
          <w:szCs w:val="24"/>
        </w:rPr>
        <w:t xml:space="preserve"> “The purpose of that recodification law was to consolidate, clarify, and recodify the majority of Minnesota's housing statutes under one chapter … [and] it was made clear that no substantive changes to the current housing laws were intended.” </w:t>
      </w:r>
      <w:hyperlink r:id="rId7" w:history="1">
        <w:proofErr w:type="spellStart"/>
        <w:r w:rsidR="002A55F0" w:rsidRPr="0066037D">
          <w:rPr>
            <w:rStyle w:val="Hyperlink"/>
            <w:rFonts w:ascii="Times New Roman" w:hAnsi="Times New Roman" w:cs="Times New Roman"/>
            <w:i/>
            <w:iCs/>
            <w:sz w:val="24"/>
            <w:szCs w:val="24"/>
          </w:rPr>
          <w:t>Occhino</w:t>
        </w:r>
        <w:proofErr w:type="spellEnd"/>
        <w:r w:rsidR="002A55F0" w:rsidRPr="0066037D">
          <w:rPr>
            <w:rStyle w:val="Hyperlink"/>
            <w:rFonts w:ascii="Times New Roman" w:hAnsi="Times New Roman" w:cs="Times New Roman"/>
            <w:i/>
            <w:iCs/>
            <w:sz w:val="24"/>
            <w:szCs w:val="24"/>
          </w:rPr>
          <w:t xml:space="preserve"> v. Grover</w:t>
        </w:r>
        <w:r w:rsidR="002A55F0" w:rsidRPr="0066037D">
          <w:rPr>
            <w:rStyle w:val="Hyperlink"/>
            <w:rFonts w:ascii="Times New Roman" w:hAnsi="Times New Roman" w:cs="Times New Roman"/>
            <w:sz w:val="24"/>
            <w:szCs w:val="24"/>
          </w:rPr>
          <w:t>, 640 N.W.2d 357,362 (Minn. App. 2002)</w:t>
        </w:r>
      </w:hyperlink>
      <w:r w:rsidR="002A55F0" w:rsidRPr="0066037D">
        <w:rPr>
          <w:rFonts w:ascii="Times New Roman" w:hAnsi="Times New Roman" w:cs="Times New Roman"/>
          <w:sz w:val="24"/>
          <w:szCs w:val="24"/>
        </w:rPr>
        <w:t xml:space="preserve">. Between 1973 and 1998, </w:t>
      </w:r>
      <w:r w:rsidR="00291A32" w:rsidRPr="0066037D">
        <w:rPr>
          <w:rFonts w:ascii="Times New Roman" w:hAnsi="Times New Roman" w:cs="Times New Roman"/>
          <w:sz w:val="24"/>
          <w:szCs w:val="24"/>
        </w:rPr>
        <w:t>the definition of “tenant” in section 566.18,</w:t>
      </w:r>
      <w:r w:rsidR="0092722C" w:rsidRPr="0066037D">
        <w:rPr>
          <w:rFonts w:ascii="Times New Roman" w:hAnsi="Times New Roman" w:cs="Times New Roman"/>
          <w:sz w:val="24"/>
          <w:szCs w:val="24"/>
        </w:rPr>
        <w:t xml:space="preserve"> </w:t>
      </w:r>
      <w:r w:rsidR="00291A32" w:rsidRPr="0066037D">
        <w:rPr>
          <w:rFonts w:ascii="Times New Roman" w:hAnsi="Times New Roman" w:cs="Times New Roman"/>
          <w:sz w:val="24"/>
          <w:szCs w:val="24"/>
        </w:rPr>
        <w:t xml:space="preserve">subd. 2 </w:t>
      </w:r>
      <w:r w:rsidR="002A55F0" w:rsidRPr="0066037D">
        <w:rPr>
          <w:rFonts w:ascii="Times New Roman" w:hAnsi="Times New Roman" w:cs="Times New Roman"/>
          <w:sz w:val="24"/>
          <w:szCs w:val="24"/>
        </w:rPr>
        <w:t>had been</w:t>
      </w:r>
      <w:r w:rsidR="00291A32" w:rsidRPr="0066037D">
        <w:rPr>
          <w:rFonts w:ascii="Times New Roman" w:hAnsi="Times New Roman" w:cs="Times New Roman"/>
          <w:sz w:val="24"/>
          <w:szCs w:val="24"/>
        </w:rPr>
        <w:t xml:space="preserve"> amended but not in a way material to the issue in </w:t>
      </w:r>
      <w:r w:rsidR="00291A32" w:rsidRPr="0066037D">
        <w:rPr>
          <w:rFonts w:ascii="Times New Roman" w:hAnsi="Times New Roman" w:cs="Times New Roman"/>
          <w:i/>
          <w:iCs/>
          <w:sz w:val="24"/>
          <w:szCs w:val="24"/>
        </w:rPr>
        <w:t>Quinn</w:t>
      </w:r>
      <w:r w:rsidR="00291A32" w:rsidRPr="0066037D">
        <w:rPr>
          <w:rFonts w:ascii="Times New Roman" w:hAnsi="Times New Roman" w:cs="Times New Roman"/>
          <w:sz w:val="24"/>
          <w:szCs w:val="24"/>
        </w:rPr>
        <w:t>. Residents of manufactured home parks were added as “tenants”</w:t>
      </w:r>
      <w:r w:rsidR="002A55F0" w:rsidRPr="0066037D">
        <w:rPr>
          <w:rFonts w:ascii="Times New Roman" w:hAnsi="Times New Roman" w:cs="Times New Roman"/>
          <w:sz w:val="24"/>
          <w:szCs w:val="24"/>
        </w:rPr>
        <w:t>,</w:t>
      </w:r>
      <w:r w:rsidR="00291A32" w:rsidRPr="0066037D">
        <w:rPr>
          <w:rFonts w:ascii="Times New Roman" w:hAnsi="Times New Roman" w:cs="Times New Roman"/>
          <w:sz w:val="24"/>
          <w:szCs w:val="24"/>
        </w:rPr>
        <w:t xml:space="preserve"> </w:t>
      </w:r>
      <w:hyperlink r:id="rId8" w:history="1">
        <w:r w:rsidR="0092722C" w:rsidRPr="0066037D">
          <w:rPr>
            <w:rStyle w:val="Hyperlink"/>
            <w:rFonts w:ascii="Times New Roman" w:hAnsi="Times New Roman" w:cs="Times New Roman"/>
            <w:color w:val="2B6DAD"/>
            <w:sz w:val="24"/>
            <w:szCs w:val="24"/>
            <w:shd w:val="clear" w:color="auto" w:fill="FFFFFF"/>
          </w:rPr>
          <w:t xml:space="preserve">1982 Minn. Laws </w:t>
        </w:r>
        <w:proofErr w:type="spellStart"/>
        <w:r w:rsidR="0092722C" w:rsidRPr="0066037D">
          <w:rPr>
            <w:rStyle w:val="Hyperlink"/>
            <w:rFonts w:ascii="Times New Roman" w:hAnsi="Times New Roman" w:cs="Times New Roman"/>
            <w:color w:val="2B6DAD"/>
            <w:sz w:val="24"/>
            <w:szCs w:val="24"/>
            <w:shd w:val="clear" w:color="auto" w:fill="FFFFFF"/>
          </w:rPr>
          <w:t>ch.</w:t>
        </w:r>
        <w:proofErr w:type="spellEnd"/>
        <w:r w:rsidR="0092722C" w:rsidRPr="0066037D">
          <w:rPr>
            <w:rStyle w:val="Hyperlink"/>
            <w:rFonts w:ascii="Times New Roman" w:hAnsi="Times New Roman" w:cs="Times New Roman"/>
            <w:color w:val="2B6DAD"/>
            <w:sz w:val="24"/>
            <w:szCs w:val="24"/>
            <w:shd w:val="clear" w:color="auto" w:fill="FFFFFF"/>
          </w:rPr>
          <w:t xml:space="preserve"> 526, art. 2, s.  17</w:t>
        </w:r>
      </w:hyperlink>
      <w:r w:rsidR="002A55F0" w:rsidRPr="0066037D">
        <w:rPr>
          <w:rFonts w:ascii="Times New Roman" w:hAnsi="Times New Roman" w:cs="Times New Roman"/>
          <w:color w:val="212529"/>
          <w:sz w:val="24"/>
          <w:szCs w:val="24"/>
          <w:shd w:val="clear" w:color="auto" w:fill="FFFFFF"/>
        </w:rPr>
        <w:t xml:space="preserve">, and the </w:t>
      </w:r>
      <w:r w:rsidR="00291A32" w:rsidRPr="0066037D">
        <w:rPr>
          <w:rFonts w:ascii="Times New Roman" w:hAnsi="Times New Roman" w:cs="Times New Roman"/>
          <w:sz w:val="24"/>
          <w:szCs w:val="24"/>
        </w:rPr>
        <w:t xml:space="preserve">consideration by the main tenant was </w:t>
      </w:r>
      <w:r w:rsidR="002A55F0" w:rsidRPr="0066037D">
        <w:rPr>
          <w:rFonts w:ascii="Times New Roman" w:hAnsi="Times New Roman" w:cs="Times New Roman"/>
          <w:sz w:val="24"/>
          <w:szCs w:val="24"/>
        </w:rPr>
        <w:t xml:space="preserve">expanded by changing </w:t>
      </w:r>
      <w:r w:rsidR="00291A32" w:rsidRPr="0066037D">
        <w:rPr>
          <w:rFonts w:ascii="Times New Roman" w:hAnsi="Times New Roman" w:cs="Times New Roman"/>
          <w:sz w:val="24"/>
          <w:szCs w:val="24"/>
        </w:rPr>
        <w:t xml:space="preserve">“moneys” to “money or exchange of services”. </w:t>
      </w:r>
      <w:hyperlink r:id="rId9" w:history="1">
        <w:r w:rsidR="00291A32" w:rsidRPr="0066037D">
          <w:rPr>
            <w:rStyle w:val="Hyperlink"/>
            <w:rFonts w:ascii="Times New Roman" w:hAnsi="Times New Roman" w:cs="Times New Roman"/>
            <w:color w:val="2B6DAD"/>
            <w:sz w:val="24"/>
            <w:szCs w:val="24"/>
            <w:shd w:val="clear" w:color="auto" w:fill="FFFFFF"/>
          </w:rPr>
          <w:t xml:space="preserve">1993 Minn. Laws </w:t>
        </w:r>
        <w:proofErr w:type="spellStart"/>
        <w:r w:rsidR="00291A32" w:rsidRPr="0066037D">
          <w:rPr>
            <w:rStyle w:val="Hyperlink"/>
            <w:rFonts w:ascii="Times New Roman" w:hAnsi="Times New Roman" w:cs="Times New Roman"/>
            <w:color w:val="2B6DAD"/>
            <w:sz w:val="24"/>
            <w:szCs w:val="24"/>
            <w:shd w:val="clear" w:color="auto" w:fill="FFFFFF"/>
          </w:rPr>
          <w:t>ch</w:t>
        </w:r>
        <w:proofErr w:type="spellEnd"/>
        <w:r w:rsidR="00291A32" w:rsidRPr="0066037D">
          <w:rPr>
            <w:rStyle w:val="Hyperlink"/>
            <w:rFonts w:ascii="Times New Roman" w:hAnsi="Times New Roman" w:cs="Times New Roman"/>
            <w:color w:val="2B6DAD"/>
            <w:sz w:val="24"/>
            <w:szCs w:val="24"/>
            <w:shd w:val="clear" w:color="auto" w:fill="FFFFFF"/>
          </w:rPr>
          <w:t xml:space="preserve"> 317, s</w:t>
        </w:r>
        <w:r w:rsidR="0092722C" w:rsidRPr="0066037D">
          <w:rPr>
            <w:rStyle w:val="Hyperlink"/>
            <w:rFonts w:ascii="Times New Roman" w:hAnsi="Times New Roman" w:cs="Times New Roman"/>
            <w:color w:val="2B6DAD"/>
            <w:sz w:val="24"/>
            <w:szCs w:val="24"/>
            <w:shd w:val="clear" w:color="auto" w:fill="FFFFFF"/>
          </w:rPr>
          <w:t>.</w:t>
        </w:r>
        <w:r w:rsidR="00291A32" w:rsidRPr="0066037D">
          <w:rPr>
            <w:rStyle w:val="Hyperlink"/>
            <w:rFonts w:ascii="Times New Roman" w:hAnsi="Times New Roman" w:cs="Times New Roman"/>
            <w:color w:val="2B6DAD"/>
            <w:sz w:val="24"/>
            <w:szCs w:val="24"/>
            <w:shd w:val="clear" w:color="auto" w:fill="FFFFFF"/>
          </w:rPr>
          <w:t xml:space="preserve"> 14</w:t>
        </w:r>
      </w:hyperlink>
      <w:r w:rsidR="00291A32" w:rsidRPr="0066037D">
        <w:rPr>
          <w:rFonts w:ascii="Times New Roman" w:hAnsi="Times New Roman" w:cs="Times New Roman"/>
          <w:color w:val="212529"/>
          <w:sz w:val="24"/>
          <w:szCs w:val="24"/>
          <w:shd w:val="clear" w:color="auto" w:fill="FFFFFF"/>
        </w:rPr>
        <w:t xml:space="preserve">. </w:t>
      </w:r>
    </w:p>
    <w:p w14:paraId="07E5051B" w14:textId="77777777" w:rsidR="001B1131" w:rsidRPr="0066037D" w:rsidRDefault="001B1131" w:rsidP="002A55F0">
      <w:pPr>
        <w:pStyle w:val="FootnoteText"/>
        <w:rPr>
          <w:rFonts w:ascii="Times New Roman" w:hAnsi="Times New Roman" w:cs="Times New Roman"/>
          <w:i/>
          <w:iCs/>
          <w:color w:val="0000FF"/>
          <w:sz w:val="24"/>
          <w:szCs w:val="24"/>
          <w:u w:val="single"/>
        </w:rPr>
      </w:pPr>
    </w:p>
  </w:footnote>
  <w:footnote w:id="8">
    <w:p w14:paraId="62F357C8" w14:textId="0FDA7D96" w:rsidR="001B1131" w:rsidRDefault="001B1131">
      <w:pPr>
        <w:pStyle w:val="FootnoteText"/>
        <w:rPr>
          <w:rFonts w:ascii="Times New Roman" w:hAnsi="Times New Roman" w:cs="Times New Roman"/>
          <w:sz w:val="24"/>
          <w:szCs w:val="24"/>
        </w:rPr>
      </w:pPr>
      <w:r w:rsidRPr="001B1131">
        <w:rPr>
          <w:rStyle w:val="FootnoteReference"/>
          <w:rFonts w:ascii="Times New Roman" w:hAnsi="Times New Roman" w:cs="Times New Roman"/>
          <w:sz w:val="24"/>
          <w:szCs w:val="24"/>
        </w:rPr>
        <w:footnoteRef/>
      </w:r>
      <w:r w:rsidRPr="001B1131">
        <w:rPr>
          <w:rFonts w:ascii="Times New Roman" w:hAnsi="Times New Roman" w:cs="Times New Roman"/>
          <w:sz w:val="24"/>
          <w:szCs w:val="24"/>
        </w:rPr>
        <w:t xml:space="preserve"> See this </w:t>
      </w:r>
      <w:hyperlink r:id="rId10" w:history="1">
        <w:r w:rsidRPr="001B1131">
          <w:rPr>
            <w:rStyle w:val="Hyperlink"/>
            <w:rFonts w:ascii="Times New Roman" w:hAnsi="Times New Roman" w:cs="Times New Roman"/>
            <w:sz w:val="24"/>
            <w:szCs w:val="24"/>
          </w:rPr>
          <w:t xml:space="preserve">Compiled </w:t>
        </w:r>
        <w:r w:rsidR="00AA2554">
          <w:rPr>
            <w:rStyle w:val="Hyperlink"/>
            <w:rFonts w:ascii="Times New Roman" w:hAnsi="Times New Roman" w:cs="Times New Roman"/>
            <w:sz w:val="24"/>
            <w:szCs w:val="24"/>
          </w:rPr>
          <w:t xml:space="preserve">1971 </w:t>
        </w:r>
        <w:r w:rsidRPr="001B1131">
          <w:rPr>
            <w:rStyle w:val="Hyperlink"/>
            <w:rFonts w:ascii="Times New Roman" w:hAnsi="Times New Roman" w:cs="Times New Roman"/>
            <w:sz w:val="24"/>
            <w:szCs w:val="24"/>
          </w:rPr>
          <w:t xml:space="preserve">Legislative History </w:t>
        </w:r>
        <w:r w:rsidR="00AA2554">
          <w:rPr>
            <w:rStyle w:val="Hyperlink"/>
            <w:rFonts w:ascii="Times New Roman" w:hAnsi="Times New Roman" w:cs="Times New Roman"/>
            <w:sz w:val="24"/>
            <w:szCs w:val="24"/>
          </w:rPr>
          <w:t>of TRA Bill</w:t>
        </w:r>
      </w:hyperlink>
      <w:r w:rsidR="00522914">
        <w:rPr>
          <w:rFonts w:ascii="Times New Roman" w:hAnsi="Times New Roman" w:cs="Times New Roman"/>
          <w:sz w:val="24"/>
          <w:szCs w:val="24"/>
        </w:rPr>
        <w:t xml:space="preserve">, as well as this </w:t>
      </w:r>
      <w:hyperlink r:id="rId11" w:history="1">
        <w:r w:rsidR="00522914" w:rsidRPr="00522914">
          <w:rPr>
            <w:rStyle w:val="Hyperlink"/>
            <w:rFonts w:ascii="Times New Roman" w:hAnsi="Times New Roman" w:cs="Times New Roman"/>
            <w:sz w:val="24"/>
            <w:szCs w:val="24"/>
          </w:rPr>
          <w:t>news article in the May 10, 1971 Minneapolis Star</w:t>
        </w:r>
      </w:hyperlink>
      <w:r w:rsidR="00522914">
        <w:rPr>
          <w:rFonts w:ascii="Times New Roman" w:hAnsi="Times New Roman" w:cs="Times New Roman"/>
          <w:sz w:val="24"/>
          <w:szCs w:val="24"/>
        </w:rPr>
        <w:t xml:space="preserve"> (second column).</w:t>
      </w:r>
    </w:p>
    <w:p w14:paraId="486867EE" w14:textId="77777777" w:rsidR="00522914" w:rsidRPr="001B1131" w:rsidRDefault="00522914">
      <w:pPr>
        <w:pStyle w:val="FootnoteText"/>
        <w:rPr>
          <w:rFonts w:ascii="Times New Roman" w:hAnsi="Times New Roman" w:cs="Times New Roman"/>
          <w:sz w:val="24"/>
          <w:szCs w:val="24"/>
        </w:rPr>
      </w:pPr>
    </w:p>
  </w:footnote>
  <w:footnote w:id="9">
    <w:p w14:paraId="29FFBC65" w14:textId="43942E78" w:rsidR="00A5031F" w:rsidRPr="00D3197A" w:rsidRDefault="00A5031F">
      <w:pPr>
        <w:pStyle w:val="FootnoteText"/>
        <w:rPr>
          <w:rStyle w:val="Hyperlink"/>
          <w:rFonts w:ascii="Times New Roman" w:hAnsi="Times New Roman" w:cs="Times New Roman"/>
          <w:sz w:val="24"/>
          <w:szCs w:val="24"/>
        </w:rPr>
      </w:pPr>
      <w:r w:rsidRPr="00D3197A">
        <w:rPr>
          <w:rStyle w:val="FootnoteReference"/>
          <w:rFonts w:ascii="Times New Roman" w:hAnsi="Times New Roman" w:cs="Times New Roman"/>
          <w:sz w:val="24"/>
          <w:szCs w:val="24"/>
        </w:rPr>
        <w:footnoteRef/>
      </w:r>
      <w:r w:rsidRPr="00D3197A">
        <w:rPr>
          <w:rFonts w:ascii="Times New Roman" w:hAnsi="Times New Roman" w:cs="Times New Roman"/>
          <w:sz w:val="24"/>
          <w:szCs w:val="24"/>
        </w:rPr>
        <w:t xml:space="preserve"> Compare the original HF 1163 (</w:t>
      </w:r>
      <w:r w:rsidR="00585EF5">
        <w:rPr>
          <w:rFonts w:ascii="Times New Roman" w:hAnsi="Times New Roman" w:cs="Times New Roman"/>
          <w:sz w:val="24"/>
          <w:szCs w:val="24"/>
        </w:rPr>
        <w:t>Endnote 1</w:t>
      </w:r>
      <w:r w:rsidRPr="00D3197A">
        <w:rPr>
          <w:rFonts w:ascii="Times New Roman" w:hAnsi="Times New Roman" w:cs="Times New Roman"/>
          <w:sz w:val="24"/>
          <w:szCs w:val="24"/>
        </w:rPr>
        <w:t xml:space="preserve"> in </w:t>
      </w:r>
      <w:hyperlink r:id="rId12" w:history="1">
        <w:r w:rsidRPr="00D3197A">
          <w:rPr>
            <w:rStyle w:val="Hyperlink"/>
            <w:rFonts w:ascii="Times New Roman" w:hAnsi="Times New Roman" w:cs="Times New Roman"/>
            <w:sz w:val="24"/>
            <w:szCs w:val="24"/>
          </w:rPr>
          <w:t>Compiled 1971 Legislative History of TRA Bill</w:t>
        </w:r>
      </w:hyperlink>
      <w:r w:rsidRPr="00D3197A">
        <w:rPr>
          <w:rFonts w:ascii="Times New Roman" w:hAnsi="Times New Roman" w:cs="Times New Roman"/>
          <w:sz w:val="24"/>
          <w:szCs w:val="24"/>
        </w:rPr>
        <w:t xml:space="preserve">) to the TRA </w:t>
      </w:r>
      <w:r w:rsidR="00585EF5">
        <w:rPr>
          <w:rFonts w:ascii="Times New Roman" w:hAnsi="Times New Roman" w:cs="Times New Roman"/>
          <w:sz w:val="24"/>
          <w:szCs w:val="24"/>
        </w:rPr>
        <w:t xml:space="preserve">as </w:t>
      </w:r>
      <w:r w:rsidRPr="00D3197A">
        <w:rPr>
          <w:rFonts w:ascii="Times New Roman" w:hAnsi="Times New Roman" w:cs="Times New Roman"/>
          <w:sz w:val="24"/>
          <w:szCs w:val="24"/>
        </w:rPr>
        <w:t xml:space="preserve">enacted in 1973, </w:t>
      </w:r>
      <w:hyperlink r:id="rId13" w:history="1">
        <w:r w:rsidRPr="00D3197A">
          <w:rPr>
            <w:rStyle w:val="Hyperlink"/>
            <w:rFonts w:ascii="Times New Roman" w:hAnsi="Times New Roman" w:cs="Times New Roman"/>
            <w:sz w:val="24"/>
            <w:szCs w:val="24"/>
          </w:rPr>
          <w:t xml:space="preserve">1973 Minn. Laws </w:t>
        </w:r>
        <w:proofErr w:type="spellStart"/>
        <w:r w:rsidRPr="00D3197A">
          <w:rPr>
            <w:rStyle w:val="Hyperlink"/>
            <w:rFonts w:ascii="Times New Roman" w:hAnsi="Times New Roman" w:cs="Times New Roman"/>
            <w:sz w:val="24"/>
            <w:szCs w:val="24"/>
          </w:rPr>
          <w:t>ch.</w:t>
        </w:r>
        <w:proofErr w:type="spellEnd"/>
        <w:r w:rsidRPr="00D3197A">
          <w:rPr>
            <w:rStyle w:val="Hyperlink"/>
            <w:rFonts w:ascii="Times New Roman" w:hAnsi="Times New Roman" w:cs="Times New Roman"/>
            <w:sz w:val="24"/>
            <w:szCs w:val="24"/>
          </w:rPr>
          <w:t xml:space="preserve"> 611, s. 18-</w:t>
        </w:r>
        <w:r w:rsidR="00036681" w:rsidRPr="00D3197A">
          <w:rPr>
            <w:rStyle w:val="Hyperlink"/>
            <w:rFonts w:ascii="Times New Roman" w:hAnsi="Times New Roman" w:cs="Times New Roman"/>
            <w:sz w:val="24"/>
            <w:szCs w:val="24"/>
          </w:rPr>
          <w:t>28</w:t>
        </w:r>
      </w:hyperlink>
    </w:p>
    <w:p w14:paraId="5392D476" w14:textId="77777777" w:rsidR="00262070" w:rsidRPr="00A5031F" w:rsidRDefault="00262070">
      <w:pPr>
        <w:pStyle w:val="FootnoteText"/>
      </w:pPr>
    </w:p>
  </w:footnote>
  <w:footnote w:id="10">
    <w:p w14:paraId="67C55FE8" w14:textId="77777777" w:rsidR="00CC6A63" w:rsidRDefault="00CC6A63" w:rsidP="00CC6A63">
      <w:pPr>
        <w:pStyle w:val="FootnoteText"/>
        <w:rPr>
          <w:rStyle w:val="Hyperlink"/>
          <w:rFonts w:ascii="Times New Roman" w:hAnsi="Times New Roman" w:cs="Times New Roman"/>
          <w:sz w:val="24"/>
          <w:szCs w:val="24"/>
        </w:rPr>
      </w:pPr>
      <w:r w:rsidRPr="001B1131">
        <w:rPr>
          <w:rStyle w:val="FootnoteReference"/>
          <w:rFonts w:ascii="Times New Roman" w:hAnsi="Times New Roman" w:cs="Times New Roman"/>
          <w:sz w:val="24"/>
          <w:szCs w:val="24"/>
        </w:rPr>
        <w:footnoteRef/>
      </w:r>
      <w:r w:rsidRPr="001B1131">
        <w:rPr>
          <w:rFonts w:ascii="Times New Roman" w:hAnsi="Times New Roman" w:cs="Times New Roman"/>
          <w:sz w:val="24"/>
          <w:szCs w:val="24"/>
        </w:rPr>
        <w:t xml:space="preserve"> See </w:t>
      </w:r>
      <w:r>
        <w:rPr>
          <w:rFonts w:ascii="Times New Roman" w:hAnsi="Times New Roman" w:cs="Times New Roman"/>
          <w:sz w:val="24"/>
          <w:szCs w:val="24"/>
        </w:rPr>
        <w:t>the</w:t>
      </w:r>
      <w:r w:rsidRPr="001B1131">
        <w:rPr>
          <w:rFonts w:ascii="Times New Roman" w:hAnsi="Times New Roman" w:cs="Times New Roman"/>
          <w:sz w:val="24"/>
          <w:szCs w:val="24"/>
        </w:rPr>
        <w:t xml:space="preserve"> </w:t>
      </w:r>
      <w:hyperlink r:id="rId14" w:history="1">
        <w:r w:rsidRPr="001B1131">
          <w:rPr>
            <w:rStyle w:val="Hyperlink"/>
            <w:rFonts w:ascii="Times New Roman" w:hAnsi="Times New Roman" w:cs="Times New Roman"/>
            <w:sz w:val="24"/>
            <w:szCs w:val="24"/>
          </w:rPr>
          <w:t xml:space="preserve">Compiled </w:t>
        </w:r>
        <w:r>
          <w:rPr>
            <w:rStyle w:val="Hyperlink"/>
            <w:rFonts w:ascii="Times New Roman" w:hAnsi="Times New Roman" w:cs="Times New Roman"/>
            <w:sz w:val="24"/>
            <w:szCs w:val="24"/>
          </w:rPr>
          <w:t xml:space="preserve">1971 </w:t>
        </w:r>
        <w:r w:rsidRPr="001B1131">
          <w:rPr>
            <w:rStyle w:val="Hyperlink"/>
            <w:rFonts w:ascii="Times New Roman" w:hAnsi="Times New Roman" w:cs="Times New Roman"/>
            <w:sz w:val="24"/>
            <w:szCs w:val="24"/>
          </w:rPr>
          <w:t xml:space="preserve">Legislative History </w:t>
        </w:r>
        <w:r>
          <w:rPr>
            <w:rStyle w:val="Hyperlink"/>
            <w:rFonts w:ascii="Times New Roman" w:hAnsi="Times New Roman" w:cs="Times New Roman"/>
            <w:sz w:val="24"/>
            <w:szCs w:val="24"/>
          </w:rPr>
          <w:t>of TRA Bill</w:t>
        </w:r>
      </w:hyperlink>
      <w:r>
        <w:rPr>
          <w:rStyle w:val="Hyperlink"/>
          <w:rFonts w:ascii="Times New Roman" w:hAnsi="Times New Roman" w:cs="Times New Roman"/>
          <w:sz w:val="24"/>
          <w:szCs w:val="24"/>
        </w:rPr>
        <w:t>.</w:t>
      </w:r>
    </w:p>
    <w:p w14:paraId="19FD3461" w14:textId="77777777" w:rsidR="00CC6A63" w:rsidRPr="001B1131" w:rsidRDefault="00CC6A63" w:rsidP="00CC6A63">
      <w:pPr>
        <w:pStyle w:val="FootnoteText"/>
        <w:rPr>
          <w:rFonts w:ascii="Times New Roman" w:hAnsi="Times New Roman" w:cs="Times New Roman"/>
          <w:sz w:val="24"/>
          <w:szCs w:val="24"/>
        </w:rPr>
      </w:pPr>
    </w:p>
  </w:footnote>
  <w:footnote w:id="11">
    <w:p w14:paraId="771520AA" w14:textId="40F416FB" w:rsidR="0051150B" w:rsidRDefault="0051150B" w:rsidP="0051150B">
      <w:pPr>
        <w:pStyle w:val="FootnoteText"/>
        <w:rPr>
          <w:rStyle w:val="Hyperlink"/>
          <w:rFonts w:ascii="Times New Roman" w:hAnsi="Times New Roman" w:cs="Times New Roman"/>
          <w:sz w:val="24"/>
          <w:szCs w:val="24"/>
        </w:rPr>
      </w:pPr>
      <w:r w:rsidRPr="001B1131">
        <w:rPr>
          <w:rStyle w:val="FootnoteReference"/>
          <w:rFonts w:ascii="Times New Roman" w:hAnsi="Times New Roman" w:cs="Times New Roman"/>
          <w:sz w:val="24"/>
          <w:szCs w:val="24"/>
        </w:rPr>
        <w:footnoteRef/>
      </w:r>
      <w:r w:rsidRPr="001B1131">
        <w:rPr>
          <w:rFonts w:ascii="Times New Roman" w:hAnsi="Times New Roman" w:cs="Times New Roman"/>
          <w:sz w:val="24"/>
          <w:szCs w:val="24"/>
        </w:rPr>
        <w:t xml:space="preserve"> See</w:t>
      </w:r>
      <w:r>
        <w:rPr>
          <w:rFonts w:ascii="Times New Roman" w:hAnsi="Times New Roman" w:cs="Times New Roman"/>
          <w:sz w:val="24"/>
          <w:szCs w:val="24"/>
        </w:rPr>
        <w:t xml:space="preserve"> Endnote 5 in</w:t>
      </w:r>
      <w:r w:rsidRPr="001B1131">
        <w:rPr>
          <w:rFonts w:ascii="Times New Roman" w:hAnsi="Times New Roman" w:cs="Times New Roman"/>
          <w:sz w:val="24"/>
          <w:szCs w:val="24"/>
        </w:rPr>
        <w:t xml:space="preserve"> </w:t>
      </w:r>
      <w:r>
        <w:rPr>
          <w:rFonts w:ascii="Times New Roman" w:hAnsi="Times New Roman" w:cs="Times New Roman"/>
          <w:sz w:val="24"/>
          <w:szCs w:val="24"/>
        </w:rPr>
        <w:t>the</w:t>
      </w:r>
      <w:r w:rsidRPr="001B1131">
        <w:rPr>
          <w:rFonts w:ascii="Times New Roman" w:hAnsi="Times New Roman" w:cs="Times New Roman"/>
          <w:sz w:val="24"/>
          <w:szCs w:val="24"/>
        </w:rPr>
        <w:t xml:space="preserve"> </w:t>
      </w:r>
      <w:hyperlink r:id="rId15" w:history="1">
        <w:r w:rsidRPr="001B1131">
          <w:rPr>
            <w:rStyle w:val="Hyperlink"/>
            <w:rFonts w:ascii="Times New Roman" w:hAnsi="Times New Roman" w:cs="Times New Roman"/>
            <w:sz w:val="24"/>
            <w:szCs w:val="24"/>
          </w:rPr>
          <w:t xml:space="preserve">Compiled </w:t>
        </w:r>
        <w:r>
          <w:rPr>
            <w:rStyle w:val="Hyperlink"/>
            <w:rFonts w:ascii="Times New Roman" w:hAnsi="Times New Roman" w:cs="Times New Roman"/>
            <w:sz w:val="24"/>
            <w:szCs w:val="24"/>
          </w:rPr>
          <w:t xml:space="preserve">1971 </w:t>
        </w:r>
        <w:r w:rsidRPr="001B1131">
          <w:rPr>
            <w:rStyle w:val="Hyperlink"/>
            <w:rFonts w:ascii="Times New Roman" w:hAnsi="Times New Roman" w:cs="Times New Roman"/>
            <w:sz w:val="24"/>
            <w:szCs w:val="24"/>
          </w:rPr>
          <w:t xml:space="preserve">Legislative History </w:t>
        </w:r>
        <w:r>
          <w:rPr>
            <w:rStyle w:val="Hyperlink"/>
            <w:rFonts w:ascii="Times New Roman" w:hAnsi="Times New Roman" w:cs="Times New Roman"/>
            <w:sz w:val="24"/>
            <w:szCs w:val="24"/>
          </w:rPr>
          <w:t>of TRA Bill</w:t>
        </w:r>
      </w:hyperlink>
      <w:r>
        <w:rPr>
          <w:rStyle w:val="Hyperlink"/>
          <w:rFonts w:ascii="Times New Roman" w:hAnsi="Times New Roman" w:cs="Times New Roman"/>
          <w:sz w:val="24"/>
          <w:szCs w:val="24"/>
        </w:rPr>
        <w:t xml:space="preserve"> </w:t>
      </w:r>
      <w:r>
        <w:rPr>
          <w:rFonts w:ascii="Times New Roman" w:hAnsi="Times New Roman" w:cs="Times New Roman"/>
          <w:sz w:val="24"/>
          <w:szCs w:val="24"/>
        </w:rPr>
        <w:t>for confirmation of the bill’s death.</w:t>
      </w:r>
    </w:p>
    <w:p w14:paraId="009305BC" w14:textId="77777777" w:rsidR="0051150B" w:rsidRPr="001B1131" w:rsidRDefault="0051150B" w:rsidP="0051150B">
      <w:pPr>
        <w:pStyle w:val="FootnoteText"/>
        <w:rPr>
          <w:rFonts w:ascii="Times New Roman" w:hAnsi="Times New Roman" w:cs="Times New Roman"/>
          <w:sz w:val="24"/>
          <w:szCs w:val="24"/>
        </w:rPr>
      </w:pPr>
    </w:p>
  </w:footnote>
  <w:footnote w:id="12">
    <w:p w14:paraId="214DA516" w14:textId="1274B584" w:rsidR="00070613" w:rsidRDefault="00070613" w:rsidP="00070613">
      <w:pPr>
        <w:pageBreakBefore/>
      </w:pPr>
      <w:r w:rsidRPr="00070613">
        <w:rPr>
          <w:rStyle w:val="FootnoteReference"/>
          <w:rFonts w:ascii="Times New Roman" w:hAnsi="Times New Roman" w:cs="Times New Roman"/>
          <w:sz w:val="24"/>
          <w:szCs w:val="24"/>
        </w:rPr>
        <w:footnoteRef/>
      </w:r>
      <w:r w:rsidRPr="00070613">
        <w:rPr>
          <w:rFonts w:ascii="Times New Roman" w:hAnsi="Times New Roman" w:cs="Times New Roman"/>
          <w:sz w:val="24"/>
          <w:szCs w:val="24"/>
        </w:rPr>
        <w:t xml:space="preserve"> </w:t>
      </w:r>
      <w:r>
        <w:rPr>
          <w:rFonts w:ascii="Times New Roman" w:hAnsi="Times New Roman" w:cs="Times New Roman"/>
          <w:sz w:val="24"/>
          <w:szCs w:val="24"/>
        </w:rPr>
        <w:t xml:space="preserve">See </w:t>
      </w:r>
      <w:hyperlink r:id="rId16" w:history="1">
        <w:r w:rsidRPr="00070613">
          <w:rPr>
            <w:rStyle w:val="Hyperlink"/>
            <w:rFonts w:ascii="Times New Roman" w:hAnsi="Times New Roman" w:cs="Times New Roman"/>
            <w:sz w:val="24"/>
            <w:szCs w:val="24"/>
          </w:rPr>
          <w:t xml:space="preserve">Detailed Legislative History of 1971 Minn. Laws </w:t>
        </w:r>
        <w:proofErr w:type="spellStart"/>
        <w:r w:rsidRPr="00070613">
          <w:rPr>
            <w:rStyle w:val="Hyperlink"/>
            <w:rFonts w:ascii="Times New Roman" w:hAnsi="Times New Roman" w:cs="Times New Roman"/>
            <w:sz w:val="24"/>
            <w:szCs w:val="24"/>
          </w:rPr>
          <w:t>ch.</w:t>
        </w:r>
        <w:proofErr w:type="spellEnd"/>
        <w:r w:rsidRPr="00070613">
          <w:rPr>
            <w:rStyle w:val="Hyperlink"/>
            <w:rFonts w:ascii="Times New Roman" w:hAnsi="Times New Roman" w:cs="Times New Roman"/>
            <w:sz w:val="24"/>
            <w:szCs w:val="24"/>
          </w:rPr>
          <w:t xml:space="preserve"> 219</w:t>
        </w:r>
      </w:hyperlink>
      <w:r w:rsidRPr="00070613">
        <w:rPr>
          <w:rFonts w:ascii="Times New Roman" w:hAnsi="Times New Roman" w:cs="Times New Roman"/>
          <w:sz w:val="24"/>
          <w:szCs w:val="24"/>
        </w:rPr>
        <w:t xml:space="preserve"> </w:t>
      </w:r>
      <w:r w:rsidR="00E74EDF">
        <w:rPr>
          <w:rFonts w:ascii="Times New Roman" w:hAnsi="Times New Roman" w:cs="Times New Roman"/>
          <w:sz w:val="24"/>
          <w:szCs w:val="24"/>
        </w:rPr>
        <w:t xml:space="preserve">at </w:t>
      </w:r>
      <w:r w:rsidRPr="00070613">
        <w:rPr>
          <w:rFonts w:ascii="Times New Roman" w:hAnsi="Times New Roman" w:cs="Times New Roman"/>
          <w:sz w:val="24"/>
          <w:szCs w:val="24"/>
        </w:rPr>
        <w:t xml:space="preserve">PDF page 3. </w:t>
      </w:r>
      <w:r>
        <w:rPr>
          <w:rFonts w:ascii="Times New Roman" w:hAnsi="Times New Roman" w:cs="Times New Roman"/>
          <w:sz w:val="24"/>
          <w:szCs w:val="24"/>
        </w:rPr>
        <w:t>T</w:t>
      </w:r>
      <w:r w:rsidRPr="00070613">
        <w:rPr>
          <w:rFonts w:ascii="Times New Roman" w:hAnsi="Times New Roman" w:cs="Times New Roman"/>
          <w:sz w:val="24"/>
          <w:szCs w:val="24"/>
        </w:rPr>
        <w:t>he original bill was amended and the paragraph headings altered (as indicated by “[c]”</w:t>
      </w:r>
      <w:r w:rsidR="00375DF1">
        <w:rPr>
          <w:rFonts w:ascii="Times New Roman" w:hAnsi="Times New Roman" w:cs="Times New Roman"/>
          <w:sz w:val="24"/>
          <w:szCs w:val="24"/>
        </w:rPr>
        <w:t>)</w:t>
      </w:r>
      <w:r w:rsidRPr="00070613">
        <w:rPr>
          <w:rFonts w:ascii="Times New Roman" w:hAnsi="Times New Roman" w:cs="Times New Roman"/>
          <w:sz w:val="24"/>
          <w:szCs w:val="24"/>
        </w:rPr>
        <w:t xml:space="preserve"> but not in any way material to this essay.</w:t>
      </w:r>
      <w:r w:rsidR="00E74EDF">
        <w:rPr>
          <w:rFonts w:ascii="Times New Roman" w:hAnsi="Times New Roman" w:cs="Times New Roman"/>
          <w:sz w:val="24"/>
          <w:szCs w:val="24"/>
        </w:rPr>
        <w:t xml:space="preserve"> See pages 1-2,4 of </w:t>
      </w:r>
      <w:r w:rsidR="00375DF1">
        <w:rPr>
          <w:rFonts w:ascii="Times New Roman" w:hAnsi="Times New Roman" w:cs="Times New Roman"/>
          <w:sz w:val="24"/>
          <w:szCs w:val="24"/>
        </w:rPr>
        <w:t>the</w:t>
      </w:r>
      <w:r w:rsidR="00E74EDF">
        <w:rPr>
          <w:rFonts w:ascii="Times New Roman" w:hAnsi="Times New Roman" w:cs="Times New Roman"/>
          <w:sz w:val="24"/>
          <w:szCs w:val="24"/>
        </w:rPr>
        <w:t xml:space="preserve"> legislative history.</w:t>
      </w:r>
    </w:p>
  </w:footnote>
  <w:footnote w:id="13">
    <w:p w14:paraId="6614E622" w14:textId="330DAE47" w:rsidR="004F661F" w:rsidRDefault="0027053B">
      <w:pPr>
        <w:pStyle w:val="FootnoteText"/>
        <w:rPr>
          <w:rFonts w:ascii="Times New Roman" w:hAnsi="Times New Roman" w:cs="Times New Roman"/>
          <w:sz w:val="24"/>
          <w:szCs w:val="24"/>
        </w:rPr>
      </w:pPr>
      <w:r w:rsidRPr="002162B8">
        <w:rPr>
          <w:rStyle w:val="FootnoteReference"/>
          <w:rFonts w:ascii="Times New Roman" w:hAnsi="Times New Roman" w:cs="Times New Roman"/>
          <w:sz w:val="24"/>
          <w:szCs w:val="24"/>
        </w:rPr>
        <w:footnoteRef/>
      </w:r>
      <w:r w:rsidRPr="002162B8">
        <w:rPr>
          <w:rFonts w:ascii="Times New Roman" w:hAnsi="Times New Roman" w:cs="Times New Roman"/>
          <w:sz w:val="24"/>
          <w:szCs w:val="24"/>
        </w:rPr>
        <w:t xml:space="preserve"> </w:t>
      </w:r>
      <w:hyperlink r:id="rId17" w:history="1">
        <w:proofErr w:type="spellStart"/>
        <w:r w:rsidRPr="002162B8">
          <w:rPr>
            <w:rStyle w:val="Hyperlink"/>
            <w:rFonts w:ascii="Times New Roman" w:hAnsi="Times New Roman" w:cs="Times New Roman"/>
            <w:i/>
            <w:iCs/>
            <w:sz w:val="24"/>
            <w:szCs w:val="24"/>
          </w:rPr>
          <w:t>Seabloom</w:t>
        </w:r>
        <w:proofErr w:type="spellEnd"/>
        <w:r w:rsidRPr="002162B8">
          <w:rPr>
            <w:rStyle w:val="Hyperlink"/>
            <w:rFonts w:ascii="Times New Roman" w:hAnsi="Times New Roman" w:cs="Times New Roman"/>
            <w:i/>
            <w:iCs/>
            <w:sz w:val="24"/>
            <w:szCs w:val="24"/>
          </w:rPr>
          <w:t xml:space="preserve"> v. </w:t>
        </w:r>
        <w:proofErr w:type="spellStart"/>
        <w:r w:rsidRPr="002162B8">
          <w:rPr>
            <w:rStyle w:val="Hyperlink"/>
            <w:rFonts w:ascii="Times New Roman" w:hAnsi="Times New Roman" w:cs="Times New Roman"/>
            <w:i/>
            <w:iCs/>
            <w:sz w:val="24"/>
            <w:szCs w:val="24"/>
          </w:rPr>
          <w:t>Krier</w:t>
        </w:r>
        <w:proofErr w:type="spellEnd"/>
        <w:r w:rsidRPr="002162B8">
          <w:rPr>
            <w:rStyle w:val="Hyperlink"/>
            <w:rFonts w:ascii="Times New Roman" w:hAnsi="Times New Roman" w:cs="Times New Roman"/>
            <w:sz w:val="24"/>
            <w:szCs w:val="24"/>
          </w:rPr>
          <w:t>, 219 Minn. 362,367, 18 N.W.2d 88,91(1945)</w:t>
        </w:r>
      </w:hyperlink>
      <w:r w:rsidRPr="002162B8">
        <w:rPr>
          <w:rFonts w:ascii="Times New Roman" w:hAnsi="Times New Roman" w:cs="Times New Roman"/>
          <w:sz w:val="24"/>
          <w:szCs w:val="24"/>
        </w:rPr>
        <w:t xml:space="preserve"> explained</w:t>
      </w:r>
      <w:r w:rsidR="004447EA">
        <w:rPr>
          <w:rFonts w:ascii="Times New Roman" w:hAnsi="Times New Roman" w:cs="Times New Roman"/>
          <w:sz w:val="24"/>
          <w:szCs w:val="24"/>
        </w:rPr>
        <w:t xml:space="preserve"> that</w:t>
      </w:r>
      <w:r w:rsidRPr="002162B8">
        <w:rPr>
          <w:rFonts w:ascii="Times New Roman" w:hAnsi="Times New Roman" w:cs="Times New Roman"/>
          <w:sz w:val="24"/>
          <w:szCs w:val="24"/>
        </w:rPr>
        <w:t xml:space="preserve"> “the </w:t>
      </w:r>
      <w:r w:rsidRPr="002162B8">
        <w:rPr>
          <w:rFonts w:ascii="Times New Roman" w:hAnsi="Times New Roman" w:cs="Times New Roman"/>
          <w:color w:val="212121"/>
          <w:sz w:val="24"/>
          <w:szCs w:val="24"/>
          <w:shd w:val="clear" w:color="auto" w:fill="FAFAFA"/>
        </w:rPr>
        <w:t>distinction between the rights of a lessee and those of a licensee [is that a] … tenant under a lease is one who has been given a possession of land which is exclusive even of the landlord except as the lease permits his entry, and saving always the landlord's right to enter to demand rent or to make repairs. A licensee is one who has a mere permission to use land, dominion over it remaining in the owner and no interest in or exclusive possession of it being given to the occupant. [internal quotes omitted]</w:t>
      </w:r>
      <w:r w:rsidRPr="002162B8">
        <w:rPr>
          <w:rFonts w:ascii="Times New Roman" w:hAnsi="Times New Roman" w:cs="Times New Roman"/>
          <w:sz w:val="24"/>
          <w:szCs w:val="24"/>
        </w:rPr>
        <w:t xml:space="preserve">”. </w:t>
      </w:r>
      <w:r w:rsidR="004F661F">
        <w:rPr>
          <w:rFonts w:ascii="Times New Roman" w:hAnsi="Times New Roman" w:cs="Times New Roman"/>
          <w:sz w:val="24"/>
          <w:szCs w:val="24"/>
        </w:rPr>
        <w:t xml:space="preserve">The </w:t>
      </w:r>
      <w:proofErr w:type="spellStart"/>
      <w:r w:rsidR="004F661F" w:rsidRPr="004F661F">
        <w:rPr>
          <w:rFonts w:ascii="Times New Roman" w:hAnsi="Times New Roman" w:cs="Times New Roman"/>
          <w:i/>
          <w:iCs/>
          <w:sz w:val="24"/>
          <w:szCs w:val="24"/>
        </w:rPr>
        <w:t>Seabloom</w:t>
      </w:r>
      <w:proofErr w:type="spellEnd"/>
      <w:r w:rsidR="004F661F">
        <w:rPr>
          <w:rFonts w:ascii="Times New Roman" w:hAnsi="Times New Roman" w:cs="Times New Roman"/>
          <w:sz w:val="24"/>
          <w:szCs w:val="24"/>
        </w:rPr>
        <w:t xml:space="preserve"> definition </w:t>
      </w:r>
      <w:r w:rsidR="00E9403D">
        <w:rPr>
          <w:rFonts w:ascii="Times New Roman" w:hAnsi="Times New Roman" w:cs="Times New Roman"/>
          <w:sz w:val="24"/>
          <w:szCs w:val="24"/>
        </w:rPr>
        <w:t>was</w:t>
      </w:r>
      <w:r w:rsidR="004F661F">
        <w:rPr>
          <w:rFonts w:ascii="Times New Roman" w:hAnsi="Times New Roman" w:cs="Times New Roman"/>
          <w:sz w:val="24"/>
          <w:szCs w:val="24"/>
        </w:rPr>
        <w:t xml:space="preserve"> cited in </w:t>
      </w:r>
      <w:hyperlink r:id="rId18" w:history="1">
        <w:r w:rsidR="004F661F" w:rsidRPr="00794B32">
          <w:rPr>
            <w:rStyle w:val="Hyperlink"/>
            <w:rFonts w:ascii="Times New Roman" w:hAnsi="Times New Roman" w:cs="Times New Roman"/>
            <w:smallCaps/>
            <w:sz w:val="24"/>
            <w:szCs w:val="24"/>
          </w:rPr>
          <w:t>Black’s Law Dictionary</w:t>
        </w:r>
        <w:r w:rsidR="004F661F" w:rsidRPr="004F661F">
          <w:rPr>
            <w:rStyle w:val="Hyperlink"/>
            <w:rFonts w:ascii="Times New Roman" w:hAnsi="Times New Roman" w:cs="Times New Roman"/>
            <w:sz w:val="24"/>
            <w:szCs w:val="24"/>
          </w:rPr>
          <w:t xml:space="preserve"> 1070 (4th Ed. 1968)</w:t>
        </w:r>
      </w:hyperlink>
      <w:r w:rsidR="00A87186">
        <w:rPr>
          <w:rFonts w:ascii="Times New Roman" w:hAnsi="Times New Roman" w:cs="Times New Roman"/>
          <w:sz w:val="24"/>
          <w:szCs w:val="24"/>
        </w:rPr>
        <w:t xml:space="preserve"> when defining “licensee”.</w:t>
      </w:r>
    </w:p>
    <w:p w14:paraId="015896A7" w14:textId="77777777" w:rsidR="004F661F" w:rsidRDefault="004F661F">
      <w:pPr>
        <w:pStyle w:val="FootnoteText"/>
        <w:rPr>
          <w:rFonts w:ascii="Times New Roman" w:hAnsi="Times New Roman" w:cs="Times New Roman"/>
          <w:sz w:val="24"/>
          <w:szCs w:val="24"/>
        </w:rPr>
      </w:pPr>
    </w:p>
    <w:p w14:paraId="31D1A00F" w14:textId="7C29AE69" w:rsidR="0027053B" w:rsidRPr="002162B8" w:rsidRDefault="0027053B">
      <w:pPr>
        <w:pStyle w:val="FootnoteText"/>
        <w:rPr>
          <w:rFonts w:ascii="Times New Roman" w:hAnsi="Times New Roman" w:cs="Times New Roman"/>
          <w:sz w:val="24"/>
          <w:szCs w:val="24"/>
        </w:rPr>
      </w:pPr>
      <w:r w:rsidRPr="002162B8">
        <w:rPr>
          <w:rFonts w:ascii="Times New Roman" w:hAnsi="Times New Roman" w:cs="Times New Roman"/>
          <w:sz w:val="24"/>
          <w:szCs w:val="24"/>
        </w:rPr>
        <w:t>A license can also be formed when the occupant pays nothing for his right of use or occupancy because a lease requires payment for the occupancy.</w:t>
      </w:r>
      <w:r w:rsidR="002162B8" w:rsidRPr="002162B8">
        <w:rPr>
          <w:rFonts w:ascii="Times New Roman" w:hAnsi="Times New Roman" w:cs="Times New Roman"/>
          <w:sz w:val="24"/>
          <w:szCs w:val="24"/>
        </w:rPr>
        <w:t xml:space="preserve"> </w:t>
      </w:r>
      <w:bookmarkStart w:id="1" w:name="_Hlk130218538"/>
      <w:r>
        <w:fldChar w:fldCharType="begin"/>
      </w:r>
      <w:r>
        <w:instrText>HYPERLINK "https://scholar.google.com/scholar_case?case=15965099181667257659&amp;q=winona+sands&amp;hl=en&amp;as_sdt=4,24"</w:instrText>
      </w:r>
      <w:r>
        <w:fldChar w:fldCharType="separate"/>
      </w:r>
      <w:r w:rsidR="002162B8" w:rsidRPr="002162B8">
        <w:rPr>
          <w:rStyle w:val="Hyperlink"/>
          <w:rFonts w:ascii="Times New Roman" w:hAnsi="Times New Roman" w:cs="Times New Roman"/>
          <w:i/>
          <w:iCs/>
          <w:color w:val="1A0DAB"/>
          <w:sz w:val="24"/>
          <w:szCs w:val="24"/>
          <w:shd w:val="clear" w:color="auto" w:fill="FFFFFF"/>
        </w:rPr>
        <w:t xml:space="preserve">Minn. Sands, LLC v. </w:t>
      </w:r>
      <w:proofErr w:type="spellStart"/>
      <w:r w:rsidR="002162B8" w:rsidRPr="002162B8">
        <w:rPr>
          <w:rStyle w:val="Hyperlink"/>
          <w:rFonts w:ascii="Times New Roman" w:hAnsi="Times New Roman" w:cs="Times New Roman"/>
          <w:i/>
          <w:iCs/>
          <w:color w:val="1A0DAB"/>
          <w:sz w:val="24"/>
          <w:szCs w:val="24"/>
          <w:shd w:val="clear" w:color="auto" w:fill="FFFFFF"/>
        </w:rPr>
        <w:t>Cnty</w:t>
      </w:r>
      <w:proofErr w:type="spellEnd"/>
      <w:r w:rsidR="002162B8" w:rsidRPr="002162B8">
        <w:rPr>
          <w:rStyle w:val="Hyperlink"/>
          <w:rFonts w:ascii="Times New Roman" w:hAnsi="Times New Roman" w:cs="Times New Roman"/>
          <w:i/>
          <w:iCs/>
          <w:color w:val="1A0DAB"/>
          <w:sz w:val="24"/>
          <w:szCs w:val="24"/>
          <w:shd w:val="clear" w:color="auto" w:fill="FFFFFF"/>
        </w:rPr>
        <w:t>. of Winona,</w:t>
      </w:r>
      <w:r w:rsidR="002162B8" w:rsidRPr="002162B8">
        <w:rPr>
          <w:rStyle w:val="Hyperlink"/>
          <w:rFonts w:ascii="Times New Roman" w:hAnsi="Times New Roman" w:cs="Times New Roman"/>
          <w:color w:val="1A0DAB"/>
          <w:sz w:val="24"/>
          <w:szCs w:val="24"/>
          <w:shd w:val="clear" w:color="auto" w:fill="FFFFFF"/>
        </w:rPr>
        <w:t> 940 N.W.2d 183,202 (Minn. 2020)</w:t>
      </w:r>
      <w:r w:rsidR="002162B8">
        <w:rPr>
          <w:rStyle w:val="Hyperlink"/>
          <w:rFonts w:ascii="Times New Roman" w:hAnsi="Times New Roman" w:cs="Times New Roman"/>
          <w:color w:val="1A0DAB"/>
          <w:sz w:val="24"/>
          <w:szCs w:val="24"/>
          <w:shd w:val="clear" w:color="auto" w:fill="FFFFFF"/>
        </w:rPr>
        <w:t xml:space="preserve"> </w:t>
      </w:r>
      <w:r w:rsidR="002162B8" w:rsidRPr="002162B8">
        <w:rPr>
          <w:rStyle w:val="Hyperlink"/>
          <w:rFonts w:ascii="Times New Roman" w:hAnsi="Times New Roman" w:cs="Times New Roman"/>
          <w:color w:val="1A0DAB"/>
          <w:sz w:val="24"/>
          <w:szCs w:val="24"/>
          <w:shd w:val="clear" w:color="auto" w:fill="FFFFFF"/>
        </w:rPr>
        <w:t>(elements of a lease include payment of rent)</w:t>
      </w:r>
      <w:r>
        <w:rPr>
          <w:rStyle w:val="Hyperlink"/>
          <w:rFonts w:ascii="Times New Roman" w:hAnsi="Times New Roman" w:cs="Times New Roman"/>
          <w:color w:val="1A0DAB"/>
          <w:sz w:val="24"/>
          <w:szCs w:val="24"/>
          <w:shd w:val="clear" w:color="auto" w:fill="FFFFFF"/>
        </w:rPr>
        <w:fldChar w:fldCharType="end"/>
      </w:r>
      <w:r w:rsidR="002162B8" w:rsidRPr="002162B8">
        <w:rPr>
          <w:rStyle w:val="Hyperlink"/>
          <w:rFonts w:ascii="Times New Roman" w:hAnsi="Times New Roman" w:cs="Times New Roman"/>
          <w:color w:val="1A0DAB"/>
          <w:sz w:val="24"/>
          <w:szCs w:val="24"/>
          <w:shd w:val="clear" w:color="auto" w:fill="FFFFFF"/>
        </w:rPr>
        <w:t>.</w:t>
      </w:r>
      <w:bookmarkEnd w:id="1"/>
    </w:p>
  </w:footnote>
  <w:footnote w:id="14">
    <w:p w14:paraId="45A5FBC9" w14:textId="1754B245" w:rsidR="00F42BA9" w:rsidRPr="001D00ED" w:rsidRDefault="00F42BA9">
      <w:pPr>
        <w:pStyle w:val="FootnoteText"/>
        <w:rPr>
          <w:rFonts w:ascii="Times New Roman" w:hAnsi="Times New Roman" w:cs="Times New Roman"/>
          <w:color w:val="222222"/>
          <w:sz w:val="24"/>
          <w:szCs w:val="24"/>
          <w:shd w:val="clear" w:color="auto" w:fill="FFFFFF"/>
        </w:rPr>
      </w:pPr>
      <w:r w:rsidRPr="00BE7BC8">
        <w:rPr>
          <w:rStyle w:val="FootnoteReference"/>
          <w:rFonts w:ascii="Times New Roman" w:hAnsi="Times New Roman" w:cs="Times New Roman"/>
          <w:sz w:val="28"/>
          <w:szCs w:val="28"/>
        </w:rPr>
        <w:footnoteRef/>
      </w:r>
      <w:r w:rsidRPr="00BE7BC8">
        <w:rPr>
          <w:rFonts w:ascii="Times New Roman" w:hAnsi="Times New Roman" w:cs="Times New Roman"/>
          <w:sz w:val="28"/>
          <w:szCs w:val="28"/>
        </w:rPr>
        <w:t xml:space="preserve"> </w:t>
      </w:r>
      <w:r w:rsidRPr="001D00ED">
        <w:rPr>
          <w:rFonts w:ascii="Times New Roman" w:hAnsi="Times New Roman" w:cs="Times New Roman"/>
          <w:sz w:val="24"/>
          <w:szCs w:val="24"/>
        </w:rPr>
        <w:t>See</w:t>
      </w:r>
      <w:r w:rsidRPr="001D00ED">
        <w:rPr>
          <w:rFonts w:ascii="Times New Roman" w:hAnsi="Times New Roman" w:cs="Times New Roman"/>
          <w:color w:val="222222"/>
          <w:sz w:val="24"/>
          <w:szCs w:val="24"/>
          <w:shd w:val="clear" w:color="auto" w:fill="FFFFFF"/>
        </w:rPr>
        <w:t> </w:t>
      </w:r>
      <w:hyperlink r:id="rId19" w:history="1">
        <w:r w:rsidRPr="001D00ED">
          <w:rPr>
            <w:rStyle w:val="Hyperlink"/>
            <w:rFonts w:ascii="Times New Roman" w:hAnsi="Times New Roman" w:cs="Times New Roman"/>
            <w:color w:val="1A0DAB"/>
            <w:sz w:val="24"/>
            <w:szCs w:val="24"/>
            <w:shd w:val="clear" w:color="auto" w:fill="FFFFFF"/>
          </w:rPr>
          <w:t>Lee v. Regents of Univ. of Minn., 672 N.W.2d 366, 373-374 (Minn. Ct. App. 2003)</w:t>
        </w:r>
      </w:hyperlink>
      <w:r w:rsidRPr="001D00ED">
        <w:rPr>
          <w:rFonts w:ascii="Times New Roman" w:hAnsi="Times New Roman" w:cs="Times New Roman"/>
          <w:color w:val="222222"/>
          <w:sz w:val="24"/>
          <w:szCs w:val="24"/>
          <w:shd w:val="clear" w:color="auto" w:fill="FFFFFF"/>
        </w:rPr>
        <w:t>)</w:t>
      </w:r>
      <w:r w:rsidR="00E9403D">
        <w:rPr>
          <w:rFonts w:ascii="Times New Roman" w:hAnsi="Times New Roman" w:cs="Times New Roman"/>
          <w:color w:val="222222"/>
          <w:sz w:val="24"/>
          <w:szCs w:val="24"/>
          <w:shd w:val="clear" w:color="auto" w:fill="FFFFFF"/>
        </w:rPr>
        <w:t xml:space="preserve"> </w:t>
      </w:r>
      <w:r w:rsidRPr="001D00ED">
        <w:rPr>
          <w:rFonts w:ascii="Times New Roman" w:hAnsi="Times New Roman" w:cs="Times New Roman"/>
          <w:color w:val="222222"/>
          <w:sz w:val="24"/>
          <w:szCs w:val="24"/>
          <w:shd w:val="clear" w:color="auto" w:fill="FFFFFF"/>
        </w:rPr>
        <w:t>for a good discussion of “guest” versus “licensee”.</w:t>
      </w:r>
    </w:p>
    <w:p w14:paraId="7D5FE55D" w14:textId="77777777" w:rsidR="001D00ED" w:rsidRPr="001D00ED" w:rsidRDefault="001D00ED">
      <w:pPr>
        <w:pStyle w:val="FootnoteText"/>
        <w:rPr>
          <w:rFonts w:ascii="Times New Roman" w:hAnsi="Times New Roman" w:cs="Times New Roman"/>
          <w:sz w:val="24"/>
          <w:szCs w:val="24"/>
        </w:rPr>
      </w:pPr>
    </w:p>
  </w:footnote>
  <w:footnote w:id="15">
    <w:p w14:paraId="0337A40B" w14:textId="5F2B58F0" w:rsidR="0051567E" w:rsidRPr="001D00ED" w:rsidRDefault="00E417AA" w:rsidP="00E417AA">
      <w:pPr>
        <w:pStyle w:val="FootnoteText"/>
        <w:rPr>
          <w:rFonts w:ascii="Times New Roman" w:hAnsi="Times New Roman" w:cs="Times New Roman"/>
          <w:sz w:val="24"/>
          <w:szCs w:val="24"/>
        </w:rPr>
      </w:pPr>
      <w:r w:rsidRPr="001D00ED">
        <w:rPr>
          <w:rStyle w:val="FootnoteReference"/>
          <w:rFonts w:ascii="Times New Roman" w:hAnsi="Times New Roman" w:cs="Times New Roman"/>
          <w:sz w:val="24"/>
          <w:szCs w:val="24"/>
        </w:rPr>
        <w:footnoteRef/>
      </w:r>
      <w:r w:rsidRPr="001D00ED">
        <w:rPr>
          <w:rFonts w:ascii="Times New Roman" w:hAnsi="Times New Roman" w:cs="Times New Roman"/>
          <w:sz w:val="24"/>
          <w:szCs w:val="24"/>
        </w:rPr>
        <w:t xml:space="preserve"> </w:t>
      </w:r>
      <w:proofErr w:type="spellStart"/>
      <w:r w:rsidR="00B34BDA" w:rsidRPr="001D00ED">
        <w:rPr>
          <w:rFonts w:ascii="Times New Roman" w:hAnsi="Times New Roman" w:cs="Times New Roman"/>
          <w:i/>
          <w:iCs/>
          <w:sz w:val="24"/>
          <w:szCs w:val="24"/>
        </w:rPr>
        <w:t>Broszko</w:t>
      </w:r>
      <w:proofErr w:type="spellEnd"/>
      <w:r w:rsidR="00B34BDA" w:rsidRPr="001D00ED">
        <w:rPr>
          <w:rFonts w:ascii="Times New Roman" w:hAnsi="Times New Roman" w:cs="Times New Roman"/>
          <w:sz w:val="24"/>
          <w:szCs w:val="24"/>
        </w:rPr>
        <w:t xml:space="preserve"> was decided four years before the 1999 recodification, and therefore </w:t>
      </w:r>
      <w:r w:rsidR="00785BDC" w:rsidRPr="001D00ED">
        <w:rPr>
          <w:rFonts w:ascii="Times New Roman" w:hAnsi="Times New Roman" w:cs="Times New Roman"/>
          <w:sz w:val="24"/>
          <w:szCs w:val="24"/>
        </w:rPr>
        <w:t xml:space="preserve">the court </w:t>
      </w:r>
      <w:r w:rsidR="00B34BDA" w:rsidRPr="001D00ED">
        <w:rPr>
          <w:rFonts w:ascii="Times New Roman" w:hAnsi="Times New Roman" w:cs="Times New Roman"/>
          <w:sz w:val="24"/>
          <w:szCs w:val="24"/>
        </w:rPr>
        <w:t xml:space="preserve">construed “tenant” </w:t>
      </w:r>
      <w:r w:rsidR="00785BDC" w:rsidRPr="001D00ED">
        <w:rPr>
          <w:rFonts w:ascii="Times New Roman" w:hAnsi="Times New Roman" w:cs="Times New Roman"/>
          <w:sz w:val="24"/>
          <w:szCs w:val="24"/>
        </w:rPr>
        <w:t>according to</w:t>
      </w:r>
      <w:r w:rsidR="00B34BDA" w:rsidRPr="001D00ED">
        <w:rPr>
          <w:rFonts w:ascii="Times New Roman" w:hAnsi="Times New Roman" w:cs="Times New Roman"/>
          <w:sz w:val="24"/>
          <w:szCs w:val="24"/>
        </w:rPr>
        <w:t xml:space="preserve"> Minn. Stat. § 566.18, subd. 2 (1996).</w:t>
      </w:r>
      <w:r w:rsidR="0051567E" w:rsidRPr="001D00ED">
        <w:rPr>
          <w:rFonts w:ascii="Times New Roman" w:hAnsi="Times New Roman" w:cs="Times New Roman"/>
          <w:sz w:val="24"/>
          <w:szCs w:val="24"/>
        </w:rPr>
        <w:t xml:space="preserve"> However, that meaning is materially the same as the current meaning of “residential tenant”. See footnot</w:t>
      </w:r>
      <w:r w:rsidR="00390F61">
        <w:rPr>
          <w:rFonts w:ascii="Times New Roman" w:hAnsi="Times New Roman" w:cs="Times New Roman"/>
          <w:sz w:val="24"/>
          <w:szCs w:val="24"/>
        </w:rPr>
        <w:t xml:space="preserve">e 7 </w:t>
      </w:r>
      <w:r w:rsidR="0051567E" w:rsidRPr="001D00ED">
        <w:rPr>
          <w:rFonts w:ascii="Times New Roman" w:hAnsi="Times New Roman" w:cs="Times New Roman"/>
          <w:sz w:val="24"/>
          <w:szCs w:val="24"/>
        </w:rPr>
        <w:t>above</w:t>
      </w:r>
      <w:r w:rsidR="00785BDC" w:rsidRPr="001D00ED">
        <w:rPr>
          <w:rFonts w:ascii="Times New Roman" w:hAnsi="Times New Roman" w:cs="Times New Roman"/>
          <w:sz w:val="24"/>
          <w:szCs w:val="24"/>
        </w:rPr>
        <w:t>.</w:t>
      </w:r>
    </w:p>
    <w:p w14:paraId="40B72E1F" w14:textId="77777777" w:rsidR="00E417AA" w:rsidRPr="005568DF" w:rsidRDefault="00E417AA" w:rsidP="00E417AA">
      <w:pPr>
        <w:pStyle w:val="FootnoteText"/>
        <w:rPr>
          <w:rFonts w:ascii="Times New Roman" w:hAnsi="Times New Roman" w:cs="Times New Roman"/>
          <w:sz w:val="28"/>
          <w:szCs w:val="28"/>
        </w:rPr>
      </w:pPr>
    </w:p>
  </w:footnote>
  <w:footnote w:id="16">
    <w:p w14:paraId="4E7122AB" w14:textId="4491154F" w:rsidR="00E417AA" w:rsidRPr="001D00ED" w:rsidRDefault="00E417AA" w:rsidP="00E417AA">
      <w:pPr>
        <w:pStyle w:val="FootnoteText"/>
        <w:rPr>
          <w:rFonts w:ascii="Times New Roman" w:hAnsi="Times New Roman" w:cs="Times New Roman"/>
          <w:sz w:val="24"/>
          <w:szCs w:val="24"/>
        </w:rPr>
      </w:pPr>
      <w:r w:rsidRPr="001D00ED">
        <w:rPr>
          <w:rStyle w:val="FootnoteReference"/>
          <w:rFonts w:ascii="Times New Roman" w:hAnsi="Times New Roman" w:cs="Times New Roman"/>
          <w:sz w:val="24"/>
          <w:szCs w:val="24"/>
        </w:rPr>
        <w:footnoteRef/>
      </w:r>
      <w:r w:rsidRPr="001D00ED">
        <w:rPr>
          <w:rFonts w:ascii="Times New Roman" w:hAnsi="Times New Roman" w:cs="Times New Roman"/>
          <w:sz w:val="24"/>
          <w:szCs w:val="24"/>
        </w:rPr>
        <w:t xml:space="preserve"> The legislature, at least indirectly, acquiesced in this holding in 2008. </w:t>
      </w:r>
      <w:proofErr w:type="spellStart"/>
      <w:r w:rsidRPr="001D00ED">
        <w:rPr>
          <w:rFonts w:ascii="Times New Roman" w:hAnsi="Times New Roman" w:cs="Times New Roman"/>
          <w:i/>
          <w:iCs/>
          <w:sz w:val="24"/>
          <w:szCs w:val="24"/>
          <w:u w:val="single"/>
        </w:rPr>
        <w:t>Broszko</w:t>
      </w:r>
      <w:proofErr w:type="spellEnd"/>
      <w:r w:rsidRPr="001D00ED">
        <w:rPr>
          <w:rFonts w:ascii="Times New Roman" w:hAnsi="Times New Roman" w:cs="Times New Roman"/>
          <w:sz w:val="24"/>
          <w:szCs w:val="24"/>
        </w:rPr>
        <w:t xml:space="preserve"> had effectively eviscerated </w:t>
      </w:r>
      <w:r w:rsidR="005F608D">
        <w:rPr>
          <w:rFonts w:ascii="Times New Roman" w:hAnsi="Times New Roman" w:cs="Times New Roman"/>
          <w:sz w:val="24"/>
          <w:szCs w:val="24"/>
        </w:rPr>
        <w:t xml:space="preserve">the part of </w:t>
      </w:r>
      <w:r w:rsidRPr="001D00ED">
        <w:rPr>
          <w:rFonts w:ascii="Times New Roman" w:hAnsi="Times New Roman" w:cs="Times New Roman"/>
          <w:sz w:val="24"/>
          <w:szCs w:val="24"/>
        </w:rPr>
        <w:t>Minn. Stat. § 504B.285, subd. 1 (1995-2007) which was supposed to afford tenants of foreclosed and cancelled homeowners a one- or two-months grace period</w:t>
      </w:r>
      <w:r w:rsidR="0049408A" w:rsidRPr="001D00ED">
        <w:rPr>
          <w:rFonts w:ascii="Times New Roman" w:hAnsi="Times New Roman" w:cs="Times New Roman"/>
          <w:sz w:val="24"/>
          <w:szCs w:val="24"/>
        </w:rPr>
        <w:t xml:space="preserve"> to vacate</w:t>
      </w:r>
      <w:r w:rsidRPr="001D00ED">
        <w:rPr>
          <w:rFonts w:ascii="Times New Roman" w:hAnsi="Times New Roman" w:cs="Times New Roman"/>
          <w:sz w:val="24"/>
          <w:szCs w:val="24"/>
        </w:rPr>
        <w:t xml:space="preserve"> after the end of the redemption or cancellation perio</w:t>
      </w:r>
      <w:r w:rsidR="0049408A" w:rsidRPr="001D00ED">
        <w:rPr>
          <w:rFonts w:ascii="Times New Roman" w:hAnsi="Times New Roman" w:cs="Times New Roman"/>
          <w:sz w:val="24"/>
          <w:szCs w:val="24"/>
        </w:rPr>
        <w:t>d</w:t>
      </w:r>
      <w:r w:rsidRPr="001D00ED">
        <w:rPr>
          <w:rFonts w:ascii="Times New Roman" w:hAnsi="Times New Roman" w:cs="Times New Roman"/>
          <w:sz w:val="24"/>
          <w:szCs w:val="24"/>
        </w:rPr>
        <w:t xml:space="preserve">. The 2008 legislature amended subdivision 1 to restore this particular right but it did so without changing the holding of </w:t>
      </w:r>
      <w:proofErr w:type="spellStart"/>
      <w:r w:rsidRPr="001D00ED">
        <w:rPr>
          <w:rFonts w:ascii="Times New Roman" w:hAnsi="Times New Roman" w:cs="Times New Roman"/>
          <w:i/>
          <w:iCs/>
          <w:sz w:val="24"/>
          <w:szCs w:val="24"/>
        </w:rPr>
        <w:t>Broszko</w:t>
      </w:r>
      <w:proofErr w:type="spellEnd"/>
      <w:r w:rsidRPr="001D00ED">
        <w:rPr>
          <w:rFonts w:ascii="Times New Roman" w:hAnsi="Times New Roman" w:cs="Times New Roman"/>
          <w:sz w:val="24"/>
          <w:szCs w:val="24"/>
        </w:rPr>
        <w:t xml:space="preserve"> that a person does not become an “other regular occupant” unless she is allowed into the unit by a tenant renting that unit. </w:t>
      </w:r>
      <w:hyperlink r:id="rId20" w:history="1">
        <w:r w:rsidRPr="001D00ED">
          <w:rPr>
            <w:rStyle w:val="Hyperlink"/>
            <w:rFonts w:ascii="Times New Roman" w:hAnsi="Times New Roman" w:cs="Times New Roman"/>
            <w:sz w:val="24"/>
            <w:szCs w:val="24"/>
          </w:rPr>
          <w:t xml:space="preserve">2008 Minn. Laws </w:t>
        </w:r>
        <w:proofErr w:type="spellStart"/>
        <w:r w:rsidRPr="001D00ED">
          <w:rPr>
            <w:rStyle w:val="Hyperlink"/>
            <w:rFonts w:ascii="Times New Roman" w:hAnsi="Times New Roman" w:cs="Times New Roman"/>
            <w:sz w:val="24"/>
            <w:szCs w:val="24"/>
          </w:rPr>
          <w:t>ch</w:t>
        </w:r>
        <w:proofErr w:type="spellEnd"/>
        <w:r w:rsidRPr="001D00ED">
          <w:rPr>
            <w:rStyle w:val="Hyperlink"/>
            <w:rFonts w:ascii="Times New Roman" w:hAnsi="Times New Roman" w:cs="Times New Roman"/>
            <w:sz w:val="24"/>
            <w:szCs w:val="24"/>
          </w:rPr>
          <w:t xml:space="preserve"> 177 s 3</w:t>
        </w:r>
      </w:hyperlink>
      <w:r w:rsidRPr="001D00ED">
        <w:rPr>
          <w:rFonts w:ascii="Times New Roman" w:hAnsi="Times New Roman" w:cs="Times New Roman"/>
          <w:sz w:val="24"/>
          <w:szCs w:val="24"/>
        </w:rPr>
        <w:t xml:space="preserve">. Instead, the 2008 amendment clarified and amended the duty of the mortgagee or vendor to give notice to the occupant who has rented from the mortgagor or vendee. See </w:t>
      </w:r>
      <w:hyperlink r:id="rId21" w:history="1">
        <w:r w:rsidRPr="001D00ED">
          <w:rPr>
            <w:rStyle w:val="Hyperlink"/>
            <w:rFonts w:ascii="Times New Roman" w:hAnsi="Times New Roman" w:cs="Times New Roman"/>
            <w:sz w:val="24"/>
            <w:szCs w:val="24"/>
            <w:shd w:val="clear" w:color="auto" w:fill="FFFFFF"/>
          </w:rPr>
          <w:t>2008 Foreclosure Crisis Response: Renter Working Group Final Report</w:t>
        </w:r>
        <w:r w:rsidRPr="001D00ED">
          <w:rPr>
            <w:rStyle w:val="Hyperlink"/>
            <w:rFonts w:ascii="Times New Roman" w:hAnsi="Times New Roman" w:cs="Times New Roman"/>
            <w:sz w:val="24"/>
            <w:szCs w:val="24"/>
          </w:rPr>
          <w:t xml:space="preserve"> at 5-6</w:t>
        </w:r>
      </w:hyperlink>
      <w:r w:rsidRPr="001D00ED">
        <w:rPr>
          <w:rFonts w:ascii="Times New Roman" w:hAnsi="Times New Roman" w:cs="Times New Roman"/>
          <w:color w:val="FF0000"/>
          <w:sz w:val="24"/>
          <w:szCs w:val="24"/>
        </w:rPr>
        <w:t xml:space="preserve"> </w:t>
      </w:r>
      <w:r w:rsidRPr="001D00ED">
        <w:rPr>
          <w:rFonts w:ascii="Times New Roman" w:hAnsi="Times New Roman" w:cs="Times New Roman"/>
          <w:sz w:val="24"/>
          <w:szCs w:val="24"/>
        </w:rPr>
        <w:t xml:space="preserve">(this report was submitted to the legislature which then enacted the proposals essentially intact). Subsequently, the federal </w:t>
      </w:r>
      <w:hyperlink r:id="rId22" w:history="1">
        <w:r w:rsidRPr="001D00ED">
          <w:rPr>
            <w:rStyle w:val="Hyperlink"/>
            <w:rFonts w:ascii="Times New Roman" w:hAnsi="Times New Roman" w:cs="Times New Roman"/>
            <w:sz w:val="24"/>
            <w:szCs w:val="24"/>
          </w:rPr>
          <w:t>Protecting Tenants at Foreclosure Act</w:t>
        </w:r>
      </w:hyperlink>
      <w:r w:rsidRPr="001D00ED">
        <w:rPr>
          <w:rFonts w:ascii="Times New Roman" w:hAnsi="Times New Roman" w:cs="Times New Roman"/>
          <w:sz w:val="24"/>
          <w:szCs w:val="24"/>
        </w:rPr>
        <w:t xml:space="preserve"> increased the notice period for tenants in foreclosure (without changing the rights of tenants in cancellation, whose protection still depends on the 2008 law).</w:t>
      </w:r>
    </w:p>
    <w:p w14:paraId="654BD7EE" w14:textId="77777777" w:rsidR="00E417AA" w:rsidRPr="008E2FCA" w:rsidRDefault="00E417AA" w:rsidP="00E417AA">
      <w:pPr>
        <w:pStyle w:val="FootnoteText"/>
        <w:rPr>
          <w:rFonts w:ascii="Times New Roman" w:hAnsi="Times New Roman" w:cs="Times New Roman"/>
          <w:sz w:val="22"/>
          <w:szCs w:val="22"/>
        </w:rPr>
      </w:pPr>
    </w:p>
  </w:footnote>
  <w:footnote w:id="17">
    <w:p w14:paraId="1B38ADD2" w14:textId="30ECB659" w:rsidR="006A1B98" w:rsidRDefault="006A1B98">
      <w:pPr>
        <w:pStyle w:val="FootnoteText"/>
        <w:rPr>
          <w:rFonts w:ascii="Times New Roman" w:hAnsi="Times New Roman" w:cs="Times New Roman"/>
          <w:color w:val="222222"/>
          <w:sz w:val="24"/>
          <w:szCs w:val="24"/>
          <w:shd w:val="clear" w:color="auto" w:fill="FFFFFF"/>
        </w:rPr>
      </w:pPr>
      <w:r w:rsidRPr="00726A3A">
        <w:rPr>
          <w:rStyle w:val="FootnoteReference"/>
          <w:rFonts w:ascii="Times New Roman" w:hAnsi="Times New Roman" w:cs="Times New Roman"/>
          <w:sz w:val="24"/>
          <w:szCs w:val="24"/>
        </w:rPr>
        <w:footnoteRef/>
      </w:r>
      <w:r w:rsidRPr="00726A3A">
        <w:rPr>
          <w:rFonts w:ascii="Times New Roman" w:hAnsi="Times New Roman" w:cs="Times New Roman"/>
          <w:sz w:val="24"/>
          <w:szCs w:val="24"/>
        </w:rPr>
        <w:t xml:space="preserve"> </w:t>
      </w:r>
      <w:r w:rsidRPr="00726A3A">
        <w:rPr>
          <w:rFonts w:ascii="Times New Roman" w:hAnsi="Times New Roman" w:cs="Times New Roman"/>
          <w:color w:val="222222"/>
          <w:sz w:val="24"/>
          <w:szCs w:val="24"/>
          <w:shd w:val="clear" w:color="auto" w:fill="FFFFFF"/>
        </w:rPr>
        <w:t xml:space="preserve">The state Human Rights Act added “familial status” as a protected class in 1980. </w:t>
      </w:r>
      <w:hyperlink r:id="rId23" w:history="1">
        <w:r w:rsidRPr="00726A3A">
          <w:rPr>
            <w:rStyle w:val="Hyperlink"/>
            <w:rFonts w:ascii="Times New Roman" w:hAnsi="Times New Roman" w:cs="Times New Roman"/>
            <w:color w:val="2B6DAD"/>
            <w:sz w:val="24"/>
            <w:szCs w:val="24"/>
            <w:shd w:val="clear" w:color="auto" w:fill="FFFFFF"/>
          </w:rPr>
          <w:t xml:space="preserve">1980 Minn. Laws </w:t>
        </w:r>
        <w:proofErr w:type="spellStart"/>
        <w:r w:rsidRPr="00726A3A">
          <w:rPr>
            <w:rStyle w:val="Hyperlink"/>
            <w:rFonts w:ascii="Times New Roman" w:hAnsi="Times New Roman" w:cs="Times New Roman"/>
            <w:color w:val="2B6DAD"/>
            <w:sz w:val="24"/>
            <w:szCs w:val="24"/>
            <w:shd w:val="clear" w:color="auto" w:fill="FFFFFF"/>
          </w:rPr>
          <w:t>ch.</w:t>
        </w:r>
        <w:proofErr w:type="spellEnd"/>
        <w:r w:rsidRPr="00726A3A">
          <w:rPr>
            <w:rStyle w:val="Hyperlink"/>
            <w:rFonts w:ascii="Times New Roman" w:hAnsi="Times New Roman" w:cs="Times New Roman"/>
            <w:color w:val="2B6DAD"/>
            <w:sz w:val="24"/>
            <w:szCs w:val="24"/>
            <w:shd w:val="clear" w:color="auto" w:fill="FFFFFF"/>
          </w:rPr>
          <w:t xml:space="preserve"> 531, s. 1,9</w:t>
        </w:r>
      </w:hyperlink>
      <w:r w:rsidRPr="00726A3A">
        <w:rPr>
          <w:rFonts w:ascii="Times New Roman" w:hAnsi="Times New Roman" w:cs="Times New Roman"/>
          <w:sz w:val="24"/>
          <w:szCs w:val="24"/>
        </w:rPr>
        <w:t xml:space="preserve"> . </w:t>
      </w:r>
      <w:r w:rsidR="00A95994" w:rsidRPr="00726A3A">
        <w:rPr>
          <w:rFonts w:ascii="Times New Roman" w:hAnsi="Times New Roman" w:cs="Times New Roman"/>
          <w:color w:val="222222"/>
          <w:sz w:val="24"/>
          <w:szCs w:val="24"/>
          <w:shd w:val="clear" w:color="auto" w:fill="FFFFFF"/>
        </w:rPr>
        <w:t xml:space="preserve">The federal Fair Housing Act followed suit eight years later. </w:t>
      </w:r>
      <w:hyperlink r:id="rId24" w:anchor="page=1" w:history="1">
        <w:r w:rsidR="00A95994" w:rsidRPr="00726A3A">
          <w:rPr>
            <w:rStyle w:val="Hyperlink"/>
            <w:rFonts w:ascii="Times New Roman" w:hAnsi="Times New Roman" w:cs="Times New Roman"/>
            <w:sz w:val="24"/>
            <w:szCs w:val="24"/>
            <w:shd w:val="clear" w:color="auto" w:fill="FFFFFF"/>
          </w:rPr>
          <w:t>P</w:t>
        </w:r>
        <w:r w:rsidR="00CB5A54" w:rsidRPr="00726A3A">
          <w:rPr>
            <w:rStyle w:val="Hyperlink"/>
            <w:rFonts w:ascii="Times New Roman" w:hAnsi="Times New Roman" w:cs="Times New Roman"/>
            <w:sz w:val="24"/>
            <w:szCs w:val="24"/>
            <w:shd w:val="clear" w:color="auto" w:fill="FFFFFF"/>
          </w:rPr>
          <w:t>ub</w:t>
        </w:r>
        <w:r w:rsidR="00A95994" w:rsidRPr="00726A3A">
          <w:rPr>
            <w:rStyle w:val="Hyperlink"/>
            <w:rFonts w:ascii="Times New Roman" w:hAnsi="Times New Roman" w:cs="Times New Roman"/>
            <w:sz w:val="24"/>
            <w:szCs w:val="24"/>
            <w:shd w:val="clear" w:color="auto" w:fill="FFFFFF"/>
          </w:rPr>
          <w:t>.</w:t>
        </w:r>
        <w:r w:rsidR="00DF706C" w:rsidRPr="00726A3A">
          <w:rPr>
            <w:rStyle w:val="Hyperlink"/>
            <w:rFonts w:ascii="Times New Roman" w:hAnsi="Times New Roman" w:cs="Times New Roman"/>
            <w:sz w:val="24"/>
            <w:szCs w:val="24"/>
            <w:shd w:val="clear" w:color="auto" w:fill="FFFFFF"/>
          </w:rPr>
          <w:t xml:space="preserve"> </w:t>
        </w:r>
        <w:r w:rsidR="00A95994" w:rsidRPr="00726A3A">
          <w:rPr>
            <w:rStyle w:val="Hyperlink"/>
            <w:rFonts w:ascii="Times New Roman" w:hAnsi="Times New Roman" w:cs="Times New Roman"/>
            <w:sz w:val="24"/>
            <w:szCs w:val="24"/>
            <w:shd w:val="clear" w:color="auto" w:fill="FFFFFF"/>
          </w:rPr>
          <w:t>L.</w:t>
        </w:r>
        <w:r w:rsidR="00CB5A54" w:rsidRPr="00726A3A">
          <w:rPr>
            <w:rStyle w:val="Hyperlink"/>
            <w:rFonts w:ascii="Times New Roman" w:hAnsi="Times New Roman" w:cs="Times New Roman"/>
            <w:sz w:val="24"/>
            <w:szCs w:val="24"/>
            <w:shd w:val="clear" w:color="auto" w:fill="FFFFFF"/>
          </w:rPr>
          <w:t xml:space="preserve"> </w:t>
        </w:r>
        <w:r w:rsidR="00A95994" w:rsidRPr="00726A3A">
          <w:rPr>
            <w:rStyle w:val="Hyperlink"/>
            <w:rFonts w:ascii="Times New Roman" w:hAnsi="Times New Roman" w:cs="Times New Roman"/>
            <w:sz w:val="24"/>
            <w:szCs w:val="24"/>
            <w:shd w:val="clear" w:color="auto" w:fill="FFFFFF"/>
          </w:rPr>
          <w:t xml:space="preserve">100-430, §5, </w:t>
        </w:r>
        <w:r w:rsidR="00CB5A54" w:rsidRPr="00726A3A">
          <w:rPr>
            <w:rStyle w:val="Hyperlink"/>
            <w:rFonts w:ascii="Times New Roman" w:hAnsi="Times New Roman" w:cs="Times New Roman"/>
            <w:sz w:val="24"/>
            <w:szCs w:val="24"/>
            <w:shd w:val="clear" w:color="auto" w:fill="FFFFFF"/>
          </w:rPr>
          <w:t xml:space="preserve">Sept. 13, 1988, </w:t>
        </w:r>
        <w:r w:rsidR="00A95994" w:rsidRPr="00726A3A">
          <w:rPr>
            <w:rStyle w:val="Hyperlink"/>
            <w:rFonts w:ascii="Times New Roman" w:hAnsi="Times New Roman" w:cs="Times New Roman"/>
            <w:sz w:val="24"/>
            <w:szCs w:val="24"/>
            <w:shd w:val="clear" w:color="auto" w:fill="FFFFFF"/>
          </w:rPr>
          <w:t>102 Stat 1619,1922</w:t>
        </w:r>
      </w:hyperlink>
      <w:r w:rsidR="00CB5A54" w:rsidRPr="00726A3A">
        <w:rPr>
          <w:rFonts w:ascii="Times New Roman" w:hAnsi="Times New Roman" w:cs="Times New Roman"/>
          <w:color w:val="222222"/>
          <w:sz w:val="24"/>
          <w:szCs w:val="24"/>
          <w:shd w:val="clear" w:color="auto" w:fill="FFFFFF"/>
        </w:rPr>
        <w:t>.</w:t>
      </w:r>
    </w:p>
    <w:p w14:paraId="041C3B85" w14:textId="77777777" w:rsidR="00684B1E" w:rsidRPr="00726A3A" w:rsidRDefault="00684B1E">
      <w:pPr>
        <w:pStyle w:val="FootnoteText"/>
        <w:rPr>
          <w:rFonts w:ascii="Times New Roman" w:hAnsi="Times New Roman" w:cs="Times New Roman"/>
          <w:sz w:val="24"/>
          <w:szCs w:val="24"/>
        </w:rPr>
      </w:pPr>
    </w:p>
  </w:footnote>
  <w:footnote w:id="18">
    <w:p w14:paraId="35D61CC9" w14:textId="3DAB03F7" w:rsidR="008051A9" w:rsidRDefault="008051A9" w:rsidP="008051A9">
      <w:pPr>
        <w:pStyle w:val="FootnoteText"/>
        <w:rPr>
          <w:rFonts w:ascii="Times New Roman" w:hAnsi="Times New Roman" w:cs="Times New Roman"/>
          <w:sz w:val="24"/>
          <w:szCs w:val="24"/>
        </w:rPr>
      </w:pPr>
      <w:r w:rsidRPr="00684B1E">
        <w:rPr>
          <w:rStyle w:val="FootnoteReference"/>
          <w:rFonts w:ascii="Times New Roman" w:hAnsi="Times New Roman" w:cs="Times New Roman"/>
          <w:sz w:val="24"/>
          <w:szCs w:val="24"/>
        </w:rPr>
        <w:footnoteRef/>
      </w:r>
      <w:r w:rsidRPr="00684B1E">
        <w:rPr>
          <w:rFonts w:ascii="Times New Roman" w:hAnsi="Times New Roman" w:cs="Times New Roman"/>
          <w:sz w:val="24"/>
          <w:szCs w:val="24"/>
        </w:rPr>
        <w:t xml:space="preserve"> </w:t>
      </w:r>
      <w:r>
        <w:rPr>
          <w:rFonts w:ascii="Times New Roman" w:hAnsi="Times New Roman" w:cs="Times New Roman"/>
          <w:sz w:val="24"/>
          <w:szCs w:val="24"/>
        </w:rPr>
        <w:t>The appellate docket is a</w:t>
      </w:r>
      <w:r w:rsidRPr="00684B1E">
        <w:rPr>
          <w:rFonts w:ascii="Times New Roman" w:hAnsi="Times New Roman" w:cs="Times New Roman"/>
          <w:sz w:val="24"/>
          <w:szCs w:val="24"/>
        </w:rPr>
        <w:t xml:space="preserve">vailable by using </w:t>
      </w:r>
      <w:hyperlink r:id="rId25" w:history="1">
        <w:r w:rsidRPr="00684B1E">
          <w:rPr>
            <w:rStyle w:val="Hyperlink"/>
            <w:rFonts w:ascii="Times New Roman" w:hAnsi="Times New Roman" w:cs="Times New Roman"/>
            <w:sz w:val="24"/>
            <w:szCs w:val="24"/>
          </w:rPr>
          <w:t>https://macsnc.courts.state.mn.us/ctrack/publicLogin.jsp</w:t>
        </w:r>
      </w:hyperlink>
      <w:r w:rsidRPr="00684B1E">
        <w:rPr>
          <w:rFonts w:ascii="Times New Roman" w:hAnsi="Times New Roman" w:cs="Times New Roman"/>
          <w:sz w:val="24"/>
          <w:szCs w:val="24"/>
        </w:rPr>
        <w:t xml:space="preserve"> , entering case number A21-1062, and unchecking the Exclude Closed/Archived box.</w:t>
      </w:r>
      <w:r>
        <w:rPr>
          <w:rFonts w:ascii="Times New Roman" w:hAnsi="Times New Roman" w:cs="Times New Roman"/>
          <w:sz w:val="24"/>
          <w:szCs w:val="24"/>
        </w:rPr>
        <w:t xml:space="preserve"> Aside from the briefs, the appellate pleadings themselves are also available via this same webpage. The briefs are available at </w:t>
      </w:r>
      <w:hyperlink r:id="rId26" w:history="1">
        <w:r w:rsidR="00E60D9A" w:rsidRPr="00336F2A">
          <w:rPr>
            <w:rStyle w:val="Hyperlink"/>
            <w:rFonts w:ascii="Times New Roman" w:hAnsi="Times New Roman" w:cs="Times New Roman"/>
            <w:sz w:val="24"/>
            <w:szCs w:val="24"/>
          </w:rPr>
          <w:t>https://mn.gov/law-library/search/?v%3Asources=mn-law-library-briefs&amp;query=A21-1062+&amp;citation=&amp;qt=A21-1062&amp;v=&amp;p=#</w:t>
        </w:r>
      </w:hyperlink>
      <w:r w:rsidR="00E60D9A">
        <w:rPr>
          <w:rFonts w:ascii="Times New Roman" w:hAnsi="Times New Roman" w:cs="Times New Roman"/>
          <w:sz w:val="24"/>
          <w:szCs w:val="24"/>
        </w:rPr>
        <w:t xml:space="preserve"> .</w:t>
      </w:r>
    </w:p>
    <w:p w14:paraId="721B1E56" w14:textId="77777777" w:rsidR="008051A9" w:rsidRPr="00684B1E" w:rsidRDefault="008051A9" w:rsidP="008051A9">
      <w:pPr>
        <w:pStyle w:val="FootnoteText"/>
        <w:rPr>
          <w:rFonts w:ascii="Times New Roman" w:hAnsi="Times New Roman" w:cs="Times New Roman"/>
          <w:sz w:val="24"/>
          <w:szCs w:val="24"/>
        </w:rPr>
      </w:pPr>
    </w:p>
  </w:footnote>
  <w:footnote w:id="19">
    <w:p w14:paraId="34BD925D" w14:textId="097DCB86" w:rsidR="00957126" w:rsidRDefault="00957126" w:rsidP="00957126">
      <w:pPr>
        <w:pStyle w:val="FootnoteText"/>
        <w:rPr>
          <w:rFonts w:ascii="Times New Roman" w:hAnsi="Times New Roman" w:cs="Times New Roman"/>
          <w:sz w:val="24"/>
          <w:szCs w:val="24"/>
        </w:rPr>
      </w:pPr>
      <w:r w:rsidRPr="00684B1E">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See the motion to dismiss filed by Ms. Quinn with the supreme court</w:t>
      </w:r>
      <w:r w:rsidR="009159E5">
        <w:rPr>
          <w:rFonts w:ascii="Times New Roman" w:hAnsi="Times New Roman" w:cs="Times New Roman"/>
          <w:sz w:val="24"/>
          <w:szCs w:val="24"/>
        </w:rPr>
        <w:t>.</w:t>
      </w:r>
    </w:p>
    <w:p w14:paraId="67A4B74D" w14:textId="77777777" w:rsidR="00957126" w:rsidRPr="00684B1E" w:rsidRDefault="00957126" w:rsidP="00957126">
      <w:pPr>
        <w:pStyle w:val="FootnoteText"/>
        <w:rPr>
          <w:rFonts w:ascii="Times New Roman" w:hAnsi="Times New Roman" w:cs="Times New Roman"/>
          <w:sz w:val="24"/>
          <w:szCs w:val="24"/>
        </w:rPr>
      </w:pPr>
    </w:p>
  </w:footnote>
  <w:footnote w:id="20">
    <w:p w14:paraId="7AB14B53" w14:textId="06FA31A4" w:rsidR="00957126" w:rsidRDefault="00957126" w:rsidP="009E3425">
      <w:r w:rsidRPr="009159E5">
        <w:rPr>
          <w:rStyle w:val="FootnoteReference"/>
          <w:rFonts w:ascii="Times New Roman" w:hAnsi="Times New Roman" w:cs="Times New Roman"/>
          <w:sz w:val="24"/>
          <w:szCs w:val="24"/>
        </w:rPr>
        <w:footnoteRef/>
      </w:r>
      <w:r w:rsidRPr="009159E5">
        <w:rPr>
          <w:rFonts w:ascii="Times New Roman" w:hAnsi="Times New Roman" w:cs="Times New Roman"/>
          <w:sz w:val="24"/>
          <w:szCs w:val="24"/>
        </w:rPr>
        <w:t xml:space="preserve"> Based on records </w:t>
      </w:r>
      <w:r w:rsidR="009173A4">
        <w:rPr>
          <w:rFonts w:ascii="Times New Roman" w:hAnsi="Times New Roman" w:cs="Times New Roman"/>
          <w:sz w:val="24"/>
          <w:szCs w:val="24"/>
        </w:rPr>
        <w:t>from</w:t>
      </w:r>
      <w:r w:rsidRPr="009159E5">
        <w:rPr>
          <w:rFonts w:ascii="Times New Roman" w:hAnsi="Times New Roman" w:cs="Times New Roman"/>
          <w:sz w:val="24"/>
          <w:szCs w:val="24"/>
        </w:rPr>
        <w:t xml:space="preserve"> MNCIS, </w:t>
      </w:r>
      <w:hyperlink r:id="rId27" w:history="1">
        <w:r w:rsidRPr="009159E5">
          <w:rPr>
            <w:rStyle w:val="Hyperlink"/>
            <w:rFonts w:ascii="Times New Roman" w:hAnsi="Times New Roman" w:cs="Times New Roman"/>
            <w:sz w:val="24"/>
            <w:szCs w:val="24"/>
          </w:rPr>
          <w:t>https://pa.courts.state.mn.us/default.aspx</w:t>
        </w:r>
      </w:hyperlink>
      <w:r w:rsidRPr="009159E5">
        <w:rPr>
          <w:rFonts w:ascii="Times New Roman" w:hAnsi="Times New Roman" w:cs="Times New Roman"/>
          <w:sz w:val="24"/>
          <w:szCs w:val="24"/>
        </w:rPr>
        <w:t xml:space="preserve"> </w:t>
      </w:r>
    </w:p>
  </w:footnote>
  <w:footnote w:id="21">
    <w:p w14:paraId="7FF12DA9" w14:textId="17D33B44" w:rsidR="00D70E16" w:rsidRDefault="00D70E16" w:rsidP="009E3425">
      <w:r>
        <w:rPr>
          <w:rStyle w:val="FootnoteReference"/>
        </w:rPr>
        <w:footnoteRef/>
      </w:r>
      <w:r>
        <w:t xml:space="preserve"> </w:t>
      </w:r>
      <w:r w:rsidRPr="00D70E16">
        <w:rPr>
          <w:rFonts w:ascii="Times New Roman" w:hAnsi="Times New Roman" w:cs="Times New Roman"/>
          <w:color w:val="222222"/>
          <w:sz w:val="24"/>
          <w:szCs w:val="24"/>
          <w:shd w:val="clear" w:color="auto" w:fill="FFFFFF"/>
        </w:rPr>
        <w:t xml:space="preserve">A recording of the argument is available at </w:t>
      </w:r>
      <w:hyperlink r:id="rId28" w:history="1">
        <w:r w:rsidR="009E3425" w:rsidRPr="00B420FA">
          <w:rPr>
            <w:rStyle w:val="Hyperlink"/>
            <w:rFonts w:ascii="Times New Roman" w:hAnsi="Times New Roman" w:cs="Times New Roman"/>
            <w:sz w:val="24"/>
            <w:szCs w:val="24"/>
            <w:shd w:val="clear" w:color="auto" w:fill="FFFFFF"/>
          </w:rPr>
          <w:t>https://www.mncourts.gov/SupremeCourt/OralArgumentWebcasts/ArgumentDetail.aspx?vid=1582</w:t>
        </w:r>
      </w:hyperlink>
      <w:r w:rsidRPr="00D70E16">
        <w:rPr>
          <w:rFonts w:ascii="Times New Roman" w:hAnsi="Times New Roman" w:cs="Times New Roman"/>
          <w:color w:val="222222"/>
          <w:sz w:val="24"/>
          <w:szCs w:val="24"/>
          <w:shd w:val="clear" w:color="auto" w:fill="FFFFFF"/>
        </w:rPr>
        <w:t>.</w:t>
      </w:r>
    </w:p>
  </w:footnote>
  <w:footnote w:id="22">
    <w:p w14:paraId="29DED87C" w14:textId="7BA53626" w:rsidR="00CC7824" w:rsidRDefault="00CC7824" w:rsidP="00CC7824">
      <w:pPr>
        <w:pStyle w:val="FootnoteText"/>
        <w:rPr>
          <w:rFonts w:ascii="Times New Roman" w:hAnsi="Times New Roman" w:cs="Times New Roman"/>
          <w:sz w:val="24"/>
          <w:szCs w:val="24"/>
        </w:rPr>
      </w:pPr>
      <w:r w:rsidRPr="00684B1E">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See LMC’s reply to the motion to dismiss.</w:t>
      </w:r>
    </w:p>
    <w:p w14:paraId="6523D354" w14:textId="77777777" w:rsidR="00CC7824" w:rsidRPr="00684B1E" w:rsidRDefault="00CC7824" w:rsidP="00CC7824">
      <w:pPr>
        <w:pStyle w:val="FootnoteText"/>
        <w:rPr>
          <w:rFonts w:ascii="Times New Roman" w:hAnsi="Times New Roman" w:cs="Times New Roman"/>
          <w:sz w:val="24"/>
          <w:szCs w:val="24"/>
        </w:rPr>
      </w:pPr>
    </w:p>
  </w:footnote>
  <w:footnote w:id="23">
    <w:p w14:paraId="7C0A2354" w14:textId="6D016348" w:rsidR="00D753DB" w:rsidRDefault="00D753DB" w:rsidP="00D753DB">
      <w:pPr>
        <w:pStyle w:val="FootnoteText"/>
        <w:rPr>
          <w:rFonts w:ascii="Times New Roman" w:hAnsi="Times New Roman" w:cs="Times New Roman"/>
          <w:sz w:val="24"/>
          <w:szCs w:val="24"/>
        </w:rPr>
      </w:pPr>
      <w:r w:rsidRPr="00684B1E">
        <w:rPr>
          <w:rStyle w:val="FootnoteReference"/>
          <w:rFonts w:ascii="Times New Roman" w:hAnsi="Times New Roman" w:cs="Times New Roman"/>
          <w:sz w:val="24"/>
          <w:szCs w:val="24"/>
        </w:rPr>
        <w:footnoteRef/>
      </w:r>
      <w:r>
        <w:rPr>
          <w:rFonts w:ascii="Times New Roman" w:hAnsi="Times New Roman" w:cs="Times New Roman"/>
          <w:sz w:val="24"/>
          <w:szCs w:val="24"/>
        </w:rPr>
        <w:t xml:space="preserve"> LMC’s argument is set out on pages 6-7 of its reply to the motion to dismiss</w:t>
      </w:r>
      <w:r w:rsidR="00C02E43">
        <w:rPr>
          <w:rFonts w:ascii="Times New Roman" w:hAnsi="Times New Roman" w:cs="Times New Roman"/>
          <w:sz w:val="24"/>
          <w:szCs w:val="24"/>
        </w:rPr>
        <w:t>.</w:t>
      </w:r>
    </w:p>
    <w:p w14:paraId="2BFA416E" w14:textId="77777777" w:rsidR="00D753DB" w:rsidRPr="00684B1E" w:rsidRDefault="00D753DB" w:rsidP="00D753DB">
      <w:pPr>
        <w:pStyle w:val="FootnoteText"/>
        <w:rPr>
          <w:rFonts w:ascii="Times New Roman" w:hAnsi="Times New Roman" w:cs="Times New Roman"/>
          <w:sz w:val="24"/>
          <w:szCs w:val="24"/>
        </w:rPr>
      </w:pPr>
    </w:p>
  </w:footnote>
  <w:footnote w:id="24">
    <w:p w14:paraId="338AA3EB" w14:textId="01C1FF44" w:rsidR="00214C1E" w:rsidRPr="00214C1E" w:rsidRDefault="00214C1E">
      <w:pPr>
        <w:pStyle w:val="FootnoteText"/>
        <w:rPr>
          <w:rFonts w:ascii="Times New Roman" w:hAnsi="Times New Roman" w:cs="Times New Roman"/>
          <w:sz w:val="24"/>
          <w:szCs w:val="24"/>
        </w:rPr>
      </w:pPr>
      <w:r w:rsidRPr="00214C1E">
        <w:rPr>
          <w:rStyle w:val="FootnoteReference"/>
          <w:rFonts w:ascii="Times New Roman" w:hAnsi="Times New Roman" w:cs="Times New Roman"/>
          <w:sz w:val="24"/>
          <w:szCs w:val="24"/>
        </w:rPr>
        <w:footnoteRef/>
      </w:r>
      <w:r w:rsidRPr="00214C1E">
        <w:rPr>
          <w:rFonts w:ascii="Times New Roman" w:hAnsi="Times New Roman" w:cs="Times New Roman"/>
          <w:sz w:val="24"/>
          <w:szCs w:val="24"/>
        </w:rPr>
        <w:t xml:space="preserve"> Recent </w:t>
      </w:r>
      <w:hyperlink r:id="rId29" w:history="1">
        <w:r w:rsidRPr="00214C1E">
          <w:rPr>
            <w:rStyle w:val="Hyperlink"/>
            <w:rFonts w:ascii="Times New Roman" w:hAnsi="Times New Roman" w:cs="Times New Roman"/>
            <w:sz w:val="24"/>
            <w:szCs w:val="24"/>
          </w:rPr>
          <w:t>census data</w:t>
        </w:r>
      </w:hyperlink>
      <w:r w:rsidRPr="00214C1E">
        <w:rPr>
          <w:rFonts w:ascii="Times New Roman" w:hAnsi="Times New Roman" w:cs="Times New Roman"/>
          <w:sz w:val="24"/>
          <w:szCs w:val="24"/>
        </w:rPr>
        <w:t xml:space="preserve"> indicates that Minnesota has about 672,105 rental units (2,517,2</w:t>
      </w:r>
      <w:r>
        <w:rPr>
          <w:rFonts w:ascii="Times New Roman" w:hAnsi="Times New Roman" w:cs="Times New Roman"/>
          <w:sz w:val="24"/>
          <w:szCs w:val="24"/>
        </w:rPr>
        <w:t>4</w:t>
      </w:r>
      <w:r w:rsidRPr="00214C1E">
        <w:rPr>
          <w:rFonts w:ascii="Times New Roman" w:hAnsi="Times New Roman" w:cs="Times New Roman"/>
          <w:sz w:val="24"/>
          <w:szCs w:val="24"/>
        </w:rPr>
        <w:t>8 total units, 26.7% not owner occupied).</w:t>
      </w:r>
    </w:p>
  </w:footnote>
  <w:footnote w:id="25">
    <w:p w14:paraId="10B2DC53" w14:textId="16CC3E34" w:rsidR="006773E1" w:rsidRPr="006773E1" w:rsidRDefault="006773E1" w:rsidP="006773E1">
      <w:pPr>
        <w:pStyle w:val="FootnoteText"/>
        <w:rPr>
          <w:rFonts w:ascii="Times New Roman" w:hAnsi="Times New Roman" w:cs="Times New Roman"/>
          <w:sz w:val="24"/>
          <w:szCs w:val="24"/>
        </w:rPr>
      </w:pPr>
      <w:r w:rsidRPr="006773E1">
        <w:rPr>
          <w:rStyle w:val="FootnoteReference"/>
          <w:rFonts w:ascii="Times New Roman" w:hAnsi="Times New Roman" w:cs="Times New Roman"/>
          <w:sz w:val="24"/>
          <w:szCs w:val="24"/>
        </w:rPr>
        <w:footnoteRef/>
      </w:r>
      <w:r w:rsidRPr="006773E1">
        <w:rPr>
          <w:rFonts w:ascii="Times New Roman" w:hAnsi="Times New Roman" w:cs="Times New Roman"/>
          <w:sz w:val="24"/>
          <w:szCs w:val="24"/>
        </w:rPr>
        <w:t xml:space="preserve"> The pinpoint </w:t>
      </w:r>
      <w:proofErr w:type="gramStart"/>
      <w:r w:rsidRPr="006773E1">
        <w:rPr>
          <w:rFonts w:ascii="Times New Roman" w:hAnsi="Times New Roman" w:cs="Times New Roman"/>
          <w:sz w:val="24"/>
          <w:szCs w:val="24"/>
        </w:rPr>
        <w:t>cite</w:t>
      </w:r>
      <w:proofErr w:type="gramEnd"/>
      <w:r w:rsidRPr="006773E1">
        <w:rPr>
          <w:rFonts w:ascii="Times New Roman" w:hAnsi="Times New Roman" w:cs="Times New Roman"/>
          <w:sz w:val="24"/>
          <w:szCs w:val="24"/>
        </w:rPr>
        <w:t xml:space="preserve"> </w:t>
      </w:r>
      <w:r w:rsidR="006C5E62">
        <w:rPr>
          <w:rFonts w:ascii="Times New Roman" w:hAnsi="Times New Roman" w:cs="Times New Roman"/>
          <w:sz w:val="24"/>
          <w:szCs w:val="24"/>
        </w:rPr>
        <w:t xml:space="preserve">in the slip opinion, available at </w:t>
      </w:r>
      <w:hyperlink r:id="rId30" w:history="1">
        <w:r w:rsidR="006C5E62" w:rsidRPr="00E2269F">
          <w:rPr>
            <w:rStyle w:val="Hyperlink"/>
            <w:rFonts w:ascii="Times New Roman" w:hAnsi="Times New Roman" w:cs="Times New Roman"/>
            <w:sz w:val="24"/>
            <w:szCs w:val="24"/>
          </w:rPr>
          <w:t>https://mn.gov/law-library-stat/archive/supct/2023/OPA210626-020823.pdf</w:t>
        </w:r>
      </w:hyperlink>
      <w:r w:rsidR="006C5E62">
        <w:rPr>
          <w:rFonts w:ascii="Times New Roman" w:hAnsi="Times New Roman" w:cs="Times New Roman"/>
          <w:sz w:val="24"/>
          <w:szCs w:val="24"/>
        </w:rPr>
        <w:t xml:space="preserve"> </w:t>
      </w:r>
      <w:r w:rsidR="00985C92">
        <w:rPr>
          <w:rFonts w:ascii="Times New Roman" w:hAnsi="Times New Roman" w:cs="Times New Roman"/>
          <w:sz w:val="24"/>
          <w:szCs w:val="24"/>
        </w:rPr>
        <w:t xml:space="preserve">, is </w:t>
      </w:r>
      <w:r w:rsidR="00985C92" w:rsidRPr="006773E1">
        <w:rPr>
          <w:rFonts w:ascii="Times New Roman" w:hAnsi="Times New Roman" w:cs="Times New Roman"/>
          <w:sz w:val="24"/>
          <w:szCs w:val="24"/>
        </w:rPr>
        <w:t>page 16-17</w:t>
      </w:r>
      <w:r w:rsidR="00985C92">
        <w:rPr>
          <w:rFonts w:ascii="Times New Roman" w:hAnsi="Times New Roman" w:cs="Times New Roman"/>
          <w:sz w:val="24"/>
          <w:szCs w:val="24"/>
        </w:rPr>
        <w:t>.</w:t>
      </w:r>
    </w:p>
    <w:p w14:paraId="209131EA" w14:textId="38BB2548" w:rsidR="006773E1" w:rsidRDefault="006773E1">
      <w:pPr>
        <w:pStyle w:val="FootnoteText"/>
      </w:pPr>
    </w:p>
  </w:footnote>
  <w:footnote w:id="26">
    <w:p w14:paraId="7A40DB19" w14:textId="77777777" w:rsidR="007F770D" w:rsidRPr="00B03F07" w:rsidRDefault="007F770D" w:rsidP="007F770D">
      <w:pPr>
        <w:pStyle w:val="FootnoteText"/>
        <w:rPr>
          <w:rFonts w:ascii="Times New Roman" w:hAnsi="Times New Roman" w:cs="Times New Roman"/>
          <w:sz w:val="24"/>
          <w:szCs w:val="24"/>
        </w:rPr>
      </w:pPr>
      <w:r w:rsidRPr="00B03F07">
        <w:rPr>
          <w:rStyle w:val="FootnoteReference"/>
          <w:rFonts w:ascii="Times New Roman" w:hAnsi="Times New Roman" w:cs="Times New Roman"/>
          <w:sz w:val="24"/>
          <w:szCs w:val="24"/>
        </w:rPr>
        <w:footnoteRef/>
      </w:r>
      <w:r w:rsidRPr="00B03F07">
        <w:rPr>
          <w:rFonts w:ascii="Times New Roman" w:hAnsi="Times New Roman" w:cs="Times New Roman"/>
          <w:sz w:val="24"/>
          <w:szCs w:val="24"/>
        </w:rPr>
        <w:t xml:space="preserve"> </w:t>
      </w:r>
      <w:hyperlink r:id="rId31" w:history="1">
        <w:r>
          <w:rPr>
            <w:rStyle w:val="Hyperlink"/>
            <w:rFonts w:ascii="Times New Roman" w:hAnsi="Times New Roman" w:cs="Times New Roman"/>
            <w:sz w:val="24"/>
            <w:szCs w:val="24"/>
          </w:rPr>
          <w:t>Quinn’s lo</w:t>
        </w:r>
        <w:r w:rsidRPr="00B03F07">
          <w:rPr>
            <w:rStyle w:val="Hyperlink"/>
            <w:rFonts w:ascii="Times New Roman" w:hAnsi="Times New Roman" w:cs="Times New Roman"/>
            <w:sz w:val="24"/>
            <w:szCs w:val="24"/>
          </w:rPr>
          <w:t>ckout petition</w:t>
        </w:r>
      </w:hyperlink>
      <w:r w:rsidRPr="00B03F07">
        <w:rPr>
          <w:rFonts w:ascii="Times New Roman" w:hAnsi="Times New Roman" w:cs="Times New Roman"/>
          <w:sz w:val="24"/>
          <w:szCs w:val="24"/>
        </w:rPr>
        <w:t xml:space="preserve"> was filed on April 19, 2021. </w:t>
      </w:r>
    </w:p>
  </w:footnote>
  <w:footnote w:id="27">
    <w:p w14:paraId="4B1F7565" w14:textId="6007443F" w:rsidR="0061010E" w:rsidRPr="00C468DB" w:rsidRDefault="0061010E">
      <w:pPr>
        <w:pStyle w:val="FootnoteText"/>
        <w:rPr>
          <w:rFonts w:ascii="Times New Roman" w:hAnsi="Times New Roman" w:cs="Times New Roman"/>
          <w:sz w:val="24"/>
          <w:szCs w:val="24"/>
        </w:rPr>
      </w:pPr>
      <w:r w:rsidRPr="00C468DB">
        <w:rPr>
          <w:rStyle w:val="FootnoteReference"/>
          <w:rFonts w:ascii="Times New Roman" w:hAnsi="Times New Roman" w:cs="Times New Roman"/>
          <w:sz w:val="24"/>
          <w:szCs w:val="24"/>
        </w:rPr>
        <w:footnoteRef/>
      </w:r>
      <w:r w:rsidRPr="00C468DB">
        <w:rPr>
          <w:rFonts w:ascii="Times New Roman" w:hAnsi="Times New Roman" w:cs="Times New Roman"/>
          <w:sz w:val="24"/>
          <w:szCs w:val="24"/>
        </w:rPr>
        <w:t xml:space="preserve"> </w:t>
      </w:r>
      <w:r w:rsidR="00C468DB" w:rsidRPr="00C468DB">
        <w:rPr>
          <w:rFonts w:ascii="Times New Roman" w:hAnsi="Times New Roman" w:cs="Times New Roman"/>
          <w:sz w:val="24"/>
          <w:szCs w:val="24"/>
        </w:rPr>
        <w:t>In pertinent part</w:t>
      </w:r>
      <w:r w:rsidR="00C468DB">
        <w:rPr>
          <w:rFonts w:ascii="Times New Roman" w:hAnsi="Times New Roman" w:cs="Times New Roman"/>
          <w:sz w:val="24"/>
          <w:szCs w:val="24"/>
        </w:rPr>
        <w:t xml:space="preserve"> the</w:t>
      </w:r>
      <w:r w:rsidRPr="00C468DB">
        <w:rPr>
          <w:rFonts w:ascii="Times New Roman" w:hAnsi="Times New Roman" w:cs="Times New Roman"/>
          <w:sz w:val="24"/>
          <w:szCs w:val="24"/>
        </w:rPr>
        <w:t xml:space="preserve"> order </w:t>
      </w:r>
      <w:r w:rsidR="0066088F">
        <w:rPr>
          <w:rFonts w:ascii="Times New Roman" w:hAnsi="Times New Roman" w:cs="Times New Roman"/>
          <w:sz w:val="24"/>
          <w:szCs w:val="24"/>
        </w:rPr>
        <w:t xml:space="preserve">at paragraph 1 </w:t>
      </w:r>
      <w:r w:rsidRPr="00C468DB">
        <w:rPr>
          <w:rFonts w:ascii="Times New Roman" w:hAnsi="Times New Roman" w:cs="Times New Roman"/>
          <w:sz w:val="24"/>
          <w:szCs w:val="24"/>
        </w:rPr>
        <w:t>said, “</w:t>
      </w:r>
      <w:r w:rsidR="00C468DB" w:rsidRPr="00C468DB">
        <w:rPr>
          <w:rFonts w:ascii="Times New Roman" w:hAnsi="Times New Roman" w:cs="Times New Roman"/>
          <w:sz w:val="24"/>
          <w:szCs w:val="24"/>
        </w:rPr>
        <w:t xml:space="preserve">Beginning no later than March 24, 2020 at 5:00 pm, and continuing for the duration of the peacetime emergency declared in Executive Order 20-01 or until this Executive Order is rescinded, for property owners, mortgage holders, or other persons entitled to recover residential premises after March 1, 2020 because a household remains in the property after a notice of termination of lease, after the termination of the redemption period for a residential foreclosure, after a residential lease has been breached, or after nonpayment of rent, </w:t>
      </w:r>
      <w:r w:rsidR="00C468DB" w:rsidRPr="0066088F">
        <w:rPr>
          <w:rFonts w:ascii="Times New Roman" w:hAnsi="Times New Roman" w:cs="Times New Roman"/>
          <w:sz w:val="24"/>
          <w:szCs w:val="24"/>
          <w:u w:val="single"/>
        </w:rPr>
        <w:t>the ability to file an eviction action under Minnesota Statutes 2019, section 504B.285 or 504B.291 is suspended</w:t>
      </w:r>
      <w:r w:rsidR="0066088F">
        <w:rPr>
          <w:rFonts w:ascii="Times New Roman" w:hAnsi="Times New Roman" w:cs="Times New Roman"/>
          <w:sz w:val="24"/>
          <w:szCs w:val="24"/>
        </w:rPr>
        <w:t xml:space="preserve"> [emphasis added].”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4184667"/>
      <w:docPartObj>
        <w:docPartGallery w:val="Page Numbers (Top of Page)"/>
        <w:docPartUnique/>
      </w:docPartObj>
    </w:sdtPr>
    <w:sdtEndPr>
      <w:rPr>
        <w:noProof/>
      </w:rPr>
    </w:sdtEndPr>
    <w:sdtContent>
      <w:p w14:paraId="3146C894" w14:textId="77777777" w:rsidR="009A4CE8" w:rsidRDefault="009A4CE8">
        <w:pPr>
          <w:pStyle w:val="Header"/>
          <w:jc w:val="right"/>
        </w:pPr>
        <w:r>
          <w:fldChar w:fldCharType="begin"/>
        </w:r>
        <w:r>
          <w:instrText xml:space="preserve"> PAGE   \* MERGEFORMAT </w:instrText>
        </w:r>
        <w:r>
          <w:fldChar w:fldCharType="separate"/>
        </w:r>
        <w:r w:rsidR="00193742">
          <w:rPr>
            <w:noProof/>
          </w:rPr>
          <w:t>9</w:t>
        </w:r>
        <w:r>
          <w:rPr>
            <w:noProof/>
          </w:rPr>
          <w:fldChar w:fldCharType="end"/>
        </w:r>
      </w:p>
    </w:sdtContent>
  </w:sdt>
  <w:p w14:paraId="0389A1AC" w14:textId="77777777" w:rsidR="009A4CE8" w:rsidRDefault="009A4C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00098E"/>
    <w:multiLevelType w:val="hybridMultilevel"/>
    <w:tmpl w:val="FA38F87E"/>
    <w:lvl w:ilvl="0" w:tplc="14C2D4DE">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18317504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4177"/>
    <w:rsid w:val="000061C7"/>
    <w:rsid w:val="000106B1"/>
    <w:rsid w:val="00011ECD"/>
    <w:rsid w:val="000145A8"/>
    <w:rsid w:val="000241CD"/>
    <w:rsid w:val="000260BA"/>
    <w:rsid w:val="0002731B"/>
    <w:rsid w:val="0003004B"/>
    <w:rsid w:val="00036681"/>
    <w:rsid w:val="00042057"/>
    <w:rsid w:val="000444E7"/>
    <w:rsid w:val="00050790"/>
    <w:rsid w:val="00052C1F"/>
    <w:rsid w:val="00053731"/>
    <w:rsid w:val="00054E04"/>
    <w:rsid w:val="00055A5F"/>
    <w:rsid w:val="000653B1"/>
    <w:rsid w:val="00065A5C"/>
    <w:rsid w:val="00070613"/>
    <w:rsid w:val="00070D1F"/>
    <w:rsid w:val="000724A6"/>
    <w:rsid w:val="000745D7"/>
    <w:rsid w:val="0008027A"/>
    <w:rsid w:val="00087EA7"/>
    <w:rsid w:val="0009721F"/>
    <w:rsid w:val="00097FD0"/>
    <w:rsid w:val="000A2CED"/>
    <w:rsid w:val="000A58C4"/>
    <w:rsid w:val="000A6FCA"/>
    <w:rsid w:val="000B0652"/>
    <w:rsid w:val="000B2E5B"/>
    <w:rsid w:val="000B39B6"/>
    <w:rsid w:val="000B3B23"/>
    <w:rsid w:val="000C136E"/>
    <w:rsid w:val="000C2BA3"/>
    <w:rsid w:val="000C40C3"/>
    <w:rsid w:val="000C7A67"/>
    <w:rsid w:val="000D3E2C"/>
    <w:rsid w:val="000E1E1D"/>
    <w:rsid w:val="000E22EB"/>
    <w:rsid w:val="000F1985"/>
    <w:rsid w:val="000F7071"/>
    <w:rsid w:val="00101757"/>
    <w:rsid w:val="00105DEF"/>
    <w:rsid w:val="00110F1E"/>
    <w:rsid w:val="001137FD"/>
    <w:rsid w:val="00115EC9"/>
    <w:rsid w:val="001162B3"/>
    <w:rsid w:val="00116616"/>
    <w:rsid w:val="0012549B"/>
    <w:rsid w:val="00136111"/>
    <w:rsid w:val="00136470"/>
    <w:rsid w:val="00141AD5"/>
    <w:rsid w:val="0014307A"/>
    <w:rsid w:val="00146531"/>
    <w:rsid w:val="00152880"/>
    <w:rsid w:val="00153957"/>
    <w:rsid w:val="00155872"/>
    <w:rsid w:val="00155A81"/>
    <w:rsid w:val="00156036"/>
    <w:rsid w:val="00165CB4"/>
    <w:rsid w:val="001830CA"/>
    <w:rsid w:val="0018631A"/>
    <w:rsid w:val="00193742"/>
    <w:rsid w:val="001A2976"/>
    <w:rsid w:val="001A2DFC"/>
    <w:rsid w:val="001A30B2"/>
    <w:rsid w:val="001B0EF1"/>
    <w:rsid w:val="001B1131"/>
    <w:rsid w:val="001C04E3"/>
    <w:rsid w:val="001C2624"/>
    <w:rsid w:val="001C4307"/>
    <w:rsid w:val="001C62B5"/>
    <w:rsid w:val="001D00ED"/>
    <w:rsid w:val="001D02E8"/>
    <w:rsid w:val="001D505C"/>
    <w:rsid w:val="001F5BAC"/>
    <w:rsid w:val="001F6981"/>
    <w:rsid w:val="00200FA8"/>
    <w:rsid w:val="002037B0"/>
    <w:rsid w:val="0020380B"/>
    <w:rsid w:val="002049A8"/>
    <w:rsid w:val="0020663F"/>
    <w:rsid w:val="002141F1"/>
    <w:rsid w:val="00214C1E"/>
    <w:rsid w:val="002162B8"/>
    <w:rsid w:val="00225460"/>
    <w:rsid w:val="00225CFE"/>
    <w:rsid w:val="0023160A"/>
    <w:rsid w:val="00234128"/>
    <w:rsid w:val="00235066"/>
    <w:rsid w:val="002407C6"/>
    <w:rsid w:val="00243043"/>
    <w:rsid w:val="00243561"/>
    <w:rsid w:val="00262070"/>
    <w:rsid w:val="0027053B"/>
    <w:rsid w:val="0027656C"/>
    <w:rsid w:val="00276FD9"/>
    <w:rsid w:val="00287301"/>
    <w:rsid w:val="00291A32"/>
    <w:rsid w:val="002921AB"/>
    <w:rsid w:val="002A28D2"/>
    <w:rsid w:val="002A5357"/>
    <w:rsid w:val="002A55F0"/>
    <w:rsid w:val="002B1939"/>
    <w:rsid w:val="002B5D8F"/>
    <w:rsid w:val="002B641F"/>
    <w:rsid w:val="002C1FA2"/>
    <w:rsid w:val="002C20A9"/>
    <w:rsid w:val="002C3E98"/>
    <w:rsid w:val="002C732F"/>
    <w:rsid w:val="002D406D"/>
    <w:rsid w:val="002D77EF"/>
    <w:rsid w:val="002E66BF"/>
    <w:rsid w:val="002F6DE2"/>
    <w:rsid w:val="003042E4"/>
    <w:rsid w:val="0030601C"/>
    <w:rsid w:val="003120DA"/>
    <w:rsid w:val="0031389D"/>
    <w:rsid w:val="00314190"/>
    <w:rsid w:val="0031491C"/>
    <w:rsid w:val="0031787F"/>
    <w:rsid w:val="00320A89"/>
    <w:rsid w:val="00332484"/>
    <w:rsid w:val="003328D0"/>
    <w:rsid w:val="003328F9"/>
    <w:rsid w:val="00351BE0"/>
    <w:rsid w:val="00363A5B"/>
    <w:rsid w:val="00366334"/>
    <w:rsid w:val="00375B29"/>
    <w:rsid w:val="00375DF1"/>
    <w:rsid w:val="003766AE"/>
    <w:rsid w:val="00390F61"/>
    <w:rsid w:val="003920E2"/>
    <w:rsid w:val="003956D9"/>
    <w:rsid w:val="003A2C67"/>
    <w:rsid w:val="003A383F"/>
    <w:rsid w:val="003A623F"/>
    <w:rsid w:val="003C191F"/>
    <w:rsid w:val="003C2DE9"/>
    <w:rsid w:val="003C393F"/>
    <w:rsid w:val="003C43F9"/>
    <w:rsid w:val="003D2F45"/>
    <w:rsid w:val="003D30D2"/>
    <w:rsid w:val="003D6415"/>
    <w:rsid w:val="003E5787"/>
    <w:rsid w:val="003E797E"/>
    <w:rsid w:val="003F3F08"/>
    <w:rsid w:val="003F401F"/>
    <w:rsid w:val="003F51B7"/>
    <w:rsid w:val="0040709C"/>
    <w:rsid w:val="0041098D"/>
    <w:rsid w:val="00416A4A"/>
    <w:rsid w:val="00417F2C"/>
    <w:rsid w:val="0042596A"/>
    <w:rsid w:val="004375D5"/>
    <w:rsid w:val="004447EA"/>
    <w:rsid w:val="00470665"/>
    <w:rsid w:val="00474DB1"/>
    <w:rsid w:val="00474E02"/>
    <w:rsid w:val="00477720"/>
    <w:rsid w:val="00480408"/>
    <w:rsid w:val="00484D0C"/>
    <w:rsid w:val="004904D4"/>
    <w:rsid w:val="0049408A"/>
    <w:rsid w:val="004A0312"/>
    <w:rsid w:val="004C0633"/>
    <w:rsid w:val="004C2D20"/>
    <w:rsid w:val="004C3612"/>
    <w:rsid w:val="004C36BD"/>
    <w:rsid w:val="004D054F"/>
    <w:rsid w:val="004D33E9"/>
    <w:rsid w:val="004D3884"/>
    <w:rsid w:val="004D3A44"/>
    <w:rsid w:val="004D4273"/>
    <w:rsid w:val="004D5661"/>
    <w:rsid w:val="004D7340"/>
    <w:rsid w:val="004E095A"/>
    <w:rsid w:val="004E43DC"/>
    <w:rsid w:val="004E6EEC"/>
    <w:rsid w:val="004E70DE"/>
    <w:rsid w:val="004F367C"/>
    <w:rsid w:val="004F661F"/>
    <w:rsid w:val="00500868"/>
    <w:rsid w:val="0051150B"/>
    <w:rsid w:val="0051567E"/>
    <w:rsid w:val="00517C08"/>
    <w:rsid w:val="00522914"/>
    <w:rsid w:val="0053237E"/>
    <w:rsid w:val="00536163"/>
    <w:rsid w:val="00541030"/>
    <w:rsid w:val="0055473E"/>
    <w:rsid w:val="005562C5"/>
    <w:rsid w:val="005568DF"/>
    <w:rsid w:val="00560D36"/>
    <w:rsid w:val="005621C6"/>
    <w:rsid w:val="00573D34"/>
    <w:rsid w:val="005776FF"/>
    <w:rsid w:val="00585EF5"/>
    <w:rsid w:val="00590F19"/>
    <w:rsid w:val="005A09D8"/>
    <w:rsid w:val="005A4056"/>
    <w:rsid w:val="005B0FCF"/>
    <w:rsid w:val="005C52C2"/>
    <w:rsid w:val="005C5CBB"/>
    <w:rsid w:val="005D1239"/>
    <w:rsid w:val="005D3160"/>
    <w:rsid w:val="005D4B5D"/>
    <w:rsid w:val="005E3788"/>
    <w:rsid w:val="005E5BE8"/>
    <w:rsid w:val="005E6038"/>
    <w:rsid w:val="005F02E2"/>
    <w:rsid w:val="005F0F02"/>
    <w:rsid w:val="005F5044"/>
    <w:rsid w:val="005F608D"/>
    <w:rsid w:val="005F7A04"/>
    <w:rsid w:val="0061010E"/>
    <w:rsid w:val="00617B82"/>
    <w:rsid w:val="0062238E"/>
    <w:rsid w:val="00622715"/>
    <w:rsid w:val="00623197"/>
    <w:rsid w:val="00623F94"/>
    <w:rsid w:val="00625407"/>
    <w:rsid w:val="00625E8A"/>
    <w:rsid w:val="00627C67"/>
    <w:rsid w:val="006407B4"/>
    <w:rsid w:val="00645ADB"/>
    <w:rsid w:val="006518BB"/>
    <w:rsid w:val="00656CDC"/>
    <w:rsid w:val="0066037D"/>
    <w:rsid w:val="0066088F"/>
    <w:rsid w:val="00676D72"/>
    <w:rsid w:val="006773E1"/>
    <w:rsid w:val="006848A7"/>
    <w:rsid w:val="00684993"/>
    <w:rsid w:val="00684B1E"/>
    <w:rsid w:val="00685F94"/>
    <w:rsid w:val="00687BBC"/>
    <w:rsid w:val="00690540"/>
    <w:rsid w:val="00690DEB"/>
    <w:rsid w:val="006928ED"/>
    <w:rsid w:val="00696613"/>
    <w:rsid w:val="006A1B98"/>
    <w:rsid w:val="006A4810"/>
    <w:rsid w:val="006B0EAE"/>
    <w:rsid w:val="006B22D2"/>
    <w:rsid w:val="006B36F8"/>
    <w:rsid w:val="006B403E"/>
    <w:rsid w:val="006B469E"/>
    <w:rsid w:val="006C4CAB"/>
    <w:rsid w:val="006C5E62"/>
    <w:rsid w:val="006D0524"/>
    <w:rsid w:val="006D6CDB"/>
    <w:rsid w:val="006E5357"/>
    <w:rsid w:val="006E5380"/>
    <w:rsid w:val="006F3565"/>
    <w:rsid w:val="006F5464"/>
    <w:rsid w:val="006F648C"/>
    <w:rsid w:val="006F67EB"/>
    <w:rsid w:val="0070057E"/>
    <w:rsid w:val="00701CD5"/>
    <w:rsid w:val="00710CE8"/>
    <w:rsid w:val="00711F2C"/>
    <w:rsid w:val="0071439D"/>
    <w:rsid w:val="00721134"/>
    <w:rsid w:val="0072315C"/>
    <w:rsid w:val="00726A3A"/>
    <w:rsid w:val="00727331"/>
    <w:rsid w:val="00730963"/>
    <w:rsid w:val="00744841"/>
    <w:rsid w:val="007467B5"/>
    <w:rsid w:val="00751EA8"/>
    <w:rsid w:val="007564E4"/>
    <w:rsid w:val="007653D6"/>
    <w:rsid w:val="00774DB0"/>
    <w:rsid w:val="00774FAA"/>
    <w:rsid w:val="007774CB"/>
    <w:rsid w:val="00785BDC"/>
    <w:rsid w:val="007926AA"/>
    <w:rsid w:val="00792CF7"/>
    <w:rsid w:val="0079383F"/>
    <w:rsid w:val="00793DDC"/>
    <w:rsid w:val="00794B32"/>
    <w:rsid w:val="00794FA5"/>
    <w:rsid w:val="0079591A"/>
    <w:rsid w:val="007A243B"/>
    <w:rsid w:val="007A345F"/>
    <w:rsid w:val="007B06DA"/>
    <w:rsid w:val="007B63C0"/>
    <w:rsid w:val="007C3051"/>
    <w:rsid w:val="007C3274"/>
    <w:rsid w:val="007D157D"/>
    <w:rsid w:val="007D3927"/>
    <w:rsid w:val="007D4EB5"/>
    <w:rsid w:val="007D648D"/>
    <w:rsid w:val="007D7A7F"/>
    <w:rsid w:val="007E2E7E"/>
    <w:rsid w:val="007E7050"/>
    <w:rsid w:val="007F3A33"/>
    <w:rsid w:val="007F770D"/>
    <w:rsid w:val="0080385B"/>
    <w:rsid w:val="008051A9"/>
    <w:rsid w:val="0080754B"/>
    <w:rsid w:val="0081456E"/>
    <w:rsid w:val="00815E2E"/>
    <w:rsid w:val="00821397"/>
    <w:rsid w:val="0085374A"/>
    <w:rsid w:val="00861C0C"/>
    <w:rsid w:val="0086522E"/>
    <w:rsid w:val="0088520C"/>
    <w:rsid w:val="008911F4"/>
    <w:rsid w:val="00893C58"/>
    <w:rsid w:val="008942D9"/>
    <w:rsid w:val="00895AE9"/>
    <w:rsid w:val="008A2616"/>
    <w:rsid w:val="008B61C2"/>
    <w:rsid w:val="008C1898"/>
    <w:rsid w:val="008C2C54"/>
    <w:rsid w:val="008D7BB0"/>
    <w:rsid w:val="008D7D9C"/>
    <w:rsid w:val="008E2FCA"/>
    <w:rsid w:val="009012C0"/>
    <w:rsid w:val="00903C92"/>
    <w:rsid w:val="00903F6C"/>
    <w:rsid w:val="009159E5"/>
    <w:rsid w:val="009173A4"/>
    <w:rsid w:val="00921D98"/>
    <w:rsid w:val="00923BD8"/>
    <w:rsid w:val="0092722C"/>
    <w:rsid w:val="00935DF8"/>
    <w:rsid w:val="00942BA5"/>
    <w:rsid w:val="00945E55"/>
    <w:rsid w:val="00955122"/>
    <w:rsid w:val="00957126"/>
    <w:rsid w:val="00966C65"/>
    <w:rsid w:val="00967947"/>
    <w:rsid w:val="00971725"/>
    <w:rsid w:val="009778A6"/>
    <w:rsid w:val="0098253C"/>
    <w:rsid w:val="009837D4"/>
    <w:rsid w:val="00984938"/>
    <w:rsid w:val="009852A2"/>
    <w:rsid w:val="00985C92"/>
    <w:rsid w:val="009A4CE8"/>
    <w:rsid w:val="009A7B58"/>
    <w:rsid w:val="009B7689"/>
    <w:rsid w:val="009C784D"/>
    <w:rsid w:val="009E3425"/>
    <w:rsid w:val="009E62EC"/>
    <w:rsid w:val="009F00A9"/>
    <w:rsid w:val="009F2571"/>
    <w:rsid w:val="009F2C90"/>
    <w:rsid w:val="00A02413"/>
    <w:rsid w:val="00A07762"/>
    <w:rsid w:val="00A167F6"/>
    <w:rsid w:val="00A220AC"/>
    <w:rsid w:val="00A2417E"/>
    <w:rsid w:val="00A34007"/>
    <w:rsid w:val="00A5031F"/>
    <w:rsid w:val="00A53D8A"/>
    <w:rsid w:val="00A5785C"/>
    <w:rsid w:val="00A61DCA"/>
    <w:rsid w:val="00A659BB"/>
    <w:rsid w:val="00A70C04"/>
    <w:rsid w:val="00A73216"/>
    <w:rsid w:val="00A74721"/>
    <w:rsid w:val="00A76137"/>
    <w:rsid w:val="00A76CB2"/>
    <w:rsid w:val="00A87186"/>
    <w:rsid w:val="00A95994"/>
    <w:rsid w:val="00AA0D9E"/>
    <w:rsid w:val="00AA2554"/>
    <w:rsid w:val="00AA694A"/>
    <w:rsid w:val="00AB39FF"/>
    <w:rsid w:val="00AB55D3"/>
    <w:rsid w:val="00AC4916"/>
    <w:rsid w:val="00AC681A"/>
    <w:rsid w:val="00AD3AA7"/>
    <w:rsid w:val="00AD5427"/>
    <w:rsid w:val="00AD7E80"/>
    <w:rsid w:val="00AE767C"/>
    <w:rsid w:val="00AF2AE0"/>
    <w:rsid w:val="00AF452D"/>
    <w:rsid w:val="00AF7BEB"/>
    <w:rsid w:val="00B03F07"/>
    <w:rsid w:val="00B14DEB"/>
    <w:rsid w:val="00B16A9F"/>
    <w:rsid w:val="00B26ED1"/>
    <w:rsid w:val="00B30CCB"/>
    <w:rsid w:val="00B31CF0"/>
    <w:rsid w:val="00B331D7"/>
    <w:rsid w:val="00B34BDA"/>
    <w:rsid w:val="00B432CA"/>
    <w:rsid w:val="00B63F00"/>
    <w:rsid w:val="00B6477C"/>
    <w:rsid w:val="00B65058"/>
    <w:rsid w:val="00B86A36"/>
    <w:rsid w:val="00B9048D"/>
    <w:rsid w:val="00B93DBC"/>
    <w:rsid w:val="00BA7066"/>
    <w:rsid w:val="00BB0DCE"/>
    <w:rsid w:val="00BB0E5B"/>
    <w:rsid w:val="00BB4E55"/>
    <w:rsid w:val="00BC4F81"/>
    <w:rsid w:val="00BC7DBB"/>
    <w:rsid w:val="00BD587A"/>
    <w:rsid w:val="00BD6346"/>
    <w:rsid w:val="00BE4BDB"/>
    <w:rsid w:val="00BE71C2"/>
    <w:rsid w:val="00BE7BC8"/>
    <w:rsid w:val="00BF2440"/>
    <w:rsid w:val="00BF409E"/>
    <w:rsid w:val="00C02E43"/>
    <w:rsid w:val="00C06B88"/>
    <w:rsid w:val="00C0758F"/>
    <w:rsid w:val="00C07EEE"/>
    <w:rsid w:val="00C11A51"/>
    <w:rsid w:val="00C20BD1"/>
    <w:rsid w:val="00C332CD"/>
    <w:rsid w:val="00C468DB"/>
    <w:rsid w:val="00C67012"/>
    <w:rsid w:val="00C82674"/>
    <w:rsid w:val="00C9221A"/>
    <w:rsid w:val="00C96A5A"/>
    <w:rsid w:val="00C975D3"/>
    <w:rsid w:val="00CB0994"/>
    <w:rsid w:val="00CB0AC5"/>
    <w:rsid w:val="00CB5A54"/>
    <w:rsid w:val="00CB5FB0"/>
    <w:rsid w:val="00CC190E"/>
    <w:rsid w:val="00CC6A63"/>
    <w:rsid w:val="00CC7824"/>
    <w:rsid w:val="00CD4CA0"/>
    <w:rsid w:val="00CD6543"/>
    <w:rsid w:val="00CE425A"/>
    <w:rsid w:val="00CF0320"/>
    <w:rsid w:val="00D0372B"/>
    <w:rsid w:val="00D045EB"/>
    <w:rsid w:val="00D04B70"/>
    <w:rsid w:val="00D078F9"/>
    <w:rsid w:val="00D107FD"/>
    <w:rsid w:val="00D10942"/>
    <w:rsid w:val="00D1363F"/>
    <w:rsid w:val="00D21219"/>
    <w:rsid w:val="00D22247"/>
    <w:rsid w:val="00D2256C"/>
    <w:rsid w:val="00D22B86"/>
    <w:rsid w:val="00D233E1"/>
    <w:rsid w:val="00D23FEF"/>
    <w:rsid w:val="00D26B09"/>
    <w:rsid w:val="00D30095"/>
    <w:rsid w:val="00D3197A"/>
    <w:rsid w:val="00D32255"/>
    <w:rsid w:val="00D402D9"/>
    <w:rsid w:val="00D40B04"/>
    <w:rsid w:val="00D5145B"/>
    <w:rsid w:val="00D537C5"/>
    <w:rsid w:val="00D600FD"/>
    <w:rsid w:val="00D60853"/>
    <w:rsid w:val="00D64166"/>
    <w:rsid w:val="00D70E16"/>
    <w:rsid w:val="00D745F3"/>
    <w:rsid w:val="00D753DB"/>
    <w:rsid w:val="00D82476"/>
    <w:rsid w:val="00D96BD9"/>
    <w:rsid w:val="00DA08F9"/>
    <w:rsid w:val="00DA1AB3"/>
    <w:rsid w:val="00DA5743"/>
    <w:rsid w:val="00DB0DDA"/>
    <w:rsid w:val="00DB5079"/>
    <w:rsid w:val="00DB69D5"/>
    <w:rsid w:val="00DC537E"/>
    <w:rsid w:val="00DC7467"/>
    <w:rsid w:val="00DD7371"/>
    <w:rsid w:val="00DE0741"/>
    <w:rsid w:val="00DF059B"/>
    <w:rsid w:val="00DF1170"/>
    <w:rsid w:val="00DF4341"/>
    <w:rsid w:val="00DF706C"/>
    <w:rsid w:val="00E014FA"/>
    <w:rsid w:val="00E033C6"/>
    <w:rsid w:val="00E04177"/>
    <w:rsid w:val="00E05534"/>
    <w:rsid w:val="00E068D0"/>
    <w:rsid w:val="00E13117"/>
    <w:rsid w:val="00E1658E"/>
    <w:rsid w:val="00E377E8"/>
    <w:rsid w:val="00E4036F"/>
    <w:rsid w:val="00E417AA"/>
    <w:rsid w:val="00E506F9"/>
    <w:rsid w:val="00E52C2D"/>
    <w:rsid w:val="00E56EFB"/>
    <w:rsid w:val="00E60D9A"/>
    <w:rsid w:val="00E6169B"/>
    <w:rsid w:val="00E62BA9"/>
    <w:rsid w:val="00E65517"/>
    <w:rsid w:val="00E67767"/>
    <w:rsid w:val="00E73374"/>
    <w:rsid w:val="00E74886"/>
    <w:rsid w:val="00E748CD"/>
    <w:rsid w:val="00E74EDF"/>
    <w:rsid w:val="00E802E4"/>
    <w:rsid w:val="00E8724B"/>
    <w:rsid w:val="00E9049E"/>
    <w:rsid w:val="00E93278"/>
    <w:rsid w:val="00E9403D"/>
    <w:rsid w:val="00E963F5"/>
    <w:rsid w:val="00E977D9"/>
    <w:rsid w:val="00EA2476"/>
    <w:rsid w:val="00EA522F"/>
    <w:rsid w:val="00EB1426"/>
    <w:rsid w:val="00EB26B5"/>
    <w:rsid w:val="00EB4344"/>
    <w:rsid w:val="00EB6DAC"/>
    <w:rsid w:val="00EC40CC"/>
    <w:rsid w:val="00ED2055"/>
    <w:rsid w:val="00EE21D6"/>
    <w:rsid w:val="00EE2AF7"/>
    <w:rsid w:val="00EE6628"/>
    <w:rsid w:val="00EE7281"/>
    <w:rsid w:val="00EF3CE6"/>
    <w:rsid w:val="00EF4F30"/>
    <w:rsid w:val="00F026F5"/>
    <w:rsid w:val="00F02F0F"/>
    <w:rsid w:val="00F13386"/>
    <w:rsid w:val="00F14F1A"/>
    <w:rsid w:val="00F23B10"/>
    <w:rsid w:val="00F268A5"/>
    <w:rsid w:val="00F413C3"/>
    <w:rsid w:val="00F42BA9"/>
    <w:rsid w:val="00F43983"/>
    <w:rsid w:val="00F46EB9"/>
    <w:rsid w:val="00F47DD2"/>
    <w:rsid w:val="00F5180D"/>
    <w:rsid w:val="00F5383A"/>
    <w:rsid w:val="00F5448C"/>
    <w:rsid w:val="00F65876"/>
    <w:rsid w:val="00FA49D7"/>
    <w:rsid w:val="00FA6802"/>
    <w:rsid w:val="00FB3339"/>
    <w:rsid w:val="00FC1F47"/>
    <w:rsid w:val="00FC579D"/>
    <w:rsid w:val="00FD00B2"/>
    <w:rsid w:val="00FD27C5"/>
    <w:rsid w:val="00FD489D"/>
    <w:rsid w:val="00FF28F2"/>
    <w:rsid w:val="00FF3625"/>
    <w:rsid w:val="00FF7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18578"/>
  <w15:chartTrackingRefBased/>
  <w15:docId w15:val="{DD4ADC55-CD20-48BE-B0EF-8D4F8BAD7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141F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8B61C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5712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1F1"/>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F00A9"/>
    <w:rPr>
      <w:color w:val="0000FF"/>
      <w:u w:val="single"/>
    </w:rPr>
  </w:style>
  <w:style w:type="paragraph" w:styleId="NormalWeb">
    <w:name w:val="Normal (Web)"/>
    <w:basedOn w:val="Normal"/>
    <w:uiPriority w:val="99"/>
    <w:unhideWhenUsed/>
    <w:rsid w:val="0072315C"/>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unhideWhenUsed/>
    <w:rsid w:val="00C06B88"/>
    <w:pPr>
      <w:spacing w:after="0" w:line="240" w:lineRule="auto"/>
    </w:pPr>
    <w:rPr>
      <w:sz w:val="20"/>
      <w:szCs w:val="20"/>
    </w:rPr>
  </w:style>
  <w:style w:type="character" w:customStyle="1" w:styleId="FootnoteTextChar">
    <w:name w:val="Footnote Text Char"/>
    <w:basedOn w:val="DefaultParagraphFont"/>
    <w:link w:val="FootnoteText"/>
    <w:uiPriority w:val="99"/>
    <w:rsid w:val="00C06B88"/>
    <w:rPr>
      <w:sz w:val="20"/>
      <w:szCs w:val="20"/>
    </w:rPr>
  </w:style>
  <w:style w:type="character" w:styleId="FootnoteReference">
    <w:name w:val="footnote reference"/>
    <w:basedOn w:val="DefaultParagraphFont"/>
    <w:uiPriority w:val="99"/>
    <w:semiHidden/>
    <w:unhideWhenUsed/>
    <w:rsid w:val="00C06B88"/>
    <w:rPr>
      <w:vertAlign w:val="superscript"/>
    </w:rPr>
  </w:style>
  <w:style w:type="character" w:customStyle="1" w:styleId="Heading2Char">
    <w:name w:val="Heading 2 Char"/>
    <w:basedOn w:val="DefaultParagraphFont"/>
    <w:link w:val="Heading2"/>
    <w:uiPriority w:val="9"/>
    <w:rsid w:val="008B61C2"/>
    <w:rPr>
      <w:rFonts w:asciiTheme="majorHAnsi" w:eastAsiaTheme="majorEastAsia" w:hAnsiTheme="majorHAnsi" w:cstheme="majorBidi"/>
      <w:color w:val="2E74B5" w:themeColor="accent1" w:themeShade="BF"/>
      <w:sz w:val="26"/>
      <w:szCs w:val="26"/>
    </w:rPr>
  </w:style>
  <w:style w:type="character" w:customStyle="1" w:styleId="headnote">
    <w:name w:val="headnote"/>
    <w:basedOn w:val="DefaultParagraphFont"/>
    <w:rsid w:val="008B61C2"/>
  </w:style>
  <w:style w:type="paragraph" w:styleId="Header">
    <w:name w:val="header"/>
    <w:basedOn w:val="Normal"/>
    <w:link w:val="HeaderChar"/>
    <w:uiPriority w:val="99"/>
    <w:unhideWhenUsed/>
    <w:rsid w:val="009A4C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4CE8"/>
  </w:style>
  <w:style w:type="paragraph" w:styleId="Footer">
    <w:name w:val="footer"/>
    <w:basedOn w:val="Normal"/>
    <w:link w:val="FooterChar"/>
    <w:uiPriority w:val="99"/>
    <w:unhideWhenUsed/>
    <w:rsid w:val="009A4C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4CE8"/>
  </w:style>
  <w:style w:type="character" w:styleId="UnresolvedMention">
    <w:name w:val="Unresolved Mention"/>
    <w:basedOn w:val="DefaultParagraphFont"/>
    <w:uiPriority w:val="99"/>
    <w:semiHidden/>
    <w:unhideWhenUsed/>
    <w:rsid w:val="00DF1170"/>
    <w:rPr>
      <w:color w:val="605E5C"/>
      <w:shd w:val="clear" w:color="auto" w:fill="E1DFDD"/>
    </w:rPr>
  </w:style>
  <w:style w:type="character" w:styleId="FollowedHyperlink">
    <w:name w:val="FollowedHyperlink"/>
    <w:basedOn w:val="DefaultParagraphFont"/>
    <w:uiPriority w:val="99"/>
    <w:semiHidden/>
    <w:unhideWhenUsed/>
    <w:rsid w:val="00903C92"/>
    <w:rPr>
      <w:color w:val="954F72" w:themeColor="followedHyperlink"/>
      <w:u w:val="single"/>
    </w:rPr>
  </w:style>
  <w:style w:type="character" w:styleId="Emphasis">
    <w:name w:val="Emphasis"/>
    <w:basedOn w:val="DefaultParagraphFont"/>
    <w:uiPriority w:val="20"/>
    <w:qFormat/>
    <w:rsid w:val="007D4EB5"/>
    <w:rPr>
      <w:i/>
      <w:iCs/>
    </w:rPr>
  </w:style>
  <w:style w:type="character" w:customStyle="1" w:styleId="Date1">
    <w:name w:val="Date1"/>
    <w:basedOn w:val="DefaultParagraphFont"/>
    <w:rsid w:val="00CB5A54"/>
  </w:style>
  <w:style w:type="character" w:customStyle="1" w:styleId="Heading3Char">
    <w:name w:val="Heading 3 Char"/>
    <w:basedOn w:val="DefaultParagraphFont"/>
    <w:link w:val="Heading3"/>
    <w:uiPriority w:val="9"/>
    <w:semiHidden/>
    <w:rsid w:val="00957126"/>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AC49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5465639">
      <w:bodyDiv w:val="1"/>
      <w:marLeft w:val="0"/>
      <w:marRight w:val="0"/>
      <w:marTop w:val="0"/>
      <w:marBottom w:val="0"/>
      <w:divBdr>
        <w:top w:val="none" w:sz="0" w:space="0" w:color="auto"/>
        <w:left w:val="none" w:sz="0" w:space="0" w:color="auto"/>
        <w:bottom w:val="none" w:sz="0" w:space="0" w:color="auto"/>
        <w:right w:val="none" w:sz="0" w:space="0" w:color="auto"/>
      </w:divBdr>
    </w:div>
    <w:div w:id="988435296">
      <w:bodyDiv w:val="1"/>
      <w:marLeft w:val="0"/>
      <w:marRight w:val="0"/>
      <w:marTop w:val="0"/>
      <w:marBottom w:val="0"/>
      <w:divBdr>
        <w:top w:val="none" w:sz="0" w:space="0" w:color="auto"/>
        <w:left w:val="none" w:sz="0" w:space="0" w:color="auto"/>
        <w:bottom w:val="none" w:sz="0" w:space="0" w:color="auto"/>
        <w:right w:val="none" w:sz="0" w:space="0" w:color="auto"/>
      </w:divBdr>
    </w:div>
    <w:div w:id="1011298189">
      <w:bodyDiv w:val="1"/>
      <w:marLeft w:val="0"/>
      <w:marRight w:val="0"/>
      <w:marTop w:val="0"/>
      <w:marBottom w:val="0"/>
      <w:divBdr>
        <w:top w:val="none" w:sz="0" w:space="0" w:color="auto"/>
        <w:left w:val="none" w:sz="0" w:space="0" w:color="auto"/>
        <w:bottom w:val="none" w:sz="0" w:space="0" w:color="auto"/>
        <w:right w:val="none" w:sz="0" w:space="0" w:color="auto"/>
      </w:divBdr>
    </w:div>
    <w:div w:id="1107231560">
      <w:bodyDiv w:val="1"/>
      <w:marLeft w:val="0"/>
      <w:marRight w:val="0"/>
      <w:marTop w:val="0"/>
      <w:marBottom w:val="0"/>
      <w:divBdr>
        <w:top w:val="none" w:sz="0" w:space="0" w:color="auto"/>
        <w:left w:val="none" w:sz="0" w:space="0" w:color="auto"/>
        <w:bottom w:val="none" w:sz="0" w:space="0" w:color="auto"/>
        <w:right w:val="none" w:sz="0" w:space="0" w:color="auto"/>
      </w:divBdr>
    </w:div>
    <w:div w:id="1304654048">
      <w:bodyDiv w:val="1"/>
      <w:marLeft w:val="0"/>
      <w:marRight w:val="0"/>
      <w:marTop w:val="0"/>
      <w:marBottom w:val="0"/>
      <w:divBdr>
        <w:top w:val="none" w:sz="0" w:space="0" w:color="auto"/>
        <w:left w:val="none" w:sz="0" w:space="0" w:color="auto"/>
        <w:bottom w:val="none" w:sz="0" w:space="0" w:color="auto"/>
        <w:right w:val="none" w:sz="0" w:space="0" w:color="auto"/>
      </w:divBdr>
    </w:div>
    <w:div w:id="1623152816">
      <w:bodyDiv w:val="1"/>
      <w:marLeft w:val="0"/>
      <w:marRight w:val="0"/>
      <w:marTop w:val="0"/>
      <w:marBottom w:val="0"/>
      <w:divBdr>
        <w:top w:val="none" w:sz="0" w:space="0" w:color="auto"/>
        <w:left w:val="none" w:sz="0" w:space="0" w:color="auto"/>
        <w:bottom w:val="none" w:sz="0" w:space="0" w:color="auto"/>
        <w:right w:val="none" w:sz="0" w:space="0" w:color="auto"/>
      </w:divBdr>
      <w:divsChild>
        <w:div w:id="1554584429">
          <w:marLeft w:val="0"/>
          <w:marRight w:val="0"/>
          <w:marTop w:val="240"/>
          <w:marBottom w:val="0"/>
          <w:divBdr>
            <w:top w:val="none" w:sz="0" w:space="0" w:color="auto"/>
            <w:left w:val="none" w:sz="0" w:space="0" w:color="auto"/>
            <w:bottom w:val="none" w:sz="0" w:space="0" w:color="auto"/>
            <w:right w:val="none" w:sz="0" w:space="0" w:color="auto"/>
          </w:divBdr>
        </w:div>
        <w:div w:id="1155340309">
          <w:marLeft w:val="0"/>
          <w:marRight w:val="0"/>
          <w:marTop w:val="240"/>
          <w:marBottom w:val="0"/>
          <w:divBdr>
            <w:top w:val="none" w:sz="0" w:space="0" w:color="auto"/>
            <w:left w:val="none" w:sz="0" w:space="0" w:color="auto"/>
            <w:bottom w:val="none" w:sz="0" w:space="0" w:color="auto"/>
            <w:right w:val="none" w:sz="0" w:space="0" w:color="auto"/>
          </w:divBdr>
        </w:div>
      </w:divsChild>
    </w:div>
    <w:div w:id="1639188668">
      <w:bodyDiv w:val="1"/>
      <w:marLeft w:val="0"/>
      <w:marRight w:val="0"/>
      <w:marTop w:val="0"/>
      <w:marBottom w:val="0"/>
      <w:divBdr>
        <w:top w:val="none" w:sz="0" w:space="0" w:color="auto"/>
        <w:left w:val="none" w:sz="0" w:space="0" w:color="auto"/>
        <w:bottom w:val="none" w:sz="0" w:space="0" w:color="auto"/>
        <w:right w:val="none" w:sz="0" w:space="0" w:color="auto"/>
      </w:divBdr>
    </w:div>
    <w:div w:id="1651136724">
      <w:bodyDiv w:val="1"/>
      <w:marLeft w:val="0"/>
      <w:marRight w:val="0"/>
      <w:marTop w:val="0"/>
      <w:marBottom w:val="0"/>
      <w:divBdr>
        <w:top w:val="none" w:sz="0" w:space="0" w:color="auto"/>
        <w:left w:val="none" w:sz="0" w:space="0" w:color="auto"/>
        <w:bottom w:val="none" w:sz="0" w:space="0" w:color="auto"/>
        <w:right w:val="none" w:sz="0" w:space="0" w:color="auto"/>
      </w:divBdr>
    </w:div>
    <w:div w:id="1678847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revisor.mn.gov/statutes/cite/504B.001" TargetMode="External"/><Relationship Id="rId18" Type="http://schemas.openxmlformats.org/officeDocument/2006/relationships/hyperlink" Target="https://www.revisor.mn.gov/statutes/1973/cite/566/pdf" TargetMode="External"/><Relationship Id="rId26" Type="http://schemas.openxmlformats.org/officeDocument/2006/relationships/hyperlink" Target="https://www.revisor.mn.gov/laws/1999/0/199/" TargetMode="External"/><Relationship Id="rId39" Type="http://schemas.openxmlformats.org/officeDocument/2006/relationships/hyperlink" Target="https://minnlawyer.com/wp-content/blogs.dir/1/files/2023/02/ORA211062-021723.pdf" TargetMode="External"/><Relationship Id="rId3" Type="http://schemas.openxmlformats.org/officeDocument/2006/relationships/styles" Target="styles.xml"/><Relationship Id="rId21" Type="http://schemas.openxmlformats.org/officeDocument/2006/relationships/hyperlink" Target="https://www.revisor.mn.gov/statutes/cite/504B.161" TargetMode="External"/><Relationship Id="rId34" Type="http://schemas.openxmlformats.org/officeDocument/2006/relationships/hyperlink" Target="https://minnlawyer.com/wp-content/blogs.dir/1/files/2023/02/ORA211062-021723.pdf" TargetMode="External"/><Relationship Id="rId42" Type="http://schemas.openxmlformats.org/officeDocument/2006/relationships/hyperlink" Target="https://minnlawyer.com/wp-content/blogs.dir/1/files/2023/02/ORA211062-021723.pdf" TargetMode="External"/><Relationship Id="rId47" Type="http://schemas.openxmlformats.org/officeDocument/2006/relationships/hyperlink" Target="https://scholar.google.com/scholar_case?case=1495131239160645232&amp;hl=en&amp;as_sdt=6,24" TargetMode="Externa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revisor.mn.gov/statutes/cite/504B.375" TargetMode="External"/><Relationship Id="rId17" Type="http://schemas.openxmlformats.org/officeDocument/2006/relationships/hyperlink" Target="https://www.revisor.mn.gov/statutes/1975/cite/566/pdf" TargetMode="External"/><Relationship Id="rId25" Type="http://schemas.openxmlformats.org/officeDocument/2006/relationships/hyperlink" Target="https://www.revisor.mn.gov/statutes/cite/504B.001" TargetMode="External"/><Relationship Id="rId33" Type="http://schemas.openxmlformats.org/officeDocument/2006/relationships/hyperlink" Target="https://minnlawyer.com/wp-content/blogs.dir/1/files/2023/02/ORA211062-021723.pdf" TargetMode="External"/><Relationship Id="rId38" Type="http://schemas.openxmlformats.org/officeDocument/2006/relationships/hyperlink" Target="https://minnlawyer.com/wp-content/blogs.dir/1/files/2023/02/ORA211062-021723.pdf" TargetMode="External"/><Relationship Id="rId46" Type="http://schemas.openxmlformats.org/officeDocument/2006/relationships/hyperlink" Target="https://mn.gov/governor/assets/EO%2020-73%20Final_tcm1055-437558.pdf" TargetMode="External"/><Relationship Id="rId2" Type="http://schemas.openxmlformats.org/officeDocument/2006/relationships/numbering" Target="numbering.xml"/><Relationship Id="rId16" Type="http://schemas.openxmlformats.org/officeDocument/2006/relationships/hyperlink" Target="https://www.revisor.mn.gov/laws/1975/0/Session+Law/Chapter/410/pdf/" TargetMode="External"/><Relationship Id="rId20" Type="http://schemas.openxmlformats.org/officeDocument/2006/relationships/hyperlink" Target="https://www.revisor.mn.gov/laws/1973/0/Session+Law/Chapter/611/pdf/" TargetMode="External"/><Relationship Id="rId29" Type="http://schemas.openxmlformats.org/officeDocument/2006/relationships/hyperlink" Target="https://scholar.google.com/scholar_case?case=18364132881866304907&amp;q=quinn+kera&amp;hl=en&amp;as_sdt=4,24" TargetMode="External"/><Relationship Id="rId41" Type="http://schemas.openxmlformats.org/officeDocument/2006/relationships/hyperlink" Target="C://Users/User/Downloads/Motion%20-%20Amicus%20-%20Leave%20to%20File%20Motion%20(2).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visor.mn.gov/statutes/cite/504B.375" TargetMode="External"/><Relationship Id="rId24" Type="http://schemas.openxmlformats.org/officeDocument/2006/relationships/hyperlink" Target="https://www.revisor.mn.gov/laws/1973/0/Session+Law/Chapter/611/pdf/" TargetMode="External"/><Relationship Id="rId32" Type="http://schemas.openxmlformats.org/officeDocument/2006/relationships/hyperlink" Target="https://minnlawyer.com/wp-content/blogs.dir/1/files/2023/02/ORA211062-021723.pdf" TargetMode="External"/><Relationship Id="rId37" Type="http://schemas.openxmlformats.org/officeDocument/2006/relationships/hyperlink" Target="https://minnlawyer.com/wp-content/blogs.dir/1/files/2023/02/ORA211062-021723.pdf" TargetMode="External"/><Relationship Id="rId40" Type="http://schemas.openxmlformats.org/officeDocument/2006/relationships/hyperlink" Target="https://mn.gov/law-library-stat/briefs/pdfs/a211062scac2.pdf" TargetMode="External"/><Relationship Id="rId45" Type="http://schemas.openxmlformats.org/officeDocument/2006/relationships/hyperlink" Target="https://scholar.google.com/scholar_case?case=17047075130046818808&amp;hl=en&amp;as_sdt=6,24" TargetMode="External"/><Relationship Id="rId5" Type="http://schemas.openxmlformats.org/officeDocument/2006/relationships/webSettings" Target="webSettings.xml"/><Relationship Id="rId15" Type="http://schemas.openxmlformats.org/officeDocument/2006/relationships/hyperlink" Target="https://www.revisor.mn.gov/statutes/1975/cite/566/pdf" TargetMode="External"/><Relationship Id="rId23" Type="http://schemas.openxmlformats.org/officeDocument/2006/relationships/hyperlink" Target="https://birnberglegalwebsite.files.wordpress.com/2023/03/1971-tra-newspaper-story-3-dorsey.pdf" TargetMode="External"/><Relationship Id="rId28" Type="http://schemas.openxmlformats.org/officeDocument/2006/relationships/hyperlink" Target="https://www.revisor.mn.gov/statutes/cite/504B.465" TargetMode="External"/><Relationship Id="rId36" Type="http://schemas.openxmlformats.org/officeDocument/2006/relationships/hyperlink" Target="https://minnlawyer.com/wp-content/blogs.dir/1/files/2023/02/ORA211062-021723.pdf" TargetMode="External"/><Relationship Id="rId49" Type="http://schemas.openxmlformats.org/officeDocument/2006/relationships/fontTable" Target="fontTable.xml"/><Relationship Id="rId10" Type="http://schemas.openxmlformats.org/officeDocument/2006/relationships/hyperlink" Target="https://www.revisor.mn.gov/statutes/cite/504B.001" TargetMode="External"/><Relationship Id="rId19" Type="http://schemas.openxmlformats.org/officeDocument/2006/relationships/hyperlink" Target="https://www.revisor.mn.gov/statutes/1973/cite/504/pdf" TargetMode="External"/><Relationship Id="rId31" Type="http://schemas.openxmlformats.org/officeDocument/2006/relationships/hyperlink" Target="https://scholar.google.com/scholar_case?case=18364132881866304907&amp;hl=en&amp;as_sdt=6,24" TargetMode="External"/><Relationship Id="rId44" Type="http://schemas.openxmlformats.org/officeDocument/2006/relationships/hyperlink" Target="https://www.revisor.mn.gov/statutes/cite/549.04" TargetMode="External"/><Relationship Id="rId4" Type="http://schemas.openxmlformats.org/officeDocument/2006/relationships/settings" Target="settings.xml"/><Relationship Id="rId9" Type="http://schemas.openxmlformats.org/officeDocument/2006/relationships/hyperlink" Target="https://scholar.google.com/scholar_case?case=10170741479993864574&amp;hl=en&amp;as_sdt=6,24" TargetMode="External"/><Relationship Id="rId14" Type="http://schemas.openxmlformats.org/officeDocument/2006/relationships/hyperlink" Target="https://casetext.com/case/asseltyne-v-fay-hotel" TargetMode="External"/><Relationship Id="rId22" Type="http://schemas.openxmlformats.org/officeDocument/2006/relationships/hyperlink" Target="https://www.revisor.mn.gov/statutes/cite/504B.285" TargetMode="External"/><Relationship Id="rId27" Type="http://schemas.openxmlformats.org/officeDocument/2006/relationships/hyperlink" Target="https://www.revisor.mn.gov/laws/1973/0/Session+Law/Chapter/611/pdf/" TargetMode="External"/><Relationship Id="rId30" Type="http://schemas.openxmlformats.org/officeDocument/2006/relationships/hyperlink" Target="https://scholar.google.com/scholar_case?case=9861666074560861921&amp;hl=en&amp;as_sdt=6,24" TargetMode="External"/><Relationship Id="rId35" Type="http://schemas.openxmlformats.org/officeDocument/2006/relationships/hyperlink" Target="https://minnlawyer.com/wp-content/blogs.dir/1/files/2023/02/ORA211062-021723.pdf" TargetMode="External"/><Relationship Id="rId43" Type="http://schemas.openxmlformats.org/officeDocument/2006/relationships/hyperlink" Target="https://www.revisor.mn.gov/statutes/cite/549.02" TargetMode="External"/><Relationship Id="rId48" Type="http://schemas.openxmlformats.org/officeDocument/2006/relationships/header" Target="header1.xml"/><Relationship Id="rId8" Type="http://schemas.openxmlformats.org/officeDocument/2006/relationships/hyperlink" Target="https://mn.gov/law-library-stat/archive/ctappub/2022/OPa211062-040422.pdf"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revisor.mn.gov/laws/?doctype=Chapter&amp;year=1982&amp;type=0&amp;id=526" TargetMode="External"/><Relationship Id="rId13" Type="http://schemas.openxmlformats.org/officeDocument/2006/relationships/hyperlink" Target="https://www.revisor.mn.gov/laws/1973/0/Session+Law/Chapter/611/pdf/" TargetMode="External"/><Relationship Id="rId18" Type="http://schemas.openxmlformats.org/officeDocument/2006/relationships/hyperlink" Target="http://heimatundrecht.de/sites/default/files/dokumente/Black%27sLaw4th.pdf" TargetMode="External"/><Relationship Id="rId26" Type="http://schemas.openxmlformats.org/officeDocument/2006/relationships/hyperlink" Target="https://mn.gov/law-library/search/?v%3Asources=mn-law-library-briefs&amp;query=A21-1062+&amp;citation=&amp;qt=A21-1062&amp;v=&amp;p=" TargetMode="External"/><Relationship Id="rId3" Type="http://schemas.openxmlformats.org/officeDocument/2006/relationships/hyperlink" Target="https://scholar.google.com/scholar_case?case=15965099181667257659&amp;q=winona+sands&amp;hl=en&amp;as_sdt=4,24" TargetMode="External"/><Relationship Id="rId21" Type="http://schemas.openxmlformats.org/officeDocument/2006/relationships/hyperlink" Target="https://birnberglegalwebsite.files.wordpress.com/2022/05/2008-final-report-of-renters-working-group.pdf" TargetMode="External"/><Relationship Id="rId7" Type="http://schemas.openxmlformats.org/officeDocument/2006/relationships/hyperlink" Target="https://scholar.google.com/scholar_case?case=7995007659523373036&amp;hl=en&amp;as_sdt=6,24" TargetMode="External"/><Relationship Id="rId12" Type="http://schemas.openxmlformats.org/officeDocument/2006/relationships/hyperlink" Target="https://birnberglegalwebsite.files.wordpress.com/2023/03/1971-hf-1163-sf-579-legislative-history-endnotes-1.pdf" TargetMode="External"/><Relationship Id="rId17" Type="http://schemas.openxmlformats.org/officeDocument/2006/relationships/hyperlink" Target="https://casetext.com/case/seabloom-v-krier" TargetMode="External"/><Relationship Id="rId25" Type="http://schemas.openxmlformats.org/officeDocument/2006/relationships/hyperlink" Target="https://macsnc.courts.state.mn.us/ctrack/publicLogin.jsp" TargetMode="External"/><Relationship Id="rId2" Type="http://schemas.openxmlformats.org/officeDocument/2006/relationships/hyperlink" Target="https://mn.gov/law-library-stat/archive/ctappub/2022/OPa211062-040422.pdf" TargetMode="External"/><Relationship Id="rId16" Type="http://schemas.openxmlformats.org/officeDocument/2006/relationships/hyperlink" Target="https://birnberglegalwebsite.files.wordpress.com/2023/03/legislative-history-1971-minn.-laws-ch-219.pdf" TargetMode="External"/><Relationship Id="rId20" Type="http://schemas.openxmlformats.org/officeDocument/2006/relationships/hyperlink" Target="https://www.revisor.mn.gov/laws/?id=177&amp;year=2008&amp;type=0" TargetMode="External"/><Relationship Id="rId29" Type="http://schemas.openxmlformats.org/officeDocument/2006/relationships/hyperlink" Target="https://www.census.gov/quickfacts/MN" TargetMode="External"/><Relationship Id="rId1" Type="http://schemas.openxmlformats.org/officeDocument/2006/relationships/hyperlink" Target="https://mn.gov/law-library-stat/archive/ctappub/2022/OPa211062-040422.pdf" TargetMode="External"/><Relationship Id="rId6" Type="http://schemas.openxmlformats.org/officeDocument/2006/relationships/hyperlink" Target="https://birnberglegalwebsite.files.wordpress.com/2023/02/legislative-history-of-1975-minn-laws-ch.-410-c.pdf" TargetMode="External"/><Relationship Id="rId11" Type="http://schemas.openxmlformats.org/officeDocument/2006/relationships/hyperlink" Target="https://birnberglegalwebsite.files.wordpress.com/2023/03/1971-tra-newspaper-story-1-dorsey.pdf" TargetMode="External"/><Relationship Id="rId24" Type="http://schemas.openxmlformats.org/officeDocument/2006/relationships/hyperlink" Target="https://www.govinfo.gov/content/pkg/STATUTE-102/pdf/STATUTE-102-Pg1619.pdf" TargetMode="External"/><Relationship Id="rId5" Type="http://schemas.openxmlformats.org/officeDocument/2006/relationships/hyperlink" Target="https://birnberglegalwebsite.files.wordpress.com/2022/05/quinn-v-lmc-exhibits-4-5-smiths-lease-n2q.pdf" TargetMode="External"/><Relationship Id="rId15" Type="http://schemas.openxmlformats.org/officeDocument/2006/relationships/hyperlink" Target="https://birnberglegalwebsite.files.wordpress.com/2023/03/1971-hf-1163-sf-579-legislative-history-endnotes-1.pdf" TargetMode="External"/><Relationship Id="rId23" Type="http://schemas.openxmlformats.org/officeDocument/2006/relationships/hyperlink" Target="https://www.revisor.mn.gov/laws/?doctype=Chapter&amp;year=1980&amp;type=0&amp;id=531" TargetMode="External"/><Relationship Id="rId28" Type="http://schemas.openxmlformats.org/officeDocument/2006/relationships/hyperlink" Target="https://www.mncourts.gov/SupremeCourt/OralArgumentWebcasts/ArgumentDetail.aspx?vid=1582" TargetMode="External"/><Relationship Id="rId10" Type="http://schemas.openxmlformats.org/officeDocument/2006/relationships/hyperlink" Target="https://birnberglegalwebsite.files.wordpress.com/2023/03/1971-hf-1163-sf-579-legislative-history-endnotes-1.pdf" TargetMode="External"/><Relationship Id="rId19" Type="http://schemas.openxmlformats.org/officeDocument/2006/relationships/hyperlink" Target="https://scholar.google.com/scholar_case?case=11969779947212385383&amp;q=lee+regents&amp;hl=en&amp;as_sdt=4,24" TargetMode="External"/><Relationship Id="rId31" Type="http://schemas.openxmlformats.org/officeDocument/2006/relationships/hyperlink" Target="C://Users/User/Downloads/MCRO_27-CV-HC-21-227_Affidavit-Other_2021-04-19_20230327130828.pdf" TargetMode="External"/><Relationship Id="rId4" Type="http://schemas.openxmlformats.org/officeDocument/2006/relationships/hyperlink" Target="https://casetext.com/case/seabloom-v-krier" TargetMode="External"/><Relationship Id="rId9" Type="http://schemas.openxmlformats.org/officeDocument/2006/relationships/hyperlink" Target="https://www.revisor.mn.gov/laws/?doctype=Chapter&amp;year=1993&amp;type=0&amp;id=317" TargetMode="External"/><Relationship Id="rId14" Type="http://schemas.openxmlformats.org/officeDocument/2006/relationships/hyperlink" Target="https://birnberglegalwebsite.files.wordpress.com/2023/03/1971-hf-1163-sf-579-legislative-history-endnotes-1.pdf" TargetMode="External"/><Relationship Id="rId22" Type="http://schemas.openxmlformats.org/officeDocument/2006/relationships/hyperlink" Target="https://www.nhlp.org/wp-content/uploads/2019.02-PTFA-as-of-2018.pdf" TargetMode="External"/><Relationship Id="rId27" Type="http://schemas.openxmlformats.org/officeDocument/2006/relationships/hyperlink" Target="https://pa.courts.state.mn.us/default.aspx" TargetMode="External"/><Relationship Id="rId30" Type="http://schemas.openxmlformats.org/officeDocument/2006/relationships/hyperlink" Target="https://mn.gov/law-library-stat/archive/supct/2023/OPA210626-02082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1C3A9-98DD-4223-8840-9F857CCFEA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2225</TotalTime>
  <Pages>20</Pages>
  <Words>5772</Words>
  <Characters>32907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Hauge</dc:creator>
  <cp:keywords/>
  <dc:description/>
  <cp:lastModifiedBy>User</cp:lastModifiedBy>
  <cp:revision>160</cp:revision>
  <dcterms:created xsi:type="dcterms:W3CDTF">2023-03-20T14:09:00Z</dcterms:created>
  <dcterms:modified xsi:type="dcterms:W3CDTF">2023-04-28T15:55:00Z</dcterms:modified>
</cp:coreProperties>
</file>