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5D3A4" w14:textId="32DCDED5" w:rsidR="009856D3" w:rsidRPr="00DD5C6B" w:rsidRDefault="00DD5C6B" w:rsidP="00DD5C6B">
      <w:pPr>
        <w:widowControl w:val="0"/>
        <w:jc w:val="both"/>
        <w:rPr>
          <w:b/>
          <w:bCs/>
          <w:sz w:val="28"/>
          <w:szCs w:val="28"/>
        </w:rPr>
      </w:pPr>
      <w:r>
        <w:rPr>
          <w:b/>
          <w:bCs/>
          <w:sz w:val="28"/>
          <w:szCs w:val="28"/>
        </w:rPr>
        <w:t>I.</w:t>
      </w:r>
      <w:r w:rsidRPr="00DD5C6B">
        <w:rPr>
          <w:b/>
          <w:bCs/>
          <w:sz w:val="28"/>
          <w:szCs w:val="28"/>
        </w:rPr>
        <w:t xml:space="preserve"> </w:t>
      </w:r>
      <w:r w:rsidR="009856D3" w:rsidRPr="00DD5C6B">
        <w:rPr>
          <w:b/>
          <w:bCs/>
          <w:sz w:val="28"/>
          <w:szCs w:val="28"/>
        </w:rPr>
        <w:fldChar w:fldCharType="begin"/>
      </w:r>
      <w:r w:rsidR="009856D3" w:rsidRPr="00DD5C6B">
        <w:rPr>
          <w:b/>
          <w:bCs/>
          <w:sz w:val="28"/>
          <w:szCs w:val="28"/>
        </w:rPr>
        <w:instrText xml:space="preserve"> SEQ CHAPTER \h \r 1</w:instrText>
      </w:r>
      <w:r w:rsidR="009856D3" w:rsidRPr="00DD5C6B">
        <w:rPr>
          <w:b/>
          <w:bCs/>
          <w:sz w:val="28"/>
          <w:szCs w:val="28"/>
        </w:rPr>
        <w:fldChar w:fldCharType="end"/>
      </w:r>
      <w:r w:rsidRPr="00DD5C6B">
        <w:rPr>
          <w:b/>
          <w:bCs/>
          <w:sz w:val="28"/>
          <w:szCs w:val="28"/>
        </w:rPr>
        <w:t>I</w:t>
      </w:r>
      <w:r w:rsidR="009856D3" w:rsidRPr="00DD5C6B">
        <w:rPr>
          <w:b/>
          <w:bCs/>
          <w:sz w:val="28"/>
          <w:szCs w:val="28"/>
        </w:rPr>
        <w:t>NTRODUCTION</w:t>
      </w:r>
      <w:r w:rsidR="002C5C23">
        <w:rPr>
          <w:b/>
          <w:bCs/>
          <w:sz w:val="28"/>
          <w:szCs w:val="28"/>
        </w:rPr>
        <w:t>.</w:t>
      </w:r>
    </w:p>
    <w:p w14:paraId="292D5571" w14:textId="77777777" w:rsidR="009856D3" w:rsidRPr="00D20A6B" w:rsidRDefault="009856D3" w:rsidP="009856D3">
      <w:pPr>
        <w:widowControl w:val="0"/>
        <w:jc w:val="both"/>
        <w:rPr>
          <w:b/>
          <w:sz w:val="28"/>
          <w:szCs w:val="28"/>
        </w:rPr>
      </w:pPr>
    </w:p>
    <w:p w14:paraId="1537E1F7" w14:textId="6E3BDAE0" w:rsidR="009856D3" w:rsidRPr="003709CA" w:rsidRDefault="00000000" w:rsidP="009856D3">
      <w:pPr>
        <w:shd w:val="clear" w:color="auto" w:fill="FFFFFF"/>
        <w:rPr>
          <w:b/>
          <w:sz w:val="28"/>
          <w:szCs w:val="28"/>
        </w:rPr>
      </w:pPr>
      <w:hyperlink r:id="rId8" w:history="1">
        <w:r w:rsidR="009856D3" w:rsidRPr="00BA699E">
          <w:rPr>
            <w:rStyle w:val="Hyperlink"/>
            <w:i/>
            <w:iCs/>
            <w:color w:val="0070C0"/>
            <w:sz w:val="28"/>
            <w:szCs w:val="28"/>
          </w:rPr>
          <w:t>Housing and Redevelopment Authority of St. Cloud v. Royston</w:t>
        </w:r>
        <w:r w:rsidR="009856D3" w:rsidRPr="00BA699E">
          <w:rPr>
            <w:rStyle w:val="Hyperlink"/>
            <w:color w:val="0070C0"/>
            <w:sz w:val="28"/>
            <w:szCs w:val="28"/>
          </w:rPr>
          <w:t>, 990 N.W.2d 730 (Minn. App. May 1, 2023)</w:t>
        </w:r>
        <w:r w:rsidR="009856D3" w:rsidRPr="003709CA">
          <w:rPr>
            <w:rStyle w:val="Hyperlink"/>
            <w:color w:val="auto"/>
            <w:sz w:val="28"/>
            <w:szCs w:val="28"/>
          </w:rPr>
          <w:t>,</w:t>
        </w:r>
      </w:hyperlink>
      <w:r w:rsidR="009856D3" w:rsidRPr="003709CA">
        <w:rPr>
          <w:sz w:val="28"/>
          <w:szCs w:val="28"/>
        </w:rPr>
        <w:t xml:space="preserve"> </w:t>
      </w:r>
      <w:r w:rsidR="009856D3" w:rsidRPr="003709CA">
        <w:rPr>
          <w:i/>
          <w:iCs/>
          <w:sz w:val="28"/>
          <w:szCs w:val="28"/>
        </w:rPr>
        <w:t>rev. denied</w:t>
      </w:r>
      <w:r w:rsidR="009856D3" w:rsidRPr="003709CA">
        <w:rPr>
          <w:sz w:val="28"/>
          <w:szCs w:val="28"/>
        </w:rPr>
        <w:t xml:space="preserve"> </w:t>
      </w:r>
      <w:r w:rsidR="0077502F" w:rsidRPr="003709CA">
        <w:rPr>
          <w:sz w:val="28"/>
          <w:szCs w:val="28"/>
        </w:rPr>
        <w:t>(</w:t>
      </w:r>
      <w:r w:rsidR="009856D3" w:rsidRPr="003709CA">
        <w:rPr>
          <w:sz w:val="28"/>
          <w:szCs w:val="28"/>
        </w:rPr>
        <w:t xml:space="preserve">August </w:t>
      </w:r>
      <w:r w:rsidR="0048756E" w:rsidRPr="003709CA">
        <w:rPr>
          <w:sz w:val="28"/>
          <w:szCs w:val="28"/>
        </w:rPr>
        <w:t>22</w:t>
      </w:r>
      <w:r w:rsidR="009856D3" w:rsidRPr="003709CA">
        <w:rPr>
          <w:sz w:val="28"/>
          <w:szCs w:val="28"/>
        </w:rPr>
        <w:t>, 2023</w:t>
      </w:r>
      <w:r w:rsidR="0077502F" w:rsidRPr="003709CA">
        <w:rPr>
          <w:sz w:val="28"/>
          <w:szCs w:val="28"/>
        </w:rPr>
        <w:t>)</w:t>
      </w:r>
      <w:r w:rsidR="009856D3" w:rsidRPr="003709CA">
        <w:rPr>
          <w:sz w:val="28"/>
          <w:szCs w:val="28"/>
        </w:rPr>
        <w:t xml:space="preserve"> dealt with</w:t>
      </w:r>
      <w:r w:rsidR="00D20A6B" w:rsidRPr="003709CA">
        <w:rPr>
          <w:sz w:val="28"/>
          <w:szCs w:val="28"/>
        </w:rPr>
        <w:t xml:space="preserve"> the</w:t>
      </w:r>
      <w:r w:rsidR="009856D3" w:rsidRPr="003709CA">
        <w:rPr>
          <w:sz w:val="28"/>
          <w:szCs w:val="28"/>
        </w:rPr>
        <w:t xml:space="preserve"> detailed requirements for serving a summons in an eviction action on a residential tenant by “posting”</w:t>
      </w:r>
      <w:r w:rsidR="000F7D52" w:rsidRPr="003709CA">
        <w:rPr>
          <w:sz w:val="28"/>
          <w:szCs w:val="28"/>
        </w:rPr>
        <w:t xml:space="preserve"> under Minn. Stat. § 504B.331.</w:t>
      </w:r>
    </w:p>
    <w:p w14:paraId="1DF50D74" w14:textId="77777777" w:rsidR="009856D3" w:rsidRPr="00D20A6B" w:rsidRDefault="009856D3" w:rsidP="009856D3">
      <w:pPr>
        <w:widowControl w:val="0"/>
        <w:jc w:val="both"/>
        <w:rPr>
          <w:sz w:val="28"/>
          <w:szCs w:val="28"/>
        </w:rPr>
      </w:pPr>
    </w:p>
    <w:p w14:paraId="5D11D608" w14:textId="1E6A5047" w:rsidR="009856D3" w:rsidRPr="00D20A6B" w:rsidRDefault="009856D3" w:rsidP="009856D3">
      <w:pPr>
        <w:widowControl w:val="0"/>
        <w:jc w:val="both"/>
        <w:rPr>
          <w:sz w:val="28"/>
          <w:szCs w:val="28"/>
        </w:rPr>
      </w:pPr>
      <w:r w:rsidRPr="00D20A6B">
        <w:rPr>
          <w:sz w:val="28"/>
          <w:szCs w:val="28"/>
        </w:rPr>
        <w:t>A Minnesota eviction action starts with the plaintiff (usually a landlord) filing a complaint with the court administrator, who then prepares a summons. The plaintiff’s process server must then serve a copy of the summo</w:t>
      </w:r>
      <w:r w:rsidR="000F7D52">
        <w:rPr>
          <w:sz w:val="28"/>
          <w:szCs w:val="28"/>
        </w:rPr>
        <w:t xml:space="preserve">ns </w:t>
      </w:r>
      <w:r w:rsidRPr="00D20A6B">
        <w:rPr>
          <w:sz w:val="28"/>
          <w:szCs w:val="28"/>
        </w:rPr>
        <w:t xml:space="preserve">on the defendant (usually a tenant) at least seven days before the initial hearing. </w:t>
      </w:r>
    </w:p>
    <w:p w14:paraId="104CE845" w14:textId="77777777" w:rsidR="009856D3" w:rsidRPr="00D20A6B" w:rsidRDefault="009856D3" w:rsidP="009856D3">
      <w:pPr>
        <w:widowControl w:val="0"/>
        <w:jc w:val="both"/>
        <w:rPr>
          <w:sz w:val="28"/>
          <w:szCs w:val="28"/>
        </w:rPr>
      </w:pPr>
    </w:p>
    <w:p w14:paraId="7177601A" w14:textId="4C7275B1" w:rsidR="009856D3" w:rsidRPr="00D20A6B" w:rsidRDefault="009856D3" w:rsidP="009856D3">
      <w:pPr>
        <w:widowControl w:val="0"/>
        <w:jc w:val="both"/>
        <w:rPr>
          <w:sz w:val="28"/>
          <w:szCs w:val="28"/>
        </w:rPr>
      </w:pPr>
      <w:r w:rsidRPr="00D20A6B">
        <w:rPr>
          <w:sz w:val="28"/>
          <w:szCs w:val="28"/>
        </w:rPr>
        <w:t xml:space="preserve">There </w:t>
      </w:r>
      <w:r w:rsidR="00D20A6B">
        <w:rPr>
          <w:sz w:val="28"/>
          <w:szCs w:val="28"/>
        </w:rPr>
        <w:t>were</w:t>
      </w:r>
      <w:r w:rsidRPr="00D20A6B">
        <w:rPr>
          <w:sz w:val="28"/>
          <w:szCs w:val="28"/>
        </w:rPr>
        <w:t xml:space="preserve"> three ways to do this:</w:t>
      </w:r>
    </w:p>
    <w:p w14:paraId="0BAEB8C3" w14:textId="77777777" w:rsidR="009856D3" w:rsidRPr="00D20A6B" w:rsidRDefault="009856D3" w:rsidP="009856D3">
      <w:pPr>
        <w:widowControl w:val="0"/>
        <w:jc w:val="both"/>
        <w:rPr>
          <w:sz w:val="28"/>
          <w:szCs w:val="28"/>
        </w:rPr>
      </w:pPr>
    </w:p>
    <w:p w14:paraId="48F2D94C" w14:textId="51BD339F" w:rsidR="009856D3" w:rsidRPr="00D20A6B" w:rsidRDefault="009856D3" w:rsidP="009856D3">
      <w:pPr>
        <w:widowControl w:val="0"/>
        <w:ind w:left="720"/>
        <w:jc w:val="both"/>
        <w:rPr>
          <w:sz w:val="28"/>
          <w:szCs w:val="28"/>
        </w:rPr>
      </w:pPr>
      <w:r w:rsidRPr="00D20A6B">
        <w:rPr>
          <w:sz w:val="28"/>
          <w:szCs w:val="28"/>
        </w:rPr>
        <w:t>[1] The process server hands a copy of the summons to the defendant. Lawyers call this “personal service”.</w:t>
      </w:r>
    </w:p>
    <w:p w14:paraId="278704E3" w14:textId="77777777" w:rsidR="009856D3" w:rsidRPr="00D20A6B" w:rsidRDefault="009856D3" w:rsidP="009856D3">
      <w:pPr>
        <w:widowControl w:val="0"/>
        <w:ind w:left="720"/>
        <w:jc w:val="both"/>
        <w:rPr>
          <w:sz w:val="28"/>
          <w:szCs w:val="28"/>
        </w:rPr>
      </w:pPr>
    </w:p>
    <w:p w14:paraId="01D34EDC" w14:textId="60DA3573" w:rsidR="009856D3" w:rsidRPr="00D20A6B" w:rsidRDefault="009856D3" w:rsidP="009856D3">
      <w:pPr>
        <w:widowControl w:val="0"/>
        <w:ind w:left="720"/>
        <w:jc w:val="both"/>
        <w:rPr>
          <w:sz w:val="28"/>
          <w:szCs w:val="28"/>
        </w:rPr>
      </w:pPr>
      <w:r w:rsidRPr="00D20A6B">
        <w:rPr>
          <w:sz w:val="28"/>
          <w:szCs w:val="28"/>
        </w:rPr>
        <w:t>[2] The process server goes to the defendant's last usual place of abode and leaves a copy of the summons with a person of suitable age and discretion residing there. Lawyers call this “substitute service”.</w:t>
      </w:r>
    </w:p>
    <w:p w14:paraId="228511F5" w14:textId="77777777" w:rsidR="009856D3" w:rsidRPr="00D20A6B" w:rsidRDefault="009856D3" w:rsidP="009856D3">
      <w:pPr>
        <w:widowControl w:val="0"/>
        <w:ind w:left="720"/>
        <w:jc w:val="both"/>
        <w:rPr>
          <w:sz w:val="28"/>
          <w:szCs w:val="28"/>
        </w:rPr>
      </w:pPr>
    </w:p>
    <w:p w14:paraId="2FC3E9D2" w14:textId="390702B8" w:rsidR="00D20A6B" w:rsidRDefault="009856D3" w:rsidP="00D20A6B">
      <w:pPr>
        <w:widowControl w:val="0"/>
        <w:ind w:left="720"/>
        <w:jc w:val="both"/>
        <w:rPr>
          <w:sz w:val="28"/>
          <w:szCs w:val="28"/>
        </w:rPr>
      </w:pPr>
      <w:r w:rsidRPr="00D20A6B">
        <w:rPr>
          <w:sz w:val="28"/>
          <w:szCs w:val="28"/>
        </w:rPr>
        <w:t xml:space="preserve">[3] By “posting”. </w:t>
      </w:r>
      <w:r w:rsidR="00D20A6B">
        <w:rPr>
          <w:sz w:val="28"/>
          <w:szCs w:val="28"/>
        </w:rPr>
        <w:t>T</w:t>
      </w:r>
      <w:r w:rsidRPr="00D20A6B">
        <w:rPr>
          <w:sz w:val="28"/>
          <w:szCs w:val="28"/>
        </w:rPr>
        <w:t>his involves mailing a copy of the summons and complaint to the defendant and posting the summons and complaint in a conspicuous place on the property. Lawyers often call this by the slang phrase “nail and mail”.</w:t>
      </w:r>
    </w:p>
    <w:p w14:paraId="68494B38" w14:textId="77777777" w:rsidR="00D20A6B" w:rsidRDefault="00D20A6B" w:rsidP="00D20A6B">
      <w:pPr>
        <w:widowControl w:val="0"/>
        <w:ind w:left="720"/>
        <w:jc w:val="both"/>
        <w:rPr>
          <w:sz w:val="28"/>
          <w:szCs w:val="28"/>
        </w:rPr>
      </w:pPr>
    </w:p>
    <w:p w14:paraId="07E6CD68" w14:textId="348ECF5A" w:rsidR="00D20A6B" w:rsidRPr="003709CA" w:rsidRDefault="00D20A6B" w:rsidP="002F3BE9">
      <w:pPr>
        <w:widowControl w:val="0"/>
        <w:ind w:left="1440"/>
        <w:jc w:val="both"/>
        <w:rPr>
          <w:sz w:val="28"/>
          <w:szCs w:val="28"/>
        </w:rPr>
      </w:pPr>
      <w:r w:rsidRPr="003709CA">
        <w:rPr>
          <w:sz w:val="28"/>
          <w:szCs w:val="28"/>
        </w:rPr>
        <w:t xml:space="preserve">A recent amendment to Minn. Stat. § 504B.331 which goes into effect </w:t>
      </w:r>
      <w:r w:rsidR="005F38B5" w:rsidRPr="003709CA">
        <w:rPr>
          <w:sz w:val="28"/>
          <w:szCs w:val="28"/>
        </w:rPr>
        <w:t>January 1, 2024,</w:t>
      </w:r>
      <w:r w:rsidR="005F38B5" w:rsidRPr="003709CA">
        <w:rPr>
          <w:rStyle w:val="FootnoteReference"/>
          <w:sz w:val="28"/>
          <w:szCs w:val="28"/>
        </w:rPr>
        <w:footnoteReference w:id="1"/>
      </w:r>
      <w:r w:rsidRPr="003709CA">
        <w:rPr>
          <w:sz w:val="28"/>
          <w:szCs w:val="28"/>
        </w:rPr>
        <w:t xml:space="preserve"> allows the landlord to choose USPS mail (snail mail) or another </w:t>
      </w:r>
      <w:r w:rsidR="000F7D52" w:rsidRPr="003709CA">
        <w:rPr>
          <w:sz w:val="28"/>
          <w:szCs w:val="28"/>
        </w:rPr>
        <w:t xml:space="preserve">written-communication </w:t>
      </w:r>
      <w:r w:rsidRPr="003709CA">
        <w:rPr>
          <w:sz w:val="28"/>
          <w:szCs w:val="28"/>
        </w:rPr>
        <w:t>method it typically uses with the tenant (</w:t>
      </w:r>
      <w:r w:rsidR="00065344" w:rsidRPr="003709CA">
        <w:rPr>
          <w:sz w:val="28"/>
          <w:szCs w:val="28"/>
        </w:rPr>
        <w:t>e.g.,</w:t>
      </w:r>
      <w:r w:rsidRPr="003709CA">
        <w:rPr>
          <w:sz w:val="28"/>
          <w:szCs w:val="28"/>
        </w:rPr>
        <w:t xml:space="preserve"> email). This amendment is discussed below in Part </w:t>
      </w:r>
      <w:r w:rsidR="000D7CD3">
        <w:rPr>
          <w:sz w:val="28"/>
          <w:szCs w:val="28"/>
        </w:rPr>
        <w:t>IV</w:t>
      </w:r>
      <w:r w:rsidRPr="003709CA">
        <w:rPr>
          <w:sz w:val="28"/>
          <w:szCs w:val="28"/>
        </w:rPr>
        <w:t>.</w:t>
      </w:r>
    </w:p>
    <w:p w14:paraId="2130D6C0" w14:textId="77777777" w:rsidR="000F7D52" w:rsidRDefault="000F7D52" w:rsidP="000F7D52">
      <w:pPr>
        <w:widowControl w:val="0"/>
        <w:ind w:left="720"/>
        <w:jc w:val="both"/>
        <w:rPr>
          <w:sz w:val="28"/>
          <w:szCs w:val="28"/>
        </w:rPr>
      </w:pPr>
    </w:p>
    <w:p w14:paraId="19471C62" w14:textId="4B0D8731" w:rsidR="00BE4726" w:rsidRDefault="000F7D52" w:rsidP="00BE4726">
      <w:pPr>
        <w:widowControl w:val="0"/>
        <w:jc w:val="both"/>
        <w:rPr>
          <w:sz w:val="28"/>
          <w:szCs w:val="28"/>
        </w:rPr>
      </w:pPr>
      <w:r w:rsidRPr="003709CA">
        <w:rPr>
          <w:sz w:val="28"/>
          <w:szCs w:val="28"/>
        </w:rPr>
        <w:t xml:space="preserve">The </w:t>
      </w:r>
      <w:r w:rsidR="004C6110" w:rsidRPr="003709CA">
        <w:rPr>
          <w:sz w:val="28"/>
          <w:szCs w:val="28"/>
        </w:rPr>
        <w:t>posting</w:t>
      </w:r>
      <w:r w:rsidRPr="003709CA">
        <w:rPr>
          <w:sz w:val="28"/>
          <w:szCs w:val="28"/>
        </w:rPr>
        <w:t xml:space="preserve"> part of Minn. Stat. § 504B.331</w:t>
      </w:r>
      <w:r w:rsidR="005F38B5" w:rsidRPr="003709CA">
        <w:rPr>
          <w:sz w:val="28"/>
          <w:szCs w:val="28"/>
        </w:rPr>
        <w:t xml:space="preserve"> (2023)</w:t>
      </w:r>
      <w:r w:rsidR="00116F2C" w:rsidRPr="003709CA">
        <w:rPr>
          <w:rStyle w:val="FootnoteReference"/>
          <w:sz w:val="28"/>
          <w:szCs w:val="28"/>
        </w:rPr>
        <w:t xml:space="preserve"> </w:t>
      </w:r>
      <w:r w:rsidR="00116F2C" w:rsidRPr="003709CA">
        <w:rPr>
          <w:rStyle w:val="FootnoteReference"/>
          <w:sz w:val="28"/>
          <w:szCs w:val="28"/>
        </w:rPr>
        <w:footnoteReference w:id="2"/>
      </w:r>
      <w:r w:rsidRPr="003709CA">
        <w:rPr>
          <w:sz w:val="28"/>
          <w:szCs w:val="28"/>
        </w:rPr>
        <w:t xml:space="preserve"> now reads as follows:</w:t>
      </w:r>
    </w:p>
    <w:p w14:paraId="4038CF52" w14:textId="77777777" w:rsidR="00BE4726" w:rsidRDefault="00BE4726" w:rsidP="00BE4726">
      <w:pPr>
        <w:widowControl w:val="0"/>
        <w:jc w:val="both"/>
        <w:rPr>
          <w:sz w:val="28"/>
          <w:szCs w:val="28"/>
        </w:rPr>
      </w:pPr>
    </w:p>
    <w:p w14:paraId="11FE8D8A" w14:textId="5818887C" w:rsidR="000F7D52" w:rsidRPr="000F7D52" w:rsidRDefault="000F7D52" w:rsidP="00BE4726">
      <w:pPr>
        <w:widowControl w:val="0"/>
        <w:ind w:left="480"/>
        <w:jc w:val="both"/>
        <w:rPr>
          <w:color w:val="000000"/>
          <w:sz w:val="28"/>
          <w:szCs w:val="28"/>
        </w:rPr>
      </w:pPr>
      <w:r w:rsidRPr="000F7D52">
        <w:rPr>
          <w:color w:val="000000"/>
          <w:sz w:val="28"/>
          <w:szCs w:val="28"/>
        </w:rPr>
        <w:t>(d) Where the defendant cannot be found in the county, service of the summons may be made upon the defendant by posting the summons in a conspicuous place on the property for not less than one week if:</w:t>
      </w:r>
    </w:p>
    <w:p w14:paraId="6D88A8B1" w14:textId="77777777" w:rsidR="000F7D52" w:rsidRPr="000F7D52" w:rsidRDefault="000F7D52" w:rsidP="000F7D52">
      <w:pPr>
        <w:pStyle w:val="NormalWeb"/>
        <w:shd w:val="clear" w:color="auto" w:fill="FFFFFF"/>
        <w:spacing w:before="48" w:beforeAutospacing="0" w:after="120" w:afterAutospacing="0"/>
        <w:ind w:left="480" w:firstLine="480"/>
        <w:rPr>
          <w:color w:val="000000"/>
          <w:sz w:val="28"/>
          <w:szCs w:val="28"/>
        </w:rPr>
      </w:pPr>
      <w:r w:rsidRPr="000F7D52">
        <w:rPr>
          <w:color w:val="000000"/>
          <w:sz w:val="28"/>
          <w:szCs w:val="28"/>
        </w:rPr>
        <w:lastRenderedPageBreak/>
        <w:t>(1) the property described in the complaint is:</w:t>
      </w:r>
    </w:p>
    <w:p w14:paraId="2EBC8C08" w14:textId="5E245EE4" w:rsidR="000F7D52" w:rsidRPr="000F7D52" w:rsidRDefault="000F7D52" w:rsidP="000F7D52">
      <w:pPr>
        <w:pStyle w:val="NormalWeb"/>
        <w:shd w:val="clear" w:color="auto" w:fill="FFFFFF"/>
        <w:spacing w:before="48" w:beforeAutospacing="0" w:after="120" w:afterAutospacing="0"/>
        <w:ind w:left="480" w:firstLine="480"/>
        <w:rPr>
          <w:color w:val="000000"/>
          <w:sz w:val="28"/>
          <w:szCs w:val="28"/>
        </w:rPr>
      </w:pPr>
      <w:r w:rsidRPr="000F7D52">
        <w:rPr>
          <w:color w:val="000000"/>
          <w:sz w:val="28"/>
          <w:szCs w:val="28"/>
        </w:rPr>
        <w:t>(</w:t>
      </w:r>
      <w:r w:rsidR="00065344">
        <w:rPr>
          <w:color w:val="000000"/>
          <w:sz w:val="28"/>
          <w:szCs w:val="28"/>
        </w:rPr>
        <w:t>i</w:t>
      </w:r>
      <w:r w:rsidRPr="000F7D52">
        <w:rPr>
          <w:color w:val="000000"/>
          <w:sz w:val="28"/>
          <w:szCs w:val="28"/>
        </w:rPr>
        <w:t>) nonresidential and no person actually occupies the property; or</w:t>
      </w:r>
    </w:p>
    <w:p w14:paraId="1254E0F5" w14:textId="77777777" w:rsidR="000F7D52" w:rsidRPr="000F7D52" w:rsidRDefault="000F7D52" w:rsidP="000F7D52">
      <w:pPr>
        <w:pStyle w:val="NormalWeb"/>
        <w:shd w:val="clear" w:color="auto" w:fill="FFFFFF"/>
        <w:spacing w:before="48" w:beforeAutospacing="0" w:after="120" w:afterAutospacing="0"/>
        <w:ind w:left="480" w:firstLine="480"/>
        <w:rPr>
          <w:color w:val="000000"/>
          <w:sz w:val="28"/>
          <w:szCs w:val="28"/>
        </w:rPr>
      </w:pPr>
      <w:r w:rsidRPr="000F7D52">
        <w:rPr>
          <w:color w:val="000000"/>
          <w:sz w:val="28"/>
          <w:szCs w:val="28"/>
        </w:rPr>
        <w:t>(ii) residential and service has been attempted at least twice on different days, with at least one of the attempts having been made between the hours of 6:00 p.m. and 10:00 p.m.; and</w:t>
      </w:r>
    </w:p>
    <w:p w14:paraId="5D46C682" w14:textId="77777777" w:rsidR="000F7D52" w:rsidRPr="000F7D52" w:rsidRDefault="000F7D52" w:rsidP="000F7D52">
      <w:pPr>
        <w:pStyle w:val="NormalWeb"/>
        <w:shd w:val="clear" w:color="auto" w:fill="FFFFFF"/>
        <w:spacing w:before="48" w:beforeAutospacing="0" w:after="120" w:afterAutospacing="0"/>
        <w:ind w:left="480" w:firstLine="480"/>
        <w:rPr>
          <w:color w:val="000000"/>
          <w:sz w:val="28"/>
          <w:szCs w:val="28"/>
        </w:rPr>
      </w:pPr>
      <w:r w:rsidRPr="000F7D52">
        <w:rPr>
          <w:color w:val="000000"/>
          <w:sz w:val="28"/>
          <w:szCs w:val="28"/>
        </w:rPr>
        <w:t>(2) the plaintiff or the plaintiff's attorney has signed and filed with the court an affidavit stating that:</w:t>
      </w:r>
    </w:p>
    <w:p w14:paraId="7F3A4935" w14:textId="77777777" w:rsidR="000F7D52" w:rsidRPr="000F7D52" w:rsidRDefault="000F7D52" w:rsidP="000F7D52">
      <w:pPr>
        <w:pStyle w:val="NormalWeb"/>
        <w:shd w:val="clear" w:color="auto" w:fill="FFFFFF"/>
        <w:spacing w:before="48" w:beforeAutospacing="0" w:after="120" w:afterAutospacing="0"/>
        <w:ind w:left="480" w:firstLine="480"/>
        <w:rPr>
          <w:color w:val="000000"/>
          <w:sz w:val="28"/>
          <w:szCs w:val="28"/>
        </w:rPr>
      </w:pPr>
      <w:r w:rsidRPr="000F7D52">
        <w:rPr>
          <w:color w:val="000000"/>
          <w:sz w:val="28"/>
          <w:szCs w:val="28"/>
        </w:rPr>
        <w:t>(i) the defendant cannot be found, or that the plaintiff or the plaintiff's attorney believes that the defendant is not in the state; and</w:t>
      </w:r>
    </w:p>
    <w:p w14:paraId="3AF9D2DC" w14:textId="4FA5B649" w:rsidR="009856D3" w:rsidRPr="00D20A6B" w:rsidRDefault="000F7D52" w:rsidP="0059666A">
      <w:pPr>
        <w:pStyle w:val="NormalWeb"/>
        <w:shd w:val="clear" w:color="auto" w:fill="FFFFFF"/>
        <w:spacing w:before="48" w:beforeAutospacing="0" w:after="120" w:afterAutospacing="0"/>
        <w:ind w:left="480" w:firstLine="480"/>
        <w:rPr>
          <w:i/>
          <w:iCs/>
          <w:color w:val="222222"/>
          <w:sz w:val="28"/>
          <w:szCs w:val="28"/>
        </w:rPr>
      </w:pPr>
      <w:r w:rsidRPr="000F7D52">
        <w:rPr>
          <w:color w:val="000000"/>
          <w:sz w:val="28"/>
          <w:szCs w:val="28"/>
        </w:rPr>
        <w:t>(ii) a copy of the summons has been mailed to the defendant at the defendant's last known address if any is known to the plaintiff.</w:t>
      </w:r>
    </w:p>
    <w:p w14:paraId="6A39BEE5" w14:textId="77777777" w:rsidR="000F7D52" w:rsidRDefault="000F7D52" w:rsidP="009856D3">
      <w:pPr>
        <w:shd w:val="clear" w:color="auto" w:fill="FFFFFF"/>
        <w:rPr>
          <w:color w:val="222222"/>
          <w:sz w:val="28"/>
          <w:szCs w:val="28"/>
        </w:rPr>
      </w:pPr>
      <w:r w:rsidRPr="000F7D52">
        <w:rPr>
          <w:color w:val="222222"/>
          <w:sz w:val="28"/>
          <w:szCs w:val="28"/>
        </w:rPr>
        <w:t>In</w:t>
      </w:r>
      <w:r>
        <w:rPr>
          <w:i/>
          <w:iCs/>
          <w:color w:val="222222"/>
          <w:sz w:val="28"/>
          <w:szCs w:val="28"/>
        </w:rPr>
        <w:t xml:space="preserve"> </w:t>
      </w:r>
      <w:r w:rsidR="009856D3" w:rsidRPr="00D20A6B">
        <w:rPr>
          <w:i/>
          <w:iCs/>
          <w:color w:val="222222"/>
          <w:sz w:val="28"/>
          <w:szCs w:val="28"/>
        </w:rPr>
        <w:t>Royston</w:t>
      </w:r>
      <w:r w:rsidR="009856D3" w:rsidRPr="00D20A6B">
        <w:rPr>
          <w:color w:val="222222"/>
          <w:sz w:val="28"/>
          <w:szCs w:val="28"/>
        </w:rPr>
        <w:t xml:space="preserve">, </w:t>
      </w:r>
      <w:r>
        <w:rPr>
          <w:color w:val="222222"/>
          <w:sz w:val="28"/>
          <w:szCs w:val="28"/>
        </w:rPr>
        <w:t>the initial hearing was set for September 6, 2022. Prior to that the following happened:</w:t>
      </w:r>
    </w:p>
    <w:p w14:paraId="49CF47CE" w14:textId="77777777" w:rsidR="000F7D52" w:rsidRDefault="000F7D52" w:rsidP="009856D3">
      <w:pPr>
        <w:shd w:val="clear" w:color="auto" w:fill="FFFFFF"/>
        <w:rPr>
          <w:color w:val="222222"/>
          <w:sz w:val="28"/>
          <w:szCs w:val="28"/>
        </w:rPr>
      </w:pPr>
    </w:p>
    <w:p w14:paraId="561E6ACE" w14:textId="430CCA1E" w:rsidR="000F7D52" w:rsidRPr="000F7D52" w:rsidRDefault="000F7D52" w:rsidP="000F7D52">
      <w:pPr>
        <w:pStyle w:val="ListParagraph"/>
        <w:numPr>
          <w:ilvl w:val="0"/>
          <w:numId w:val="1"/>
        </w:numPr>
        <w:shd w:val="clear" w:color="auto" w:fill="FFFFFF"/>
        <w:rPr>
          <w:sz w:val="28"/>
          <w:szCs w:val="28"/>
        </w:rPr>
      </w:pPr>
      <w:r>
        <w:rPr>
          <w:color w:val="222222"/>
          <w:sz w:val="28"/>
          <w:szCs w:val="28"/>
        </w:rPr>
        <w:t>13 days prior to the hearing</w:t>
      </w:r>
      <w:r w:rsidR="00002D0B">
        <w:rPr>
          <w:color w:val="222222"/>
          <w:sz w:val="28"/>
          <w:szCs w:val="28"/>
        </w:rPr>
        <w:t>,</w:t>
      </w:r>
      <w:r w:rsidR="00AA7383">
        <w:rPr>
          <w:color w:val="222222"/>
          <w:sz w:val="28"/>
          <w:szCs w:val="28"/>
        </w:rPr>
        <w:t xml:space="preserve"> at 6:49 pm</w:t>
      </w:r>
      <w:r>
        <w:rPr>
          <w:color w:val="222222"/>
          <w:sz w:val="28"/>
          <w:szCs w:val="28"/>
        </w:rPr>
        <w:t xml:space="preserve">, </w:t>
      </w:r>
      <w:r w:rsidR="001D22A9">
        <w:rPr>
          <w:color w:val="222222"/>
          <w:sz w:val="28"/>
          <w:szCs w:val="28"/>
        </w:rPr>
        <w:t>“the</w:t>
      </w:r>
      <w:r>
        <w:rPr>
          <w:color w:val="222222"/>
          <w:sz w:val="28"/>
          <w:szCs w:val="28"/>
        </w:rPr>
        <w:t xml:space="preserve"> sheriff</w:t>
      </w:r>
      <w:r w:rsidR="001D22A9">
        <w:rPr>
          <w:color w:val="222222"/>
          <w:sz w:val="28"/>
          <w:szCs w:val="28"/>
        </w:rPr>
        <w:t xml:space="preserve">” (presumably a deputy sheriff) </w:t>
      </w:r>
      <w:r>
        <w:rPr>
          <w:color w:val="222222"/>
          <w:sz w:val="28"/>
          <w:szCs w:val="28"/>
        </w:rPr>
        <w:t>tried personal service but no one was home</w:t>
      </w:r>
      <w:r w:rsidR="00AA7383">
        <w:rPr>
          <w:color w:val="222222"/>
          <w:sz w:val="28"/>
          <w:szCs w:val="28"/>
        </w:rPr>
        <w:t>.</w:t>
      </w:r>
    </w:p>
    <w:p w14:paraId="79E725AF" w14:textId="76C5C79F" w:rsidR="000F7D52" w:rsidRPr="00A732C7" w:rsidRDefault="000F7D52" w:rsidP="000F7D52">
      <w:pPr>
        <w:pStyle w:val="ListParagraph"/>
        <w:numPr>
          <w:ilvl w:val="0"/>
          <w:numId w:val="1"/>
        </w:numPr>
        <w:shd w:val="clear" w:color="auto" w:fill="FFFFFF"/>
        <w:rPr>
          <w:sz w:val="28"/>
          <w:szCs w:val="28"/>
        </w:rPr>
      </w:pPr>
      <w:r>
        <w:rPr>
          <w:color w:val="222222"/>
          <w:sz w:val="28"/>
          <w:szCs w:val="28"/>
        </w:rPr>
        <w:t>12 days prior to the hearing</w:t>
      </w:r>
      <w:r w:rsidR="00002D0B">
        <w:rPr>
          <w:color w:val="222222"/>
          <w:sz w:val="28"/>
          <w:szCs w:val="28"/>
        </w:rPr>
        <w:t>,</w:t>
      </w:r>
      <w:r w:rsidR="00AA7383">
        <w:rPr>
          <w:color w:val="222222"/>
          <w:sz w:val="28"/>
          <w:szCs w:val="28"/>
        </w:rPr>
        <w:t xml:space="preserve"> a</w:t>
      </w:r>
      <w:r w:rsidR="00002D0B">
        <w:rPr>
          <w:color w:val="222222"/>
          <w:sz w:val="28"/>
          <w:szCs w:val="28"/>
        </w:rPr>
        <w:t>t 1</w:t>
      </w:r>
      <w:r w:rsidR="00AA7383">
        <w:rPr>
          <w:color w:val="222222"/>
          <w:sz w:val="28"/>
          <w:szCs w:val="28"/>
        </w:rPr>
        <w:t>0:48 am</w:t>
      </w:r>
      <w:r>
        <w:rPr>
          <w:color w:val="222222"/>
          <w:sz w:val="28"/>
          <w:szCs w:val="28"/>
        </w:rPr>
        <w:t xml:space="preserve">, </w:t>
      </w:r>
      <w:r w:rsidR="00002D0B">
        <w:rPr>
          <w:color w:val="222222"/>
          <w:sz w:val="28"/>
          <w:szCs w:val="28"/>
        </w:rPr>
        <w:t xml:space="preserve">the sheriff </w:t>
      </w:r>
      <w:r w:rsidR="001D22A9">
        <w:rPr>
          <w:color w:val="222222"/>
          <w:sz w:val="28"/>
          <w:szCs w:val="28"/>
        </w:rPr>
        <w:t>again</w:t>
      </w:r>
      <w:r>
        <w:rPr>
          <w:color w:val="222222"/>
          <w:sz w:val="28"/>
          <w:szCs w:val="28"/>
        </w:rPr>
        <w:t xml:space="preserve"> tried personal service but no one was home</w:t>
      </w:r>
      <w:r w:rsidR="00AA7383">
        <w:rPr>
          <w:color w:val="222222"/>
          <w:sz w:val="28"/>
          <w:szCs w:val="28"/>
        </w:rPr>
        <w:t>.</w:t>
      </w:r>
    </w:p>
    <w:p w14:paraId="2489B3D9" w14:textId="6375049F" w:rsidR="00A732C7" w:rsidRPr="000F7D52" w:rsidRDefault="00117AC1" w:rsidP="000F7D52">
      <w:pPr>
        <w:pStyle w:val="ListParagraph"/>
        <w:numPr>
          <w:ilvl w:val="0"/>
          <w:numId w:val="1"/>
        </w:numPr>
        <w:shd w:val="clear" w:color="auto" w:fill="FFFFFF"/>
        <w:rPr>
          <w:sz w:val="28"/>
          <w:szCs w:val="28"/>
        </w:rPr>
      </w:pPr>
      <w:r>
        <w:rPr>
          <w:color w:val="222222"/>
          <w:sz w:val="28"/>
          <w:szCs w:val="28"/>
        </w:rPr>
        <w:t>Immediately</w:t>
      </w:r>
      <w:r w:rsidR="00A732C7">
        <w:rPr>
          <w:color w:val="222222"/>
          <w:sz w:val="28"/>
          <w:szCs w:val="28"/>
        </w:rPr>
        <w:t xml:space="preserve"> after that second try, 12 days prior to the hearing, presumably at 10:49 am, the sheriff posted the summons in a conspicuous place at the apartment</w:t>
      </w:r>
    </w:p>
    <w:p w14:paraId="1E61E317" w14:textId="2F923049" w:rsidR="00383199" w:rsidRDefault="00383199" w:rsidP="000F7D52">
      <w:pPr>
        <w:pStyle w:val="ListParagraph"/>
        <w:numPr>
          <w:ilvl w:val="0"/>
          <w:numId w:val="1"/>
        </w:numPr>
        <w:shd w:val="clear" w:color="auto" w:fill="FFFFFF"/>
        <w:rPr>
          <w:sz w:val="28"/>
          <w:szCs w:val="28"/>
        </w:rPr>
      </w:pPr>
      <w:r>
        <w:rPr>
          <w:sz w:val="28"/>
          <w:szCs w:val="28"/>
        </w:rPr>
        <w:t>7 days prior to the hearing, the HRA mailed a copy of the summons to Royston</w:t>
      </w:r>
    </w:p>
    <w:p w14:paraId="163C0F9A" w14:textId="36D0208A" w:rsidR="00AA7383" w:rsidRDefault="00383199" w:rsidP="000F7D52">
      <w:pPr>
        <w:pStyle w:val="ListParagraph"/>
        <w:numPr>
          <w:ilvl w:val="0"/>
          <w:numId w:val="1"/>
        </w:numPr>
        <w:shd w:val="clear" w:color="auto" w:fill="FFFFFF"/>
        <w:rPr>
          <w:sz w:val="28"/>
          <w:szCs w:val="28"/>
        </w:rPr>
      </w:pPr>
      <w:r>
        <w:rPr>
          <w:sz w:val="28"/>
          <w:szCs w:val="28"/>
        </w:rPr>
        <w:t>7 days prior to the hearing, the HRA signed and filed an affidavit saying that Royston could not be found and that it had mailed him a copy of the summons.</w:t>
      </w:r>
    </w:p>
    <w:p w14:paraId="01848926" w14:textId="77777777" w:rsidR="0059666A" w:rsidRDefault="0059666A" w:rsidP="0059666A">
      <w:pPr>
        <w:pStyle w:val="ListParagraph"/>
        <w:shd w:val="clear" w:color="auto" w:fill="FFFFFF"/>
        <w:rPr>
          <w:sz w:val="28"/>
          <w:szCs w:val="28"/>
        </w:rPr>
      </w:pPr>
    </w:p>
    <w:p w14:paraId="6A18FEEF" w14:textId="4144B8B0" w:rsidR="0059666A" w:rsidRDefault="003840AC" w:rsidP="0059666A">
      <w:pPr>
        <w:pStyle w:val="ListParagraph"/>
        <w:shd w:val="clear" w:color="auto" w:fill="FFFFFF"/>
        <w:ind w:left="0"/>
        <w:rPr>
          <w:sz w:val="28"/>
          <w:szCs w:val="28"/>
        </w:rPr>
      </w:pPr>
      <w:r>
        <w:rPr>
          <w:sz w:val="28"/>
          <w:szCs w:val="28"/>
        </w:rPr>
        <w:t>Royston contested personal jurisdiction. H</w:t>
      </w:r>
      <w:r w:rsidR="00117AC1">
        <w:rPr>
          <w:sz w:val="28"/>
          <w:szCs w:val="28"/>
        </w:rPr>
        <w:t>e</w:t>
      </w:r>
      <w:r>
        <w:rPr>
          <w:sz w:val="28"/>
          <w:szCs w:val="28"/>
        </w:rPr>
        <w:t xml:space="preserve"> argue</w:t>
      </w:r>
      <w:r w:rsidR="00117AC1">
        <w:rPr>
          <w:sz w:val="28"/>
          <w:szCs w:val="28"/>
        </w:rPr>
        <w:t>d</w:t>
      </w:r>
      <w:r>
        <w:rPr>
          <w:sz w:val="28"/>
          <w:szCs w:val="28"/>
        </w:rPr>
        <w:t xml:space="preserve"> that the HRA did not follow section 504B.331 because the statute requires that the </w:t>
      </w:r>
      <w:r w:rsidR="00117AC1">
        <w:rPr>
          <w:sz w:val="28"/>
          <w:szCs w:val="28"/>
        </w:rPr>
        <w:t>posting</w:t>
      </w:r>
      <w:r>
        <w:rPr>
          <w:sz w:val="28"/>
          <w:szCs w:val="28"/>
        </w:rPr>
        <w:t xml:space="preserve"> cannot be done until the two unsuccessful attempts at personal service failed, the summons was mailed to him, and the affidavit of not found </w:t>
      </w:r>
      <w:r w:rsidR="00D8597A">
        <w:rPr>
          <w:sz w:val="28"/>
          <w:szCs w:val="28"/>
        </w:rPr>
        <w:t>&amp;</w:t>
      </w:r>
      <w:r>
        <w:rPr>
          <w:sz w:val="28"/>
          <w:szCs w:val="28"/>
        </w:rPr>
        <w:t xml:space="preserve"> mailing was filed. I.e., in slang, “try twice, mail, file affidavit, </w:t>
      </w:r>
      <w:r w:rsidR="0077502F" w:rsidRPr="00117AC1">
        <w:rPr>
          <w:sz w:val="28"/>
          <w:szCs w:val="28"/>
          <w:u w:val="single"/>
        </w:rPr>
        <w:t>then</w:t>
      </w:r>
      <w:r w:rsidR="0077502F">
        <w:rPr>
          <w:sz w:val="28"/>
          <w:szCs w:val="28"/>
        </w:rPr>
        <w:t xml:space="preserve"> </w:t>
      </w:r>
      <w:r>
        <w:rPr>
          <w:sz w:val="28"/>
          <w:szCs w:val="28"/>
        </w:rPr>
        <w:t>nail”.</w:t>
      </w:r>
    </w:p>
    <w:p w14:paraId="63DAEF2F" w14:textId="77777777" w:rsidR="003840AC" w:rsidRDefault="003840AC" w:rsidP="0059666A">
      <w:pPr>
        <w:pStyle w:val="ListParagraph"/>
        <w:shd w:val="clear" w:color="auto" w:fill="FFFFFF"/>
        <w:ind w:left="0"/>
        <w:rPr>
          <w:sz w:val="28"/>
          <w:szCs w:val="28"/>
        </w:rPr>
      </w:pPr>
    </w:p>
    <w:p w14:paraId="447425D0" w14:textId="7FD7432F" w:rsidR="003840AC" w:rsidRDefault="003840AC" w:rsidP="0059666A">
      <w:pPr>
        <w:pStyle w:val="ListParagraph"/>
        <w:shd w:val="clear" w:color="auto" w:fill="FFFFFF"/>
        <w:ind w:left="0"/>
        <w:rPr>
          <w:sz w:val="28"/>
          <w:szCs w:val="28"/>
        </w:rPr>
      </w:pPr>
      <w:r>
        <w:rPr>
          <w:sz w:val="28"/>
          <w:szCs w:val="28"/>
        </w:rPr>
        <w:t>The district court denied Royston’s motion, set the case for trial, and Royston lost the trial. He appealed only on the issue of personal jurisdiction</w:t>
      </w:r>
      <w:r w:rsidR="009D1ACA">
        <w:rPr>
          <w:sz w:val="28"/>
          <w:szCs w:val="28"/>
        </w:rPr>
        <w:t>, making the same argument</w:t>
      </w:r>
      <w:r w:rsidR="004C6110">
        <w:rPr>
          <w:sz w:val="28"/>
          <w:szCs w:val="28"/>
        </w:rPr>
        <w:t xml:space="preserve"> he made in district court.</w:t>
      </w:r>
    </w:p>
    <w:p w14:paraId="2CAE1077" w14:textId="77777777" w:rsidR="009D1ACA" w:rsidRDefault="009D1ACA" w:rsidP="0059666A">
      <w:pPr>
        <w:pStyle w:val="ListParagraph"/>
        <w:shd w:val="clear" w:color="auto" w:fill="FFFFFF"/>
        <w:ind w:left="0"/>
        <w:rPr>
          <w:sz w:val="28"/>
          <w:szCs w:val="28"/>
        </w:rPr>
      </w:pPr>
    </w:p>
    <w:p w14:paraId="08BB2056" w14:textId="3F0ECD49" w:rsidR="009D1ACA" w:rsidRPr="0077502F" w:rsidRDefault="00DD5C6B" w:rsidP="0059666A">
      <w:pPr>
        <w:pStyle w:val="ListParagraph"/>
        <w:shd w:val="clear" w:color="auto" w:fill="FFFFFF"/>
        <w:ind w:left="0"/>
        <w:rPr>
          <w:b/>
          <w:bCs/>
          <w:sz w:val="28"/>
          <w:szCs w:val="28"/>
        </w:rPr>
      </w:pPr>
      <w:r>
        <w:rPr>
          <w:b/>
          <w:bCs/>
          <w:sz w:val="28"/>
          <w:szCs w:val="28"/>
        </w:rPr>
        <w:lastRenderedPageBreak/>
        <w:t xml:space="preserve">II. </w:t>
      </w:r>
      <w:r w:rsidR="0077502F" w:rsidRPr="0077502F">
        <w:rPr>
          <w:b/>
          <w:bCs/>
          <w:sz w:val="28"/>
          <w:szCs w:val="28"/>
        </w:rPr>
        <w:t>THE COURT OF APPEALS DECISION</w:t>
      </w:r>
      <w:r w:rsidR="008D1223">
        <w:rPr>
          <w:b/>
          <w:bCs/>
          <w:sz w:val="28"/>
          <w:szCs w:val="28"/>
        </w:rPr>
        <w:t xml:space="preserve"> – </w:t>
      </w:r>
      <w:r w:rsidR="002C5C23">
        <w:rPr>
          <w:b/>
          <w:bCs/>
          <w:sz w:val="28"/>
          <w:szCs w:val="28"/>
        </w:rPr>
        <w:t xml:space="preserve">PLAIN </w:t>
      </w:r>
      <w:r w:rsidR="008D1223">
        <w:rPr>
          <w:b/>
          <w:bCs/>
          <w:sz w:val="28"/>
          <w:szCs w:val="28"/>
        </w:rPr>
        <w:t>LANGUAGE ANALYSIS</w:t>
      </w:r>
      <w:r w:rsidR="002C5C23">
        <w:rPr>
          <w:b/>
          <w:bCs/>
          <w:sz w:val="28"/>
          <w:szCs w:val="28"/>
        </w:rPr>
        <w:t>.</w:t>
      </w:r>
    </w:p>
    <w:p w14:paraId="5BA23653" w14:textId="77777777" w:rsidR="0077502F" w:rsidRPr="00493425" w:rsidRDefault="0077502F" w:rsidP="0059666A">
      <w:pPr>
        <w:pStyle w:val="ListParagraph"/>
        <w:shd w:val="clear" w:color="auto" w:fill="FFFFFF"/>
        <w:ind w:left="0"/>
        <w:rPr>
          <w:sz w:val="28"/>
          <w:szCs w:val="28"/>
        </w:rPr>
      </w:pPr>
    </w:p>
    <w:p w14:paraId="35610B31" w14:textId="39C709C6" w:rsidR="0077502F" w:rsidRDefault="0077502F" w:rsidP="0059666A">
      <w:pPr>
        <w:pStyle w:val="ListParagraph"/>
        <w:shd w:val="clear" w:color="auto" w:fill="FFFFFF"/>
        <w:ind w:left="0"/>
        <w:rPr>
          <w:sz w:val="28"/>
          <w:szCs w:val="28"/>
        </w:rPr>
      </w:pPr>
      <w:r w:rsidRPr="00493425">
        <w:rPr>
          <w:sz w:val="28"/>
          <w:szCs w:val="28"/>
        </w:rPr>
        <w:t xml:space="preserve">The Court of Appeals ruled for the HRA. It held that under </w:t>
      </w:r>
      <w:r w:rsidRPr="00493425">
        <w:rPr>
          <w:color w:val="222222"/>
          <w:sz w:val="28"/>
          <w:szCs w:val="28"/>
          <w:shd w:val="clear" w:color="auto" w:fill="FFFFFF"/>
        </w:rPr>
        <w:t> </w:t>
      </w:r>
      <w:hyperlink r:id="rId9" w:history="1">
        <w:r w:rsidRPr="00493425">
          <w:rPr>
            <w:rStyle w:val="Hyperlink"/>
            <w:i/>
            <w:iCs/>
            <w:color w:val="1A0DAB"/>
            <w:sz w:val="28"/>
            <w:szCs w:val="28"/>
            <w:shd w:val="clear" w:color="auto" w:fill="FFFFFF"/>
          </w:rPr>
          <w:t>Koski v. Johnson,</w:t>
        </w:r>
        <w:r w:rsidRPr="00493425">
          <w:rPr>
            <w:rStyle w:val="Hyperlink"/>
            <w:color w:val="1A0DAB"/>
            <w:sz w:val="28"/>
            <w:szCs w:val="28"/>
            <w:shd w:val="clear" w:color="auto" w:fill="FFFFFF"/>
          </w:rPr>
          <w:t> 837 N.W.2d 739</w:t>
        </w:r>
        <w:r w:rsidR="00493425" w:rsidRPr="00493425">
          <w:rPr>
            <w:rStyle w:val="Hyperlink"/>
            <w:color w:val="1A0DAB"/>
            <w:sz w:val="28"/>
            <w:szCs w:val="28"/>
            <w:shd w:val="clear" w:color="auto" w:fill="FFFFFF"/>
          </w:rPr>
          <w:t xml:space="preserve"> </w:t>
        </w:r>
        <w:r w:rsidRPr="00493425">
          <w:rPr>
            <w:rStyle w:val="Hyperlink"/>
            <w:color w:val="1A0DAB"/>
            <w:sz w:val="28"/>
            <w:szCs w:val="28"/>
            <w:shd w:val="clear" w:color="auto" w:fill="FFFFFF"/>
          </w:rPr>
          <w:t>(Minn. App. 2013),</w:t>
        </w:r>
      </w:hyperlink>
      <w:r w:rsidRPr="00493425">
        <w:rPr>
          <w:color w:val="222222"/>
          <w:sz w:val="28"/>
          <w:szCs w:val="28"/>
          <w:shd w:val="clear" w:color="auto" w:fill="FFFFFF"/>
        </w:rPr>
        <w:t> </w:t>
      </w:r>
      <w:r w:rsidRPr="00493425">
        <w:rPr>
          <w:i/>
          <w:iCs/>
          <w:color w:val="222222"/>
          <w:sz w:val="28"/>
          <w:szCs w:val="28"/>
          <w:shd w:val="clear" w:color="auto" w:fill="FFFFFF"/>
        </w:rPr>
        <w:t>rev. denied</w:t>
      </w:r>
      <w:r w:rsidRPr="00493425">
        <w:rPr>
          <w:color w:val="222222"/>
          <w:sz w:val="28"/>
          <w:szCs w:val="28"/>
          <w:shd w:val="clear" w:color="auto" w:fill="FFFFFF"/>
        </w:rPr>
        <w:t> (Minn. Dec. 17, 2013)</w:t>
      </w:r>
      <w:r w:rsidRPr="00493425">
        <w:rPr>
          <w:sz w:val="28"/>
          <w:szCs w:val="28"/>
        </w:rPr>
        <w:t xml:space="preserve">, </w:t>
      </w:r>
      <w:r w:rsidR="00493425" w:rsidRPr="00493425">
        <w:rPr>
          <w:sz w:val="28"/>
          <w:szCs w:val="28"/>
        </w:rPr>
        <w:t xml:space="preserve">the landlord must strictly comply with Minn. Stat. § </w:t>
      </w:r>
      <w:r w:rsidRPr="00493425">
        <w:rPr>
          <w:sz w:val="28"/>
          <w:szCs w:val="28"/>
        </w:rPr>
        <w:t>504B.331</w:t>
      </w:r>
      <w:r w:rsidR="00493425" w:rsidRPr="00493425">
        <w:rPr>
          <w:sz w:val="28"/>
          <w:szCs w:val="28"/>
        </w:rPr>
        <w:t xml:space="preserve">. </w:t>
      </w:r>
      <w:r w:rsidR="004C6110">
        <w:rPr>
          <w:i/>
          <w:iCs/>
          <w:sz w:val="28"/>
          <w:szCs w:val="28"/>
        </w:rPr>
        <w:t>Royston</w:t>
      </w:r>
      <w:r w:rsidR="004C6110">
        <w:rPr>
          <w:sz w:val="28"/>
          <w:szCs w:val="28"/>
        </w:rPr>
        <w:t xml:space="preserve">, </w:t>
      </w:r>
      <w:r w:rsidR="00002D0B">
        <w:rPr>
          <w:sz w:val="28"/>
          <w:szCs w:val="28"/>
        </w:rPr>
        <w:t>990 N.W.2d at</w:t>
      </w:r>
      <w:r w:rsidR="00493425" w:rsidRPr="00493425">
        <w:rPr>
          <w:sz w:val="28"/>
          <w:szCs w:val="28"/>
        </w:rPr>
        <w:t xml:space="preserve"> </w:t>
      </w:r>
      <w:r w:rsidR="00002D0B">
        <w:rPr>
          <w:sz w:val="28"/>
          <w:szCs w:val="28"/>
        </w:rPr>
        <w:t xml:space="preserve">734. </w:t>
      </w:r>
      <w:r w:rsidR="00493425" w:rsidRPr="00493425">
        <w:rPr>
          <w:sz w:val="28"/>
          <w:szCs w:val="28"/>
        </w:rPr>
        <w:t>However, it then held that the HRA did strictly comply</w:t>
      </w:r>
      <w:r w:rsidR="004C6110">
        <w:rPr>
          <w:sz w:val="28"/>
          <w:szCs w:val="28"/>
        </w:rPr>
        <w:t xml:space="preserve">, </w:t>
      </w:r>
      <w:r w:rsidR="00493425" w:rsidRPr="00493425">
        <w:rPr>
          <w:sz w:val="28"/>
          <w:szCs w:val="28"/>
        </w:rPr>
        <w:t>constru</w:t>
      </w:r>
      <w:r w:rsidR="004C6110">
        <w:rPr>
          <w:sz w:val="28"/>
          <w:szCs w:val="28"/>
        </w:rPr>
        <w:t>ing</w:t>
      </w:r>
      <w:r w:rsidR="00493425" w:rsidRPr="00493425">
        <w:rPr>
          <w:sz w:val="28"/>
          <w:szCs w:val="28"/>
        </w:rPr>
        <w:t xml:space="preserve"> section 504B.331(d) as follows:</w:t>
      </w:r>
    </w:p>
    <w:p w14:paraId="2E800B3D" w14:textId="77777777" w:rsidR="00002D0B" w:rsidRPr="00493425" w:rsidRDefault="00002D0B" w:rsidP="0059666A">
      <w:pPr>
        <w:pStyle w:val="ListParagraph"/>
        <w:shd w:val="clear" w:color="auto" w:fill="FFFFFF"/>
        <w:ind w:left="0"/>
        <w:rPr>
          <w:sz w:val="28"/>
          <w:szCs w:val="28"/>
        </w:rPr>
      </w:pPr>
    </w:p>
    <w:p w14:paraId="4307E8A1" w14:textId="5876A586" w:rsidR="00493425" w:rsidRPr="00493425" w:rsidRDefault="00493425" w:rsidP="00493425">
      <w:pPr>
        <w:pStyle w:val="ListParagraph"/>
        <w:shd w:val="clear" w:color="auto" w:fill="FFFFFF"/>
        <w:rPr>
          <w:color w:val="222222"/>
          <w:sz w:val="28"/>
          <w:szCs w:val="28"/>
          <w:shd w:val="clear" w:color="auto" w:fill="FFFFFF"/>
        </w:rPr>
      </w:pPr>
      <w:r w:rsidRPr="00493425">
        <w:rPr>
          <w:color w:val="222222"/>
          <w:sz w:val="28"/>
          <w:szCs w:val="28"/>
          <w:shd w:val="clear" w:color="auto" w:fill="FFFFFF"/>
        </w:rPr>
        <w:t>The plain language of section 504B.331(d) provides that posting a summons at least seven days before the first hearing in an eviction action constitutes effective service so long as the following have also occurred not less than one week before the first hearing: (1) there have been two attempts at personal service on two different days, including one between the hours of 6:00 p.m. and 10:00 p.m. and (2) the landlord or landlord's attorney has signed and filed an affidavit with the court stating that the tenant cannot be found or is believed to be out-of-state and that the summons has been mailed to the tenant's last known address or that such an address is unknown to the plaintiff.</w:t>
      </w:r>
    </w:p>
    <w:p w14:paraId="05603515" w14:textId="77777777" w:rsidR="00493425" w:rsidRPr="00493425" w:rsidRDefault="00493425" w:rsidP="0059666A">
      <w:pPr>
        <w:pStyle w:val="ListParagraph"/>
        <w:shd w:val="clear" w:color="auto" w:fill="FFFFFF"/>
        <w:ind w:left="0"/>
        <w:rPr>
          <w:color w:val="222222"/>
          <w:sz w:val="28"/>
          <w:szCs w:val="28"/>
          <w:shd w:val="clear" w:color="auto" w:fill="FFFFFF"/>
        </w:rPr>
      </w:pPr>
    </w:p>
    <w:p w14:paraId="75F7AED4" w14:textId="278B0C30" w:rsidR="00493425" w:rsidRPr="00300E4E" w:rsidRDefault="00002D0B" w:rsidP="0059666A">
      <w:pPr>
        <w:pStyle w:val="ListParagraph"/>
        <w:shd w:val="clear" w:color="auto" w:fill="FFFFFF"/>
        <w:ind w:left="0"/>
        <w:rPr>
          <w:sz w:val="28"/>
          <w:szCs w:val="28"/>
          <w:shd w:val="clear" w:color="auto" w:fill="FFFFFF"/>
        </w:rPr>
      </w:pPr>
      <w:r w:rsidRPr="00300E4E">
        <w:rPr>
          <w:i/>
          <w:iCs/>
          <w:sz w:val="28"/>
          <w:szCs w:val="28"/>
          <w:shd w:val="clear" w:color="auto" w:fill="FFFFFF"/>
        </w:rPr>
        <w:t>Id</w:t>
      </w:r>
      <w:r w:rsidRPr="00300E4E">
        <w:rPr>
          <w:sz w:val="28"/>
          <w:szCs w:val="28"/>
          <w:shd w:val="clear" w:color="auto" w:fill="FFFFFF"/>
        </w:rPr>
        <w:t xml:space="preserve">. at </w:t>
      </w:r>
      <w:r w:rsidR="00300E4E" w:rsidRPr="00300E4E">
        <w:rPr>
          <w:sz w:val="28"/>
          <w:szCs w:val="28"/>
          <w:shd w:val="clear" w:color="auto" w:fill="FFFFFF"/>
        </w:rPr>
        <w:t>738.</w:t>
      </w:r>
      <w:r w:rsidR="00493425" w:rsidRPr="00300E4E">
        <w:rPr>
          <w:sz w:val="28"/>
          <w:szCs w:val="28"/>
          <w:shd w:val="clear" w:color="auto" w:fill="FFFFFF"/>
        </w:rPr>
        <w:t xml:space="preserve"> I.e.,</w:t>
      </w:r>
      <w:r w:rsidR="00521C20">
        <w:rPr>
          <w:sz w:val="28"/>
          <w:szCs w:val="28"/>
          <w:shd w:val="clear" w:color="auto" w:fill="FFFFFF"/>
        </w:rPr>
        <w:t xml:space="preserve"> the</w:t>
      </w:r>
      <w:r w:rsidR="00493425" w:rsidRPr="00300E4E">
        <w:rPr>
          <w:sz w:val="28"/>
          <w:szCs w:val="28"/>
          <w:shd w:val="clear" w:color="auto" w:fill="FFFFFF"/>
        </w:rPr>
        <w:t xml:space="preserve"> </w:t>
      </w:r>
      <w:r w:rsidR="00521C20" w:rsidRPr="00521C20">
        <w:rPr>
          <w:i/>
          <w:iCs/>
          <w:sz w:val="28"/>
          <w:szCs w:val="28"/>
          <w:shd w:val="clear" w:color="auto" w:fill="FFFFFF"/>
        </w:rPr>
        <w:t>Royston</w:t>
      </w:r>
      <w:r w:rsidR="00521C20">
        <w:rPr>
          <w:sz w:val="28"/>
          <w:szCs w:val="28"/>
          <w:shd w:val="clear" w:color="auto" w:fill="FFFFFF"/>
        </w:rPr>
        <w:t xml:space="preserve"> court held that </w:t>
      </w:r>
      <w:r w:rsidR="00493425" w:rsidRPr="00300E4E">
        <w:rPr>
          <w:sz w:val="28"/>
          <w:szCs w:val="28"/>
          <w:shd w:val="clear" w:color="auto" w:fill="FFFFFF"/>
        </w:rPr>
        <w:t xml:space="preserve">the order of these acts </w:t>
      </w:r>
      <w:r w:rsidR="00300E4E">
        <w:rPr>
          <w:sz w:val="28"/>
          <w:szCs w:val="28"/>
          <w:shd w:val="clear" w:color="auto" w:fill="FFFFFF"/>
        </w:rPr>
        <w:t>didn’t</w:t>
      </w:r>
      <w:r w:rsidR="00493425" w:rsidRPr="00300E4E">
        <w:rPr>
          <w:sz w:val="28"/>
          <w:szCs w:val="28"/>
          <w:shd w:val="clear" w:color="auto" w:fill="FFFFFF"/>
        </w:rPr>
        <w:t xml:space="preserve"> matter so long as they all occur</w:t>
      </w:r>
      <w:r w:rsidR="004C6110">
        <w:rPr>
          <w:sz w:val="28"/>
          <w:szCs w:val="28"/>
          <w:shd w:val="clear" w:color="auto" w:fill="FFFFFF"/>
        </w:rPr>
        <w:t>red</w:t>
      </w:r>
      <w:r w:rsidR="00493425" w:rsidRPr="00300E4E">
        <w:rPr>
          <w:sz w:val="28"/>
          <w:szCs w:val="28"/>
          <w:shd w:val="clear" w:color="auto" w:fill="FFFFFF"/>
        </w:rPr>
        <w:t xml:space="preserve"> at least 7 days before the initial hearing.</w:t>
      </w:r>
    </w:p>
    <w:p w14:paraId="19D65CAA" w14:textId="77777777" w:rsidR="00493425" w:rsidRDefault="00493425" w:rsidP="0059666A">
      <w:pPr>
        <w:pStyle w:val="ListParagraph"/>
        <w:shd w:val="clear" w:color="auto" w:fill="FFFFFF"/>
        <w:ind w:left="0"/>
        <w:rPr>
          <w:color w:val="222222"/>
          <w:sz w:val="28"/>
          <w:szCs w:val="28"/>
          <w:shd w:val="clear" w:color="auto" w:fill="FFFFFF"/>
        </w:rPr>
      </w:pPr>
    </w:p>
    <w:p w14:paraId="04DE94CF" w14:textId="083B7155" w:rsidR="00BA2D50" w:rsidRPr="00B6269E" w:rsidRDefault="00493425" w:rsidP="0059666A">
      <w:pPr>
        <w:pStyle w:val="ListParagraph"/>
        <w:shd w:val="clear" w:color="auto" w:fill="FFFFFF"/>
        <w:ind w:left="0"/>
        <w:rPr>
          <w:color w:val="FF0000"/>
          <w:sz w:val="28"/>
          <w:szCs w:val="28"/>
          <w:shd w:val="clear" w:color="auto" w:fill="FFFFFF"/>
        </w:rPr>
      </w:pPr>
      <w:r w:rsidRPr="00493425">
        <w:rPr>
          <w:color w:val="222222"/>
          <w:sz w:val="28"/>
          <w:szCs w:val="28"/>
          <w:shd w:val="clear" w:color="auto" w:fill="FFFFFF"/>
        </w:rPr>
        <w:t>It’s a bit hard to follow the court’s reasoning. It is apparently based on the idea that the statute “governs service of the summons and not the physical act of posting a summons”.</w:t>
      </w:r>
      <w:r w:rsidR="00300E4E">
        <w:rPr>
          <w:color w:val="222222"/>
          <w:sz w:val="28"/>
          <w:szCs w:val="28"/>
          <w:shd w:val="clear" w:color="auto" w:fill="FFFFFF"/>
        </w:rPr>
        <w:t xml:space="preserve"> </w:t>
      </w:r>
      <w:r w:rsidR="00300E4E" w:rsidRPr="00300E4E">
        <w:rPr>
          <w:i/>
          <w:iCs/>
          <w:sz w:val="28"/>
          <w:szCs w:val="28"/>
          <w:shd w:val="clear" w:color="auto" w:fill="FFFFFF"/>
        </w:rPr>
        <w:t>Id</w:t>
      </w:r>
      <w:r w:rsidR="00300E4E" w:rsidRPr="00300E4E">
        <w:rPr>
          <w:sz w:val="28"/>
          <w:szCs w:val="28"/>
          <w:shd w:val="clear" w:color="auto" w:fill="FFFFFF"/>
        </w:rPr>
        <w:t>. at 73</w:t>
      </w:r>
      <w:r w:rsidR="00300E4E">
        <w:rPr>
          <w:sz w:val="28"/>
          <w:szCs w:val="28"/>
          <w:shd w:val="clear" w:color="auto" w:fill="FFFFFF"/>
        </w:rPr>
        <w:t>6</w:t>
      </w:r>
      <w:r w:rsidR="00300E4E" w:rsidRPr="00300E4E">
        <w:rPr>
          <w:sz w:val="28"/>
          <w:szCs w:val="28"/>
          <w:shd w:val="clear" w:color="auto" w:fill="FFFFFF"/>
        </w:rPr>
        <w:t>.</w:t>
      </w:r>
      <w:r>
        <w:rPr>
          <w:color w:val="222222"/>
          <w:sz w:val="28"/>
          <w:szCs w:val="28"/>
          <w:shd w:val="clear" w:color="auto" w:fill="FFFFFF"/>
        </w:rPr>
        <w:t xml:space="preserve"> </w:t>
      </w:r>
      <w:r w:rsidR="00F95FF1">
        <w:rPr>
          <w:color w:val="222222"/>
          <w:sz w:val="28"/>
          <w:szCs w:val="28"/>
          <w:shd w:val="clear" w:color="auto" w:fill="FFFFFF"/>
        </w:rPr>
        <w:t xml:space="preserve">But </w:t>
      </w:r>
      <w:r w:rsidR="0047061E">
        <w:rPr>
          <w:color w:val="222222"/>
          <w:sz w:val="28"/>
          <w:szCs w:val="28"/>
          <w:shd w:val="clear" w:color="auto" w:fill="FFFFFF"/>
        </w:rPr>
        <w:t xml:space="preserve">the statute does limit service of the summons to one of three </w:t>
      </w:r>
      <w:r w:rsidR="0047061E" w:rsidRPr="003709CA">
        <w:rPr>
          <w:color w:val="222222"/>
          <w:sz w:val="28"/>
          <w:szCs w:val="28"/>
          <w:u w:val="single"/>
          <w:shd w:val="clear" w:color="auto" w:fill="FFFFFF"/>
        </w:rPr>
        <w:t>physical</w:t>
      </w:r>
      <w:r w:rsidR="0047061E">
        <w:rPr>
          <w:color w:val="222222"/>
          <w:sz w:val="28"/>
          <w:szCs w:val="28"/>
          <w:shd w:val="clear" w:color="auto" w:fill="FFFFFF"/>
        </w:rPr>
        <w:t xml:space="preserve"> acts: g</w:t>
      </w:r>
      <w:r w:rsidR="00300E4E">
        <w:rPr>
          <w:color w:val="222222"/>
          <w:sz w:val="28"/>
          <w:szCs w:val="28"/>
          <w:shd w:val="clear" w:color="auto" w:fill="FFFFFF"/>
        </w:rPr>
        <w:t xml:space="preserve">iving it to the defendant (personal service, part [a]); giving </w:t>
      </w:r>
      <w:r w:rsidR="003709CA">
        <w:rPr>
          <w:color w:val="222222"/>
          <w:sz w:val="28"/>
          <w:szCs w:val="28"/>
          <w:shd w:val="clear" w:color="auto" w:fill="FFFFFF"/>
        </w:rPr>
        <w:t xml:space="preserve">it </w:t>
      </w:r>
      <w:r w:rsidR="00300E4E">
        <w:rPr>
          <w:color w:val="222222"/>
          <w:sz w:val="28"/>
          <w:szCs w:val="28"/>
          <w:shd w:val="clear" w:color="auto" w:fill="FFFFFF"/>
        </w:rPr>
        <w:t>to a co-resident of the defendant (</w:t>
      </w:r>
      <w:r w:rsidR="00BA2D50">
        <w:rPr>
          <w:color w:val="222222"/>
          <w:sz w:val="28"/>
          <w:szCs w:val="28"/>
          <w:shd w:val="clear" w:color="auto" w:fill="FFFFFF"/>
        </w:rPr>
        <w:t>substitute</w:t>
      </w:r>
      <w:r w:rsidR="00300E4E">
        <w:rPr>
          <w:color w:val="222222"/>
          <w:sz w:val="28"/>
          <w:szCs w:val="28"/>
          <w:shd w:val="clear" w:color="auto" w:fill="FFFFFF"/>
        </w:rPr>
        <w:t xml:space="preserve"> service,</w:t>
      </w:r>
      <w:r w:rsidR="00BA2D50">
        <w:rPr>
          <w:color w:val="222222"/>
          <w:sz w:val="28"/>
          <w:szCs w:val="28"/>
          <w:shd w:val="clear" w:color="auto" w:fill="FFFFFF"/>
        </w:rPr>
        <w:t xml:space="preserve"> part </w:t>
      </w:r>
      <w:r w:rsidR="00300E4E">
        <w:rPr>
          <w:color w:val="222222"/>
          <w:sz w:val="28"/>
          <w:szCs w:val="28"/>
          <w:shd w:val="clear" w:color="auto" w:fill="FFFFFF"/>
        </w:rPr>
        <w:t>[b]</w:t>
      </w:r>
      <w:r w:rsidR="00B6269E">
        <w:rPr>
          <w:color w:val="222222"/>
          <w:sz w:val="28"/>
          <w:szCs w:val="28"/>
          <w:shd w:val="clear" w:color="auto" w:fill="FFFFFF"/>
        </w:rPr>
        <w:t>)</w:t>
      </w:r>
      <w:r w:rsidR="00300E4E">
        <w:rPr>
          <w:color w:val="222222"/>
          <w:sz w:val="28"/>
          <w:szCs w:val="28"/>
          <w:shd w:val="clear" w:color="auto" w:fill="FFFFFF"/>
        </w:rPr>
        <w:t xml:space="preserve">; </w:t>
      </w:r>
      <w:r w:rsidR="00BA2D50">
        <w:rPr>
          <w:color w:val="222222"/>
          <w:sz w:val="28"/>
          <w:szCs w:val="28"/>
          <w:shd w:val="clear" w:color="auto" w:fill="FFFFFF"/>
        </w:rPr>
        <w:t xml:space="preserve">or posting </w:t>
      </w:r>
      <w:r w:rsidR="00300E4E">
        <w:rPr>
          <w:color w:val="222222"/>
          <w:sz w:val="28"/>
          <w:szCs w:val="28"/>
          <w:shd w:val="clear" w:color="auto" w:fill="FFFFFF"/>
        </w:rPr>
        <w:t>it (p</w:t>
      </w:r>
      <w:r w:rsidR="00BA2D50">
        <w:rPr>
          <w:color w:val="222222"/>
          <w:sz w:val="28"/>
          <w:szCs w:val="28"/>
          <w:shd w:val="clear" w:color="auto" w:fill="FFFFFF"/>
        </w:rPr>
        <w:t xml:space="preserve">arts </w:t>
      </w:r>
      <w:r w:rsidR="00300E4E">
        <w:rPr>
          <w:color w:val="222222"/>
          <w:sz w:val="28"/>
          <w:szCs w:val="28"/>
          <w:shd w:val="clear" w:color="auto" w:fill="FFFFFF"/>
        </w:rPr>
        <w:t>[c]-[d]).</w:t>
      </w:r>
      <w:r w:rsidR="0047061E">
        <w:rPr>
          <w:color w:val="222222"/>
          <w:sz w:val="28"/>
          <w:szCs w:val="28"/>
          <w:shd w:val="clear" w:color="auto" w:fill="FFFFFF"/>
        </w:rPr>
        <w:t xml:space="preserve"> </w:t>
      </w:r>
      <w:r w:rsidR="007D7BFA">
        <w:rPr>
          <w:color w:val="222222"/>
          <w:sz w:val="28"/>
          <w:szCs w:val="28"/>
          <w:shd w:val="clear" w:color="auto" w:fill="FFFFFF"/>
        </w:rPr>
        <w:t xml:space="preserve">Other physical acts – </w:t>
      </w:r>
      <w:r w:rsidR="00065344">
        <w:rPr>
          <w:color w:val="222222"/>
          <w:sz w:val="28"/>
          <w:szCs w:val="28"/>
          <w:shd w:val="clear" w:color="auto" w:fill="FFFFFF"/>
        </w:rPr>
        <w:t>e.g.,</w:t>
      </w:r>
      <w:r w:rsidR="007D7BFA">
        <w:rPr>
          <w:color w:val="222222"/>
          <w:sz w:val="28"/>
          <w:szCs w:val="28"/>
          <w:shd w:val="clear" w:color="auto" w:fill="FFFFFF"/>
        </w:rPr>
        <w:t xml:space="preserve"> mailing the summons by </w:t>
      </w:r>
      <w:r w:rsidR="000519D7">
        <w:rPr>
          <w:color w:val="222222"/>
          <w:sz w:val="28"/>
          <w:szCs w:val="28"/>
          <w:shd w:val="clear" w:color="auto" w:fill="FFFFFF"/>
        </w:rPr>
        <w:t>Certified</w:t>
      </w:r>
      <w:r w:rsidR="007D7BFA">
        <w:rPr>
          <w:color w:val="222222"/>
          <w:sz w:val="28"/>
          <w:szCs w:val="28"/>
          <w:shd w:val="clear" w:color="auto" w:fill="FFFFFF"/>
        </w:rPr>
        <w:t xml:space="preserve"> Mail</w:t>
      </w:r>
      <w:r w:rsidR="0047061E">
        <w:rPr>
          <w:rStyle w:val="FootnoteReference"/>
          <w:color w:val="222222"/>
          <w:sz w:val="28"/>
          <w:szCs w:val="28"/>
          <w:shd w:val="clear" w:color="auto" w:fill="FFFFFF"/>
        </w:rPr>
        <w:footnoteReference w:id="3"/>
      </w:r>
      <w:r w:rsidR="007D7BFA">
        <w:rPr>
          <w:color w:val="222222"/>
          <w:sz w:val="28"/>
          <w:szCs w:val="28"/>
          <w:shd w:val="clear" w:color="auto" w:fill="FFFFFF"/>
        </w:rPr>
        <w:t xml:space="preserve"> – might be good ideas but aren’t allowed by section 504B.331.</w:t>
      </w:r>
    </w:p>
    <w:p w14:paraId="361E2DEF" w14:textId="77777777" w:rsidR="007D7BFA" w:rsidRDefault="007D7BFA" w:rsidP="0059666A">
      <w:pPr>
        <w:pStyle w:val="ListParagraph"/>
        <w:shd w:val="clear" w:color="auto" w:fill="FFFFFF"/>
        <w:ind w:left="0"/>
        <w:rPr>
          <w:color w:val="222222"/>
          <w:sz w:val="28"/>
          <w:szCs w:val="28"/>
          <w:shd w:val="clear" w:color="auto" w:fill="FFFFFF"/>
        </w:rPr>
      </w:pPr>
    </w:p>
    <w:p w14:paraId="56FEA883" w14:textId="5E959918" w:rsidR="00D6066C" w:rsidRDefault="00D6066C" w:rsidP="0059666A">
      <w:pPr>
        <w:pStyle w:val="ListParagraph"/>
        <w:shd w:val="clear" w:color="auto" w:fill="FFFFFF"/>
        <w:ind w:left="0"/>
        <w:rPr>
          <w:color w:val="222222"/>
          <w:sz w:val="28"/>
          <w:szCs w:val="28"/>
          <w:shd w:val="clear" w:color="auto" w:fill="FFFFFF"/>
        </w:rPr>
      </w:pPr>
      <w:r>
        <w:rPr>
          <w:color w:val="222222"/>
          <w:sz w:val="28"/>
          <w:szCs w:val="28"/>
          <w:shd w:val="clear" w:color="auto" w:fill="FFFFFF"/>
        </w:rPr>
        <w:t xml:space="preserve">The </w:t>
      </w:r>
      <w:r w:rsidR="007D7BFA">
        <w:rPr>
          <w:color w:val="222222"/>
          <w:sz w:val="28"/>
          <w:szCs w:val="28"/>
          <w:shd w:val="clear" w:color="auto" w:fill="FFFFFF"/>
        </w:rPr>
        <w:t>simplest way to see why the Court of Appeals is wrong is to consider the rule it did lay down</w:t>
      </w:r>
      <w:r w:rsidR="009C5ACC">
        <w:rPr>
          <w:color w:val="222222"/>
          <w:sz w:val="28"/>
          <w:szCs w:val="28"/>
          <w:shd w:val="clear" w:color="auto" w:fill="FFFFFF"/>
        </w:rPr>
        <w:t xml:space="preserve"> (quoted above)</w:t>
      </w:r>
      <w:r w:rsidR="007D7BFA">
        <w:rPr>
          <w:color w:val="222222"/>
          <w:sz w:val="28"/>
          <w:szCs w:val="28"/>
          <w:shd w:val="clear" w:color="auto" w:fill="FFFFFF"/>
        </w:rPr>
        <w:t xml:space="preserve">. According to its rule, the summons must be mailed at least 7 days before the initial hearing. Obviously, it makes sense that there is a </w:t>
      </w:r>
      <w:r w:rsidR="007D7BFA">
        <w:rPr>
          <w:color w:val="222222"/>
          <w:sz w:val="28"/>
          <w:szCs w:val="28"/>
          <w:shd w:val="clear" w:color="auto" w:fill="FFFFFF"/>
        </w:rPr>
        <w:lastRenderedPageBreak/>
        <w:t xml:space="preserve">deadline for mailing; if there </w:t>
      </w:r>
      <w:r w:rsidR="009C5ACC">
        <w:rPr>
          <w:color w:val="222222"/>
          <w:sz w:val="28"/>
          <w:szCs w:val="28"/>
          <w:shd w:val="clear" w:color="auto" w:fill="FFFFFF"/>
        </w:rPr>
        <w:t>were</w:t>
      </w:r>
      <w:r w:rsidR="007D7BFA">
        <w:rPr>
          <w:color w:val="222222"/>
          <w:sz w:val="28"/>
          <w:szCs w:val="28"/>
          <w:shd w:val="clear" w:color="auto" w:fill="FFFFFF"/>
        </w:rPr>
        <w:t xml:space="preserve"> none, the landlord could mail the summons</w:t>
      </w:r>
      <w:r>
        <w:rPr>
          <w:color w:val="222222"/>
          <w:sz w:val="28"/>
          <w:szCs w:val="28"/>
          <w:shd w:val="clear" w:color="auto" w:fill="FFFFFF"/>
        </w:rPr>
        <w:t xml:space="preserve"> one minute before</w:t>
      </w:r>
      <w:r w:rsidR="007D7BFA">
        <w:rPr>
          <w:color w:val="222222"/>
          <w:sz w:val="28"/>
          <w:szCs w:val="28"/>
          <w:shd w:val="clear" w:color="auto" w:fill="FFFFFF"/>
        </w:rPr>
        <w:t xml:space="preserve"> the hearing, doing the tenant no good. </w:t>
      </w:r>
    </w:p>
    <w:p w14:paraId="6EEF7299" w14:textId="77777777" w:rsidR="00D6066C" w:rsidRDefault="00D6066C" w:rsidP="0059666A">
      <w:pPr>
        <w:pStyle w:val="ListParagraph"/>
        <w:shd w:val="clear" w:color="auto" w:fill="FFFFFF"/>
        <w:ind w:left="0"/>
        <w:rPr>
          <w:color w:val="222222"/>
          <w:sz w:val="28"/>
          <w:szCs w:val="28"/>
          <w:shd w:val="clear" w:color="auto" w:fill="FFFFFF"/>
        </w:rPr>
      </w:pPr>
    </w:p>
    <w:p w14:paraId="0A32B5B6" w14:textId="0848C8CB" w:rsidR="00586487" w:rsidRDefault="007D7BFA" w:rsidP="0059666A">
      <w:pPr>
        <w:pStyle w:val="ListParagraph"/>
        <w:shd w:val="clear" w:color="auto" w:fill="FFFFFF"/>
        <w:ind w:left="0"/>
        <w:rPr>
          <w:color w:val="000000"/>
          <w:sz w:val="28"/>
          <w:szCs w:val="28"/>
        </w:rPr>
      </w:pPr>
      <w:r>
        <w:rPr>
          <w:color w:val="222222"/>
          <w:sz w:val="28"/>
          <w:szCs w:val="28"/>
          <w:shd w:val="clear" w:color="auto" w:fill="FFFFFF"/>
        </w:rPr>
        <w:t>However, the statute does not say – at least directly – when to mail the summons. In part (d)</w:t>
      </w:r>
      <w:r w:rsidR="009C5ACC">
        <w:rPr>
          <w:color w:val="222222"/>
          <w:sz w:val="28"/>
          <w:szCs w:val="28"/>
          <w:shd w:val="clear" w:color="auto" w:fill="FFFFFF"/>
        </w:rPr>
        <w:t xml:space="preserve"> of section 504B.331</w:t>
      </w:r>
      <w:r>
        <w:rPr>
          <w:color w:val="222222"/>
          <w:sz w:val="28"/>
          <w:szCs w:val="28"/>
          <w:shd w:val="clear" w:color="auto" w:fill="FFFFFF"/>
        </w:rPr>
        <w:t xml:space="preserve"> </w:t>
      </w:r>
      <w:r w:rsidRPr="007D7BFA">
        <w:rPr>
          <w:color w:val="222222"/>
          <w:sz w:val="28"/>
          <w:szCs w:val="28"/>
          <w:u w:val="single"/>
          <w:shd w:val="clear" w:color="auto" w:fill="FFFFFF"/>
        </w:rPr>
        <w:t xml:space="preserve">the </w:t>
      </w:r>
      <w:r w:rsidRPr="00D6066C">
        <w:rPr>
          <w:b/>
          <w:bCs/>
          <w:color w:val="222222"/>
          <w:sz w:val="28"/>
          <w:szCs w:val="28"/>
          <w:u w:val="single"/>
          <w:shd w:val="clear" w:color="auto" w:fill="FFFFFF"/>
        </w:rPr>
        <w:t>only</w:t>
      </w:r>
      <w:r w:rsidRPr="007D7BFA">
        <w:rPr>
          <w:color w:val="222222"/>
          <w:sz w:val="28"/>
          <w:szCs w:val="28"/>
          <w:u w:val="single"/>
          <w:shd w:val="clear" w:color="auto" w:fill="FFFFFF"/>
        </w:rPr>
        <w:t xml:space="preserve"> </w:t>
      </w:r>
      <w:r>
        <w:rPr>
          <w:color w:val="222222"/>
          <w:sz w:val="28"/>
          <w:szCs w:val="28"/>
          <w:u w:val="single"/>
          <w:shd w:val="clear" w:color="auto" w:fill="FFFFFF"/>
        </w:rPr>
        <w:t>stated deadline</w:t>
      </w:r>
      <w:r w:rsidRPr="007D7BFA">
        <w:rPr>
          <w:color w:val="222222"/>
          <w:sz w:val="28"/>
          <w:szCs w:val="28"/>
          <w:shd w:val="clear" w:color="auto" w:fill="FFFFFF"/>
        </w:rPr>
        <w:t xml:space="preserve"> is that the summons must be </w:t>
      </w:r>
      <w:r w:rsidR="00D6066C">
        <w:rPr>
          <w:color w:val="222222"/>
          <w:sz w:val="28"/>
          <w:szCs w:val="28"/>
          <w:shd w:val="clear" w:color="auto" w:fill="FFFFFF"/>
        </w:rPr>
        <w:t>posted</w:t>
      </w:r>
      <w:r w:rsidRPr="007D7BFA">
        <w:rPr>
          <w:color w:val="222222"/>
          <w:sz w:val="28"/>
          <w:szCs w:val="28"/>
          <w:shd w:val="clear" w:color="auto" w:fill="FFFFFF"/>
        </w:rPr>
        <w:t xml:space="preserve"> at least 7 days prior to the hearing</w:t>
      </w:r>
      <w:r>
        <w:rPr>
          <w:color w:val="222222"/>
          <w:sz w:val="28"/>
          <w:szCs w:val="28"/>
          <w:u w:val="single"/>
          <w:shd w:val="clear" w:color="auto" w:fill="FFFFFF"/>
        </w:rPr>
        <w:t>.</w:t>
      </w:r>
      <w:r w:rsidRPr="007D7BFA">
        <w:rPr>
          <w:color w:val="222222"/>
          <w:sz w:val="28"/>
          <w:szCs w:val="28"/>
          <w:shd w:val="clear" w:color="auto" w:fill="FFFFFF"/>
        </w:rPr>
        <w:t xml:space="preserve"> </w:t>
      </w:r>
      <w:r w:rsidR="00D6066C">
        <w:rPr>
          <w:color w:val="222222"/>
          <w:sz w:val="28"/>
          <w:szCs w:val="28"/>
          <w:shd w:val="clear" w:color="auto" w:fill="FFFFFF"/>
        </w:rPr>
        <w:t xml:space="preserve">How does one figure out the deadline for mailing? </w:t>
      </w:r>
      <w:r w:rsidR="00586487">
        <w:rPr>
          <w:color w:val="222222"/>
          <w:sz w:val="28"/>
          <w:szCs w:val="28"/>
          <w:shd w:val="clear" w:color="auto" w:fill="FFFFFF"/>
        </w:rPr>
        <w:t>The</w:t>
      </w:r>
      <w:r w:rsidR="00D6066C">
        <w:rPr>
          <w:color w:val="222222"/>
          <w:sz w:val="28"/>
          <w:szCs w:val="28"/>
          <w:shd w:val="clear" w:color="auto" w:fill="FFFFFF"/>
        </w:rPr>
        <w:t xml:space="preserve"> answer is that</w:t>
      </w:r>
      <w:r w:rsidR="00586487">
        <w:rPr>
          <w:color w:val="222222"/>
          <w:sz w:val="28"/>
          <w:szCs w:val="28"/>
          <w:shd w:val="clear" w:color="auto" w:fill="FFFFFF"/>
        </w:rPr>
        <w:t xml:space="preserve"> </w:t>
      </w:r>
      <w:r w:rsidR="00D6066C">
        <w:rPr>
          <w:color w:val="222222"/>
          <w:sz w:val="28"/>
          <w:szCs w:val="28"/>
          <w:shd w:val="clear" w:color="auto" w:fill="FFFFFF"/>
        </w:rPr>
        <w:t>post</w:t>
      </w:r>
      <w:r w:rsidR="00586487">
        <w:rPr>
          <w:color w:val="222222"/>
          <w:sz w:val="28"/>
          <w:szCs w:val="28"/>
          <w:shd w:val="clear" w:color="auto" w:fill="FFFFFF"/>
        </w:rPr>
        <w:t>ing may occur if “</w:t>
      </w:r>
      <w:r w:rsidR="00586487" w:rsidRPr="000F7D52">
        <w:rPr>
          <w:color w:val="000000"/>
          <w:sz w:val="28"/>
          <w:szCs w:val="28"/>
        </w:rPr>
        <w:t>the plaintiff or the plaintiff's attorney has signed and filed with the court an affidavit</w:t>
      </w:r>
      <w:r w:rsidR="00586487">
        <w:rPr>
          <w:color w:val="000000"/>
          <w:sz w:val="28"/>
          <w:szCs w:val="28"/>
        </w:rPr>
        <w:t xml:space="preserve"> [of</w:t>
      </w:r>
      <w:r w:rsidR="003709CA">
        <w:rPr>
          <w:color w:val="000000"/>
          <w:sz w:val="28"/>
          <w:szCs w:val="28"/>
        </w:rPr>
        <w:t xml:space="preserve"> not found &amp;</w:t>
      </w:r>
      <w:r w:rsidR="00586487">
        <w:rPr>
          <w:color w:val="000000"/>
          <w:sz w:val="28"/>
          <w:szCs w:val="28"/>
        </w:rPr>
        <w:t xml:space="preserve"> mailing].” </w:t>
      </w:r>
    </w:p>
    <w:p w14:paraId="62F67790" w14:textId="77777777" w:rsidR="00586487" w:rsidRDefault="00586487" w:rsidP="0059666A">
      <w:pPr>
        <w:pStyle w:val="ListParagraph"/>
        <w:shd w:val="clear" w:color="auto" w:fill="FFFFFF"/>
        <w:ind w:left="0"/>
        <w:rPr>
          <w:color w:val="000000"/>
          <w:sz w:val="28"/>
          <w:szCs w:val="28"/>
        </w:rPr>
      </w:pPr>
    </w:p>
    <w:p w14:paraId="0DEEB771" w14:textId="27453AC5" w:rsidR="007D7BFA" w:rsidRDefault="00D6066C" w:rsidP="0059666A">
      <w:pPr>
        <w:pStyle w:val="ListParagraph"/>
        <w:shd w:val="clear" w:color="auto" w:fill="FFFFFF"/>
        <w:ind w:left="0"/>
        <w:rPr>
          <w:color w:val="000000"/>
          <w:sz w:val="28"/>
          <w:szCs w:val="28"/>
        </w:rPr>
      </w:pPr>
      <w:r>
        <w:rPr>
          <w:color w:val="000000"/>
          <w:sz w:val="28"/>
          <w:szCs w:val="28"/>
        </w:rPr>
        <w:t>Therefore</w:t>
      </w:r>
      <w:r w:rsidR="00586487">
        <w:rPr>
          <w:color w:val="000000"/>
          <w:sz w:val="28"/>
          <w:szCs w:val="28"/>
        </w:rPr>
        <w:t xml:space="preserve">, the </w:t>
      </w:r>
      <w:r w:rsidR="00586487" w:rsidRPr="00586487">
        <w:rPr>
          <w:color w:val="000000"/>
          <w:sz w:val="28"/>
          <w:szCs w:val="28"/>
          <w:u w:val="single"/>
        </w:rPr>
        <w:t>only</w:t>
      </w:r>
      <w:r w:rsidR="00586487">
        <w:rPr>
          <w:color w:val="000000"/>
          <w:sz w:val="28"/>
          <w:szCs w:val="28"/>
        </w:rPr>
        <w:t xml:space="preserve"> way </w:t>
      </w:r>
      <w:r>
        <w:rPr>
          <w:color w:val="000000"/>
          <w:sz w:val="28"/>
          <w:szCs w:val="28"/>
        </w:rPr>
        <w:t>part (d) of section 504B.331</w:t>
      </w:r>
      <w:r w:rsidR="00586487">
        <w:rPr>
          <w:color w:val="000000"/>
          <w:sz w:val="28"/>
          <w:szCs w:val="28"/>
        </w:rPr>
        <w:t xml:space="preserve"> can be read in a way that creates a mailing deadline is if the affidavit, and thus the mailing, precedes the </w:t>
      </w:r>
      <w:r>
        <w:rPr>
          <w:color w:val="000000"/>
          <w:sz w:val="28"/>
          <w:szCs w:val="28"/>
        </w:rPr>
        <w:t>posting</w:t>
      </w:r>
      <w:r w:rsidR="00586487">
        <w:rPr>
          <w:color w:val="000000"/>
          <w:sz w:val="28"/>
          <w:szCs w:val="28"/>
        </w:rPr>
        <w:t xml:space="preserve">. If the statute were read to allow </w:t>
      </w:r>
      <w:r>
        <w:rPr>
          <w:color w:val="000000"/>
          <w:sz w:val="28"/>
          <w:szCs w:val="28"/>
        </w:rPr>
        <w:t xml:space="preserve">posting </w:t>
      </w:r>
      <w:r w:rsidR="00586487">
        <w:rPr>
          <w:color w:val="000000"/>
          <w:sz w:val="28"/>
          <w:szCs w:val="28"/>
        </w:rPr>
        <w:t>to precede mailing, then nothing stops the landlord from mailing any time he likes.</w:t>
      </w:r>
    </w:p>
    <w:p w14:paraId="1761580F" w14:textId="77777777" w:rsidR="00586487" w:rsidRDefault="00586487" w:rsidP="0059666A">
      <w:pPr>
        <w:pStyle w:val="ListParagraph"/>
        <w:shd w:val="clear" w:color="auto" w:fill="FFFFFF"/>
        <w:ind w:left="0"/>
        <w:rPr>
          <w:color w:val="000000"/>
          <w:sz w:val="28"/>
          <w:szCs w:val="28"/>
        </w:rPr>
      </w:pPr>
    </w:p>
    <w:p w14:paraId="0AD0622D" w14:textId="6B4BD4A2" w:rsidR="00586487" w:rsidRDefault="00586487" w:rsidP="0059666A">
      <w:pPr>
        <w:pStyle w:val="ListParagraph"/>
        <w:shd w:val="clear" w:color="auto" w:fill="FFFFFF"/>
        <w:ind w:left="0"/>
        <w:rPr>
          <w:color w:val="000000"/>
          <w:sz w:val="28"/>
          <w:szCs w:val="28"/>
        </w:rPr>
      </w:pPr>
      <w:r>
        <w:rPr>
          <w:color w:val="000000"/>
          <w:sz w:val="28"/>
          <w:szCs w:val="28"/>
        </w:rPr>
        <w:t xml:space="preserve">Could the legislature have enacted a statute like the one the Court of Appeals claims it did? Yes. A statute that allowed the landlord to pick the order of mailing, </w:t>
      </w:r>
      <w:r w:rsidR="00D6066C">
        <w:rPr>
          <w:color w:val="000000"/>
          <w:sz w:val="28"/>
          <w:szCs w:val="28"/>
        </w:rPr>
        <w:t>posting</w:t>
      </w:r>
      <w:r>
        <w:rPr>
          <w:color w:val="000000"/>
          <w:sz w:val="28"/>
          <w:szCs w:val="28"/>
        </w:rPr>
        <w:t>, and the two attempts at personal service</w:t>
      </w:r>
      <w:r w:rsidR="00654CB8">
        <w:rPr>
          <w:color w:val="000000"/>
          <w:sz w:val="28"/>
          <w:szCs w:val="28"/>
        </w:rPr>
        <w:t>, and to require they all be completed</w:t>
      </w:r>
      <w:r>
        <w:rPr>
          <w:color w:val="000000"/>
          <w:sz w:val="28"/>
          <w:szCs w:val="28"/>
        </w:rPr>
        <w:t xml:space="preserve"> at least </w:t>
      </w:r>
      <w:r w:rsidR="001C5476">
        <w:rPr>
          <w:color w:val="000000"/>
          <w:sz w:val="28"/>
          <w:szCs w:val="28"/>
        </w:rPr>
        <w:t>7</w:t>
      </w:r>
      <w:r>
        <w:rPr>
          <w:color w:val="000000"/>
          <w:sz w:val="28"/>
          <w:szCs w:val="28"/>
        </w:rPr>
        <w:t xml:space="preserve"> days prior to the initial hearing would be a sane statute. Perhaps some states have a statute like that. However, that is not what the legislature enacted</w:t>
      </w:r>
      <w:r w:rsidR="00654CB8">
        <w:rPr>
          <w:color w:val="000000"/>
          <w:sz w:val="28"/>
          <w:szCs w:val="28"/>
        </w:rPr>
        <w:t xml:space="preserve">. It enacted a statute with a particular order, one focused on </w:t>
      </w:r>
      <w:r w:rsidR="00D6066C">
        <w:rPr>
          <w:color w:val="000000"/>
          <w:sz w:val="28"/>
          <w:szCs w:val="28"/>
        </w:rPr>
        <w:t>posting</w:t>
      </w:r>
      <w:r w:rsidR="00654CB8">
        <w:rPr>
          <w:color w:val="000000"/>
          <w:sz w:val="28"/>
          <w:szCs w:val="28"/>
        </w:rPr>
        <w:t xml:space="preserve"> as the actual service and limiting </w:t>
      </w:r>
      <w:r w:rsidR="00D6066C">
        <w:rPr>
          <w:color w:val="000000"/>
          <w:sz w:val="28"/>
          <w:szCs w:val="28"/>
        </w:rPr>
        <w:t xml:space="preserve">posting </w:t>
      </w:r>
      <w:r w:rsidR="00654CB8">
        <w:rPr>
          <w:color w:val="000000"/>
          <w:sz w:val="28"/>
          <w:szCs w:val="28"/>
        </w:rPr>
        <w:t>to a time after mailing and filing a certain affidavit. U</w:t>
      </w:r>
      <w:r>
        <w:rPr>
          <w:color w:val="000000"/>
          <w:sz w:val="28"/>
          <w:szCs w:val="28"/>
        </w:rPr>
        <w:t xml:space="preserve">nder </w:t>
      </w:r>
      <w:r w:rsidRPr="00586487">
        <w:rPr>
          <w:i/>
          <w:iCs/>
          <w:color w:val="000000"/>
          <w:sz w:val="28"/>
          <w:szCs w:val="28"/>
        </w:rPr>
        <w:t>Koski</w:t>
      </w:r>
      <w:r>
        <w:rPr>
          <w:color w:val="000000"/>
          <w:sz w:val="28"/>
          <w:szCs w:val="28"/>
        </w:rPr>
        <w:t xml:space="preserve">, what </w:t>
      </w:r>
      <w:r w:rsidR="00654CB8">
        <w:rPr>
          <w:color w:val="000000"/>
          <w:sz w:val="28"/>
          <w:szCs w:val="28"/>
        </w:rPr>
        <w:t>the legislature actually enacted</w:t>
      </w:r>
      <w:r>
        <w:rPr>
          <w:color w:val="000000"/>
          <w:sz w:val="28"/>
          <w:szCs w:val="28"/>
        </w:rPr>
        <w:t xml:space="preserve"> must be strictly followed.</w:t>
      </w:r>
    </w:p>
    <w:p w14:paraId="49152EFC" w14:textId="77777777" w:rsidR="00133780" w:rsidRDefault="00133780" w:rsidP="0059666A">
      <w:pPr>
        <w:pStyle w:val="ListParagraph"/>
        <w:shd w:val="clear" w:color="auto" w:fill="FFFFFF"/>
        <w:ind w:left="0"/>
        <w:rPr>
          <w:color w:val="000000"/>
          <w:sz w:val="28"/>
          <w:szCs w:val="28"/>
        </w:rPr>
      </w:pPr>
    </w:p>
    <w:p w14:paraId="5497E354" w14:textId="35E64DED" w:rsidR="00133780" w:rsidRPr="00281C0F" w:rsidRDefault="00DD5C6B" w:rsidP="0059666A">
      <w:pPr>
        <w:pStyle w:val="ListParagraph"/>
        <w:shd w:val="clear" w:color="auto" w:fill="FFFFFF"/>
        <w:ind w:left="0"/>
        <w:rPr>
          <w:b/>
          <w:bCs/>
          <w:color w:val="000000"/>
          <w:sz w:val="28"/>
          <w:szCs w:val="28"/>
        </w:rPr>
      </w:pPr>
      <w:r>
        <w:rPr>
          <w:b/>
          <w:bCs/>
          <w:color w:val="000000"/>
          <w:sz w:val="28"/>
          <w:szCs w:val="28"/>
        </w:rPr>
        <w:t xml:space="preserve">III. </w:t>
      </w:r>
      <w:r w:rsidR="00133780" w:rsidRPr="00281C0F">
        <w:rPr>
          <w:b/>
          <w:bCs/>
          <w:color w:val="000000"/>
          <w:sz w:val="28"/>
          <w:szCs w:val="28"/>
        </w:rPr>
        <w:t>LEGISLATIVE HISTORY</w:t>
      </w:r>
      <w:r w:rsidR="002C5C23">
        <w:rPr>
          <w:b/>
          <w:bCs/>
          <w:color w:val="000000"/>
          <w:sz w:val="28"/>
          <w:szCs w:val="28"/>
        </w:rPr>
        <w:t>.</w:t>
      </w:r>
    </w:p>
    <w:p w14:paraId="6FBFA5C7" w14:textId="77777777" w:rsidR="00133780" w:rsidRDefault="00133780" w:rsidP="0059666A">
      <w:pPr>
        <w:pStyle w:val="ListParagraph"/>
        <w:shd w:val="clear" w:color="auto" w:fill="FFFFFF"/>
        <w:ind w:left="0"/>
        <w:rPr>
          <w:color w:val="000000"/>
          <w:sz w:val="28"/>
          <w:szCs w:val="28"/>
        </w:rPr>
      </w:pPr>
    </w:p>
    <w:p w14:paraId="160E46E1" w14:textId="622C1821" w:rsidR="00133780" w:rsidRDefault="00133780" w:rsidP="0059666A">
      <w:pPr>
        <w:pStyle w:val="ListParagraph"/>
        <w:shd w:val="clear" w:color="auto" w:fill="FFFFFF"/>
        <w:ind w:left="0"/>
        <w:rPr>
          <w:color w:val="000000"/>
          <w:sz w:val="28"/>
          <w:szCs w:val="28"/>
        </w:rPr>
      </w:pPr>
      <w:r>
        <w:rPr>
          <w:color w:val="000000"/>
          <w:sz w:val="28"/>
          <w:szCs w:val="28"/>
        </w:rPr>
        <w:t xml:space="preserve">The history of section 504B.331 </w:t>
      </w:r>
      <w:r w:rsidR="00350916">
        <w:rPr>
          <w:color w:val="000000"/>
          <w:sz w:val="28"/>
          <w:szCs w:val="28"/>
        </w:rPr>
        <w:t>confirms that it requires filing the affidavit of not found &amp; mailing before posting</w:t>
      </w:r>
      <w:r w:rsidR="004C6110">
        <w:rPr>
          <w:color w:val="000000"/>
          <w:sz w:val="28"/>
          <w:szCs w:val="28"/>
        </w:rPr>
        <w:t xml:space="preserve"> the summons</w:t>
      </w:r>
      <w:r>
        <w:rPr>
          <w:color w:val="000000"/>
          <w:sz w:val="28"/>
          <w:szCs w:val="28"/>
        </w:rPr>
        <w:t>.</w:t>
      </w:r>
    </w:p>
    <w:p w14:paraId="59BA3FFE" w14:textId="77777777" w:rsidR="00124F65" w:rsidRDefault="00124F65" w:rsidP="0059666A">
      <w:pPr>
        <w:pStyle w:val="ListParagraph"/>
        <w:shd w:val="clear" w:color="auto" w:fill="FFFFFF"/>
        <w:ind w:left="0"/>
        <w:rPr>
          <w:color w:val="000000"/>
          <w:sz w:val="28"/>
          <w:szCs w:val="28"/>
        </w:rPr>
      </w:pPr>
    </w:p>
    <w:p w14:paraId="01AE5054" w14:textId="116CEFF7" w:rsidR="00124F65" w:rsidRPr="00124F65" w:rsidRDefault="00124F65" w:rsidP="00124F65">
      <w:pPr>
        <w:pStyle w:val="ListParagraph"/>
        <w:shd w:val="clear" w:color="auto" w:fill="FFFFFF"/>
        <w:rPr>
          <w:color w:val="000000"/>
          <w:sz w:val="28"/>
          <w:szCs w:val="28"/>
          <w:u w:val="single"/>
        </w:rPr>
      </w:pPr>
      <w:r w:rsidRPr="00124F65">
        <w:rPr>
          <w:color w:val="000000"/>
          <w:sz w:val="28"/>
          <w:szCs w:val="28"/>
          <w:u w:val="single"/>
        </w:rPr>
        <w:t>Versions of the posting part of Minn. Stat. §504B.331</w:t>
      </w:r>
    </w:p>
    <w:p w14:paraId="4BE3C6EC" w14:textId="77777777" w:rsidR="00124F65" w:rsidRDefault="00124F65" w:rsidP="0059666A">
      <w:pPr>
        <w:pStyle w:val="ListParagraph"/>
        <w:shd w:val="clear" w:color="auto" w:fill="FFFFFF"/>
        <w:ind w:left="0"/>
        <w:rPr>
          <w:color w:val="000000"/>
          <w:sz w:val="28"/>
          <w:szCs w:val="28"/>
        </w:rPr>
      </w:pPr>
    </w:p>
    <w:p w14:paraId="29DBD431" w14:textId="39BD0557" w:rsidR="00133780" w:rsidRPr="004C6110" w:rsidRDefault="00000000" w:rsidP="0059666A">
      <w:pPr>
        <w:pStyle w:val="ListParagraph"/>
        <w:shd w:val="clear" w:color="auto" w:fill="FFFFFF"/>
        <w:ind w:left="0"/>
        <w:rPr>
          <w:color w:val="FF0000"/>
          <w:sz w:val="28"/>
          <w:szCs w:val="28"/>
        </w:rPr>
      </w:pPr>
      <w:hyperlink r:id="rId10" w:history="1">
        <w:r w:rsidR="00295A69" w:rsidRPr="007218EA">
          <w:rPr>
            <w:rStyle w:val="Hyperlink"/>
            <w:sz w:val="28"/>
            <w:szCs w:val="28"/>
          </w:rPr>
          <w:t>Appendix 1</w:t>
        </w:r>
      </w:hyperlink>
      <w:r w:rsidR="00295A69" w:rsidRPr="003709CA">
        <w:rPr>
          <w:color w:val="FF0000"/>
          <w:sz w:val="28"/>
          <w:szCs w:val="28"/>
        </w:rPr>
        <w:t xml:space="preserve"> </w:t>
      </w:r>
      <w:r w:rsidR="00133780">
        <w:rPr>
          <w:color w:val="000000"/>
          <w:sz w:val="28"/>
          <w:szCs w:val="28"/>
        </w:rPr>
        <w:t xml:space="preserve">shows every version of the eviction-action-service-of-process statutes from Territorial days through </w:t>
      </w:r>
      <w:r w:rsidR="00117AC1">
        <w:rPr>
          <w:color w:val="000000"/>
          <w:sz w:val="28"/>
          <w:szCs w:val="28"/>
        </w:rPr>
        <w:t>today</w:t>
      </w:r>
      <w:r w:rsidR="00133780">
        <w:rPr>
          <w:color w:val="000000"/>
          <w:sz w:val="28"/>
          <w:szCs w:val="28"/>
        </w:rPr>
        <w:t xml:space="preserve">. Starting with the Territorial statutes and through the first fifty years of statehood, eviction-action summons could be served only via personal service or substitute service. </w:t>
      </w:r>
    </w:p>
    <w:p w14:paraId="763314BE" w14:textId="77777777" w:rsidR="00DF5CB0" w:rsidRDefault="00DF5CB0" w:rsidP="0059666A">
      <w:pPr>
        <w:pStyle w:val="ListParagraph"/>
        <w:shd w:val="clear" w:color="auto" w:fill="FFFFFF"/>
        <w:ind w:left="0"/>
        <w:rPr>
          <w:color w:val="000000"/>
          <w:sz w:val="28"/>
          <w:szCs w:val="28"/>
        </w:rPr>
      </w:pPr>
    </w:p>
    <w:p w14:paraId="1228FE2B" w14:textId="5A4CBBF2" w:rsidR="00DF5CB0" w:rsidRDefault="00DF5CB0" w:rsidP="0059666A">
      <w:pPr>
        <w:pStyle w:val="ListParagraph"/>
        <w:shd w:val="clear" w:color="auto" w:fill="FFFFFF"/>
        <w:ind w:left="0"/>
        <w:rPr>
          <w:color w:val="000000"/>
          <w:sz w:val="28"/>
          <w:szCs w:val="28"/>
        </w:rPr>
      </w:pPr>
      <w:r>
        <w:rPr>
          <w:color w:val="000000"/>
          <w:sz w:val="28"/>
          <w:szCs w:val="28"/>
        </w:rPr>
        <w:t>The</w:t>
      </w:r>
      <w:r w:rsidR="003709CA">
        <w:rPr>
          <w:color w:val="000000"/>
          <w:sz w:val="28"/>
          <w:szCs w:val="28"/>
        </w:rPr>
        <w:t>n the</w:t>
      </w:r>
      <w:r>
        <w:rPr>
          <w:color w:val="000000"/>
          <w:sz w:val="28"/>
          <w:szCs w:val="28"/>
        </w:rPr>
        <w:t xml:space="preserve"> 1909 </w:t>
      </w:r>
      <w:r w:rsidR="0041533B">
        <w:rPr>
          <w:color w:val="000000"/>
          <w:sz w:val="28"/>
          <w:szCs w:val="28"/>
        </w:rPr>
        <w:t xml:space="preserve">legislature enacted </w:t>
      </w:r>
      <w:r>
        <w:rPr>
          <w:color w:val="000000"/>
          <w:sz w:val="28"/>
          <w:szCs w:val="28"/>
        </w:rPr>
        <w:t>1909 Minn. Laws ch. 496, s. 1</w:t>
      </w:r>
      <w:r w:rsidR="00D67A0D">
        <w:rPr>
          <w:color w:val="000000"/>
          <w:sz w:val="28"/>
          <w:szCs w:val="28"/>
        </w:rPr>
        <w:t>, which</w:t>
      </w:r>
      <w:r w:rsidR="00124F65">
        <w:rPr>
          <w:color w:val="000000"/>
          <w:sz w:val="28"/>
          <w:szCs w:val="28"/>
        </w:rPr>
        <w:t xml:space="preserve"> allowed an eviction-action summons to be </w:t>
      </w:r>
      <w:r w:rsidR="00117AC1">
        <w:rPr>
          <w:color w:val="000000"/>
          <w:sz w:val="28"/>
          <w:szCs w:val="28"/>
        </w:rPr>
        <w:t>served</w:t>
      </w:r>
      <w:r w:rsidR="00124F65">
        <w:rPr>
          <w:color w:val="000000"/>
          <w:sz w:val="28"/>
          <w:szCs w:val="28"/>
        </w:rPr>
        <w:t xml:space="preserve"> by publication plus posting. It</w:t>
      </w:r>
      <w:r w:rsidR="00D67A0D">
        <w:rPr>
          <w:color w:val="000000"/>
          <w:sz w:val="28"/>
          <w:szCs w:val="28"/>
        </w:rPr>
        <w:t xml:space="preserve"> read:</w:t>
      </w:r>
    </w:p>
    <w:p w14:paraId="7DB6DB59" w14:textId="77777777" w:rsidR="00C3396E" w:rsidRDefault="00C3396E" w:rsidP="0059666A">
      <w:pPr>
        <w:pStyle w:val="ListParagraph"/>
        <w:shd w:val="clear" w:color="auto" w:fill="FFFFFF"/>
        <w:ind w:left="0"/>
        <w:rPr>
          <w:color w:val="000000"/>
          <w:sz w:val="28"/>
          <w:szCs w:val="28"/>
        </w:rPr>
      </w:pPr>
    </w:p>
    <w:p w14:paraId="70C1D8CC" w14:textId="6DA4EE81" w:rsidR="00D11D9E" w:rsidRPr="00D11D9E" w:rsidRDefault="00D11D9E" w:rsidP="00D11D9E">
      <w:pPr>
        <w:pStyle w:val="ListParagraph"/>
        <w:shd w:val="clear" w:color="auto" w:fill="FFFFFF"/>
        <w:rPr>
          <w:i/>
          <w:iCs/>
          <w:color w:val="000000"/>
          <w:sz w:val="28"/>
          <w:szCs w:val="28"/>
        </w:rPr>
      </w:pPr>
      <w:r>
        <w:rPr>
          <w:i/>
          <w:iCs/>
          <w:color w:val="000000"/>
          <w:sz w:val="28"/>
          <w:szCs w:val="28"/>
        </w:rPr>
        <w:lastRenderedPageBreak/>
        <w:t xml:space="preserve">    </w:t>
      </w:r>
      <w:r w:rsidR="00C3396E" w:rsidRPr="00D11D9E">
        <w:rPr>
          <w:i/>
          <w:iCs/>
          <w:color w:val="000000"/>
          <w:sz w:val="28"/>
          <w:szCs w:val="28"/>
        </w:rPr>
        <w:t>An act to amend sections 4041 … of the Revised Laws of Minnesota, 1905</w:t>
      </w:r>
      <w:r w:rsidRPr="00D11D9E">
        <w:rPr>
          <w:i/>
          <w:iCs/>
          <w:color w:val="000000"/>
          <w:sz w:val="28"/>
          <w:szCs w:val="28"/>
        </w:rPr>
        <w:t xml:space="preserve"> …</w:t>
      </w:r>
      <w:r>
        <w:rPr>
          <w:i/>
          <w:iCs/>
          <w:color w:val="000000"/>
          <w:sz w:val="28"/>
          <w:szCs w:val="28"/>
        </w:rPr>
        <w:t xml:space="preserve"> Be it enacted by the Legislature of the State of Minnesota:</w:t>
      </w:r>
    </w:p>
    <w:p w14:paraId="1E2EE509" w14:textId="77777777" w:rsidR="00D67A0D" w:rsidRDefault="00D67A0D" w:rsidP="0059666A">
      <w:pPr>
        <w:pStyle w:val="ListParagraph"/>
        <w:shd w:val="clear" w:color="auto" w:fill="FFFFFF"/>
        <w:ind w:left="0"/>
        <w:rPr>
          <w:color w:val="000000"/>
          <w:sz w:val="28"/>
          <w:szCs w:val="28"/>
        </w:rPr>
      </w:pPr>
    </w:p>
    <w:p w14:paraId="4D8EABA8" w14:textId="643BA4C5" w:rsidR="0041533B" w:rsidRPr="004C6110" w:rsidRDefault="00D11D9E" w:rsidP="0041533B">
      <w:pPr>
        <w:ind w:left="720"/>
        <w:rPr>
          <w:sz w:val="28"/>
          <w:szCs w:val="28"/>
        </w:rPr>
      </w:pPr>
      <w:r>
        <w:rPr>
          <w:b/>
          <w:bCs/>
          <w:sz w:val="28"/>
          <w:szCs w:val="28"/>
        </w:rPr>
        <w:t xml:space="preserve">    </w:t>
      </w:r>
      <w:r w:rsidR="0041533B" w:rsidRPr="004C6110">
        <w:rPr>
          <w:b/>
          <w:bCs/>
          <w:sz w:val="28"/>
          <w:szCs w:val="28"/>
        </w:rPr>
        <w:t>Service of summons by publication</w:t>
      </w:r>
      <w:r w:rsidR="0041533B" w:rsidRPr="004C6110">
        <w:rPr>
          <w:sz w:val="28"/>
          <w:szCs w:val="28"/>
        </w:rPr>
        <w:t>. — Section 1. That section 4041 [of the Revised Laws of Minnesota, 1905] be and the same is hereby, amended to read as follows, to-</w:t>
      </w:r>
      <w:r w:rsidR="00065344" w:rsidRPr="004C6110">
        <w:rPr>
          <w:sz w:val="28"/>
          <w:szCs w:val="28"/>
        </w:rPr>
        <w:t>wit:</w:t>
      </w:r>
    </w:p>
    <w:p w14:paraId="755C2F75" w14:textId="77777777" w:rsidR="0041533B" w:rsidRPr="004C6110" w:rsidRDefault="0041533B" w:rsidP="0041533B">
      <w:pPr>
        <w:ind w:left="720" w:firstLine="720"/>
        <w:rPr>
          <w:sz w:val="28"/>
          <w:szCs w:val="28"/>
        </w:rPr>
      </w:pPr>
      <w:r w:rsidRPr="004C6110">
        <w:rPr>
          <w:sz w:val="28"/>
          <w:szCs w:val="28"/>
        </w:rPr>
        <w:t>Section 4041. Summons — How served — The summons shall be served at least three days before the return day thereof by delivering a copy to the person against whom it is issued or if such person be a corporation, a minor under fourteen years of age or a person under guardianship, by delivering a copy as provided in the case of a service of summons in a civil action in the district court; but in case such person cannot be found in the county, the summons may be served on him at least six days before the return day thereof, by leaving a copy thereof at his last usual place of abode with a member of his family, or person of suitable age and discretion residing at such place, or if he had no place of abode, by leaving a copy thereof upon the premises described in the complaint with person of suitable age and discretion occupying the same or any part thereof;</w:t>
      </w:r>
    </w:p>
    <w:p w14:paraId="6C959D21" w14:textId="3C88462E" w:rsidR="0041533B" w:rsidRPr="004C6110" w:rsidRDefault="0041533B" w:rsidP="0041533B">
      <w:pPr>
        <w:ind w:left="720" w:firstLine="720"/>
        <w:rPr>
          <w:sz w:val="28"/>
          <w:szCs w:val="28"/>
        </w:rPr>
      </w:pPr>
      <w:r w:rsidRPr="004C6110">
        <w:rPr>
          <w:i/>
          <w:iCs/>
          <w:sz w:val="28"/>
          <w:szCs w:val="28"/>
        </w:rPr>
        <w:t>Provided</w:t>
      </w:r>
      <w:r w:rsidRPr="004C6110">
        <w:rPr>
          <w:sz w:val="28"/>
          <w:szCs w:val="28"/>
        </w:rPr>
        <w:t>, that in case the defendant has no usual place of abode and cannot be found in the county, of which the return of the officer, shall be prima facie proof, and further that there is no person actually occupying the premises described in the complaint, then upon the filing of an affidavit by the plaintiff or his attorney in the court in which said action is brought stating that no person is actually occupying said premises and that he believes the defendant is not in said state, or cannot be found therein, and either that he has mailed a copy of the summons to the defendant at his last known address, or that such address is not known to him, service of the summons may be made upon such defendant by posting the summons in a conspicuous place on said premises one week and by one week's published notice thereof in some newspaper printed and published in the county wherein said action is brought, or, if there be no newspaper therein, then in some newspaper printed and published at the capitol of the state and if upon the return day the said defendant or his attorney does not appear in said court in said action then the trial thereof shall be continued for one week to enable the defendant to make his appearance and defend therein.</w:t>
      </w:r>
      <w:r w:rsidR="00117AC1">
        <w:rPr>
          <w:sz w:val="28"/>
          <w:szCs w:val="28"/>
        </w:rPr>
        <w:t xml:space="preserve"> [italics in original]</w:t>
      </w:r>
    </w:p>
    <w:p w14:paraId="019EE188" w14:textId="77777777" w:rsidR="0041533B" w:rsidRDefault="0041533B" w:rsidP="0041533B">
      <w:pPr>
        <w:ind w:firstLine="720"/>
        <w:rPr>
          <w:szCs w:val="24"/>
        </w:rPr>
      </w:pPr>
    </w:p>
    <w:p w14:paraId="20860DB9" w14:textId="3CA5D607" w:rsidR="0041533B" w:rsidRDefault="0041533B" w:rsidP="0041533B">
      <w:pPr>
        <w:pStyle w:val="ListParagraph"/>
        <w:shd w:val="clear" w:color="auto" w:fill="FFFFFF"/>
        <w:ind w:left="0"/>
        <w:rPr>
          <w:color w:val="000000"/>
          <w:sz w:val="28"/>
          <w:szCs w:val="28"/>
        </w:rPr>
      </w:pPr>
      <w:r>
        <w:rPr>
          <w:color w:val="000000"/>
          <w:sz w:val="28"/>
          <w:szCs w:val="28"/>
        </w:rPr>
        <w:lastRenderedPageBreak/>
        <w:t>The first paragraph of this section essentially restated existing law</w:t>
      </w:r>
      <w:r w:rsidR="00312B18">
        <w:rPr>
          <w:rStyle w:val="FootnoteReference"/>
          <w:color w:val="000000"/>
          <w:sz w:val="28"/>
          <w:szCs w:val="28"/>
        </w:rPr>
        <w:footnoteReference w:id="4"/>
      </w:r>
      <w:r>
        <w:rPr>
          <w:color w:val="000000"/>
          <w:sz w:val="28"/>
          <w:szCs w:val="28"/>
        </w:rPr>
        <w:t>. The second paragraph (starting “</w:t>
      </w:r>
      <w:r w:rsidRPr="0041533B">
        <w:rPr>
          <w:i/>
          <w:iCs/>
          <w:color w:val="000000"/>
          <w:sz w:val="28"/>
          <w:szCs w:val="28"/>
        </w:rPr>
        <w:t>Provided</w:t>
      </w:r>
      <w:r>
        <w:rPr>
          <w:color w:val="000000"/>
          <w:sz w:val="28"/>
          <w:szCs w:val="28"/>
        </w:rPr>
        <w:t xml:space="preserve">”) </w:t>
      </w:r>
      <w:r w:rsidR="00A31872">
        <w:rPr>
          <w:color w:val="000000"/>
          <w:sz w:val="28"/>
          <w:szCs w:val="28"/>
        </w:rPr>
        <w:t xml:space="preserve">created </w:t>
      </w:r>
      <w:r>
        <w:rPr>
          <w:color w:val="000000"/>
          <w:sz w:val="28"/>
          <w:szCs w:val="28"/>
        </w:rPr>
        <w:t>a third method of service –posting and publication.</w:t>
      </w:r>
    </w:p>
    <w:p w14:paraId="352904AA" w14:textId="77777777" w:rsidR="00A31872" w:rsidRDefault="00A31872" w:rsidP="0041533B">
      <w:pPr>
        <w:pStyle w:val="ListParagraph"/>
        <w:shd w:val="clear" w:color="auto" w:fill="FFFFFF"/>
        <w:ind w:left="0"/>
        <w:rPr>
          <w:color w:val="000000"/>
          <w:sz w:val="28"/>
          <w:szCs w:val="28"/>
        </w:rPr>
      </w:pPr>
    </w:p>
    <w:p w14:paraId="6C81B48D" w14:textId="3150AA9E" w:rsidR="004C6110" w:rsidRDefault="00AE31AD" w:rsidP="0041533B">
      <w:pPr>
        <w:pStyle w:val="ListParagraph"/>
        <w:shd w:val="clear" w:color="auto" w:fill="FFFFFF"/>
        <w:ind w:left="0"/>
        <w:rPr>
          <w:color w:val="000000"/>
          <w:sz w:val="28"/>
          <w:szCs w:val="28"/>
        </w:rPr>
      </w:pPr>
      <w:r>
        <w:rPr>
          <w:color w:val="000000"/>
          <w:sz w:val="28"/>
          <w:szCs w:val="28"/>
        </w:rPr>
        <w:t xml:space="preserve">There have been </w:t>
      </w:r>
      <w:r w:rsidR="00124F65">
        <w:rPr>
          <w:color w:val="000000"/>
          <w:sz w:val="28"/>
          <w:szCs w:val="28"/>
        </w:rPr>
        <w:t>four</w:t>
      </w:r>
      <w:r w:rsidR="004C6110">
        <w:rPr>
          <w:color w:val="000000"/>
          <w:sz w:val="28"/>
          <w:szCs w:val="28"/>
        </w:rPr>
        <w:t xml:space="preserve"> subsequent</w:t>
      </w:r>
      <w:r>
        <w:rPr>
          <w:color w:val="000000"/>
          <w:sz w:val="28"/>
          <w:szCs w:val="28"/>
        </w:rPr>
        <w:t xml:space="preserve"> changes </w:t>
      </w:r>
      <w:r w:rsidR="004C6110">
        <w:rPr>
          <w:color w:val="000000"/>
          <w:sz w:val="28"/>
          <w:szCs w:val="28"/>
        </w:rPr>
        <w:t>to</w:t>
      </w:r>
      <w:r>
        <w:rPr>
          <w:color w:val="000000"/>
          <w:sz w:val="28"/>
          <w:szCs w:val="28"/>
        </w:rPr>
        <w:t xml:space="preserve"> this provision</w:t>
      </w:r>
      <w:r w:rsidR="00B6540B">
        <w:rPr>
          <w:color w:val="000000"/>
          <w:sz w:val="28"/>
          <w:szCs w:val="28"/>
        </w:rPr>
        <w:t xml:space="preserve">. </w:t>
      </w:r>
    </w:p>
    <w:p w14:paraId="44B3B47C" w14:textId="77777777" w:rsidR="004C6110" w:rsidRDefault="004C6110" w:rsidP="0041533B">
      <w:pPr>
        <w:pStyle w:val="ListParagraph"/>
        <w:shd w:val="clear" w:color="auto" w:fill="FFFFFF"/>
        <w:ind w:left="0"/>
        <w:rPr>
          <w:color w:val="000000"/>
          <w:sz w:val="28"/>
          <w:szCs w:val="28"/>
        </w:rPr>
      </w:pPr>
    </w:p>
    <w:p w14:paraId="6D0BEF33" w14:textId="03AE1162" w:rsidR="00F0092C" w:rsidRDefault="00B6540B" w:rsidP="0041533B">
      <w:pPr>
        <w:pStyle w:val="ListParagraph"/>
        <w:shd w:val="clear" w:color="auto" w:fill="FFFFFF"/>
        <w:ind w:left="0"/>
        <w:rPr>
          <w:color w:val="000000"/>
          <w:sz w:val="28"/>
          <w:szCs w:val="28"/>
        </w:rPr>
      </w:pPr>
      <w:r>
        <w:rPr>
          <w:color w:val="000000"/>
          <w:sz w:val="28"/>
          <w:szCs w:val="28"/>
        </w:rPr>
        <w:t xml:space="preserve">First, </w:t>
      </w:r>
      <w:r w:rsidR="004C6110">
        <w:rPr>
          <w:color w:val="000000"/>
          <w:sz w:val="28"/>
          <w:szCs w:val="28"/>
        </w:rPr>
        <w:t>a</w:t>
      </w:r>
      <w:r w:rsidR="00A31872">
        <w:rPr>
          <w:color w:val="000000"/>
          <w:sz w:val="28"/>
          <w:szCs w:val="28"/>
        </w:rPr>
        <w:t xml:space="preserve"> 19</w:t>
      </w:r>
      <w:r w:rsidR="009C41D6">
        <w:rPr>
          <w:color w:val="000000"/>
          <w:sz w:val="28"/>
          <w:szCs w:val="28"/>
        </w:rPr>
        <w:t>76</w:t>
      </w:r>
      <w:r w:rsidR="004C6110">
        <w:rPr>
          <w:color w:val="000000"/>
          <w:sz w:val="28"/>
          <w:szCs w:val="28"/>
        </w:rPr>
        <w:t xml:space="preserve"> session law</w:t>
      </w:r>
      <w:r w:rsidR="004C6110">
        <w:rPr>
          <w:rStyle w:val="FootnoteReference"/>
          <w:color w:val="000000"/>
          <w:sz w:val="28"/>
          <w:szCs w:val="28"/>
        </w:rPr>
        <w:footnoteReference w:id="5"/>
      </w:r>
      <w:r w:rsidR="004C6110">
        <w:rPr>
          <w:color w:val="000000"/>
          <w:sz w:val="28"/>
          <w:szCs w:val="28"/>
        </w:rPr>
        <w:t xml:space="preserve"> eliminated</w:t>
      </w:r>
      <w:r w:rsidR="00A31872">
        <w:rPr>
          <w:color w:val="000000"/>
          <w:sz w:val="28"/>
          <w:szCs w:val="28"/>
        </w:rPr>
        <w:t xml:space="preserve"> the </w:t>
      </w:r>
      <w:r w:rsidR="009C41D6">
        <w:rPr>
          <w:color w:val="000000"/>
          <w:sz w:val="28"/>
          <w:szCs w:val="28"/>
        </w:rPr>
        <w:t>publication requirement, changing posting + publishing into just posting</w:t>
      </w:r>
      <w:r w:rsidR="00A31872">
        <w:rPr>
          <w:color w:val="000000"/>
          <w:sz w:val="28"/>
          <w:szCs w:val="28"/>
        </w:rPr>
        <w:t>.</w:t>
      </w:r>
      <w:r w:rsidR="00F0092C">
        <w:rPr>
          <w:color w:val="000000"/>
          <w:sz w:val="28"/>
          <w:szCs w:val="28"/>
        </w:rPr>
        <w:t xml:space="preserve"> The same session law also made two minor changes, allowing posting even if there was no proof that the defendant lacked a usual place of abode</w:t>
      </w:r>
      <w:r w:rsidR="000F082D">
        <w:rPr>
          <w:color w:val="000000"/>
          <w:sz w:val="28"/>
          <w:szCs w:val="28"/>
        </w:rPr>
        <w:t xml:space="preserve"> and eliminating the need for the affidavit to state</w:t>
      </w:r>
      <w:r w:rsidR="00F0092C">
        <w:rPr>
          <w:color w:val="000000"/>
          <w:sz w:val="28"/>
          <w:szCs w:val="28"/>
        </w:rPr>
        <w:t xml:space="preserve"> that there was no one actually occupying the premises.</w:t>
      </w:r>
    </w:p>
    <w:p w14:paraId="2FA34BE8" w14:textId="77777777" w:rsidR="004C6110" w:rsidRDefault="004C6110" w:rsidP="0041533B">
      <w:pPr>
        <w:pStyle w:val="ListParagraph"/>
        <w:shd w:val="clear" w:color="auto" w:fill="FFFFFF"/>
        <w:ind w:left="0"/>
        <w:rPr>
          <w:color w:val="000000"/>
          <w:sz w:val="28"/>
          <w:szCs w:val="28"/>
        </w:rPr>
      </w:pPr>
    </w:p>
    <w:p w14:paraId="27A0E0F1" w14:textId="09BB057C" w:rsidR="004C6110" w:rsidRDefault="004C6110" w:rsidP="004C6110">
      <w:pPr>
        <w:pStyle w:val="ListParagraph"/>
        <w:shd w:val="clear" w:color="auto" w:fill="FFFFFF"/>
        <w:ind w:left="0"/>
        <w:rPr>
          <w:color w:val="000000"/>
          <w:sz w:val="28"/>
          <w:szCs w:val="28"/>
        </w:rPr>
      </w:pPr>
      <w:r>
        <w:rPr>
          <w:color w:val="000000"/>
          <w:sz w:val="28"/>
          <w:szCs w:val="28"/>
        </w:rPr>
        <w:t xml:space="preserve">Second, a 1981 session law </w:t>
      </w:r>
      <w:r w:rsidR="002C5C23">
        <w:rPr>
          <w:color w:val="000000"/>
          <w:sz w:val="28"/>
          <w:szCs w:val="28"/>
        </w:rPr>
        <w:t xml:space="preserve">changed the timing rules for personal and substitute service and </w:t>
      </w:r>
      <w:r>
        <w:rPr>
          <w:color w:val="000000"/>
          <w:sz w:val="28"/>
          <w:szCs w:val="28"/>
        </w:rPr>
        <w:t>made several stylistic changes to the posting part of the statute.</w:t>
      </w:r>
      <w:r w:rsidR="00F8064A" w:rsidRPr="00F8064A">
        <w:rPr>
          <w:rStyle w:val="FootnoteReference"/>
          <w:color w:val="000000"/>
          <w:sz w:val="28"/>
          <w:szCs w:val="28"/>
        </w:rPr>
        <w:t xml:space="preserve"> </w:t>
      </w:r>
      <w:r w:rsidR="00F8064A">
        <w:rPr>
          <w:rStyle w:val="FootnoteReference"/>
          <w:color w:val="000000"/>
          <w:sz w:val="28"/>
          <w:szCs w:val="28"/>
        </w:rPr>
        <w:footnoteReference w:id="6"/>
      </w:r>
    </w:p>
    <w:p w14:paraId="74C8FE10" w14:textId="61E23466" w:rsidR="004C6110" w:rsidRDefault="004C6110" w:rsidP="0041533B">
      <w:pPr>
        <w:pStyle w:val="ListParagraph"/>
        <w:shd w:val="clear" w:color="auto" w:fill="FFFFFF"/>
        <w:ind w:left="0"/>
        <w:rPr>
          <w:color w:val="000000"/>
          <w:sz w:val="28"/>
          <w:szCs w:val="28"/>
        </w:rPr>
      </w:pPr>
    </w:p>
    <w:p w14:paraId="3C40273E" w14:textId="77777777" w:rsidR="00F0092C" w:rsidRDefault="00F0092C" w:rsidP="0041533B">
      <w:pPr>
        <w:pStyle w:val="ListParagraph"/>
        <w:shd w:val="clear" w:color="auto" w:fill="FFFFFF"/>
        <w:ind w:left="0"/>
        <w:rPr>
          <w:color w:val="000000"/>
          <w:sz w:val="28"/>
          <w:szCs w:val="28"/>
        </w:rPr>
      </w:pPr>
    </w:p>
    <w:p w14:paraId="433F31F2" w14:textId="2C87A66F" w:rsidR="000F082D" w:rsidRDefault="004C6110" w:rsidP="0041533B">
      <w:pPr>
        <w:pStyle w:val="ListParagraph"/>
        <w:shd w:val="clear" w:color="auto" w:fill="FFFFFF"/>
        <w:ind w:left="0"/>
        <w:rPr>
          <w:color w:val="000000"/>
          <w:sz w:val="28"/>
          <w:szCs w:val="28"/>
        </w:rPr>
      </w:pPr>
      <w:r>
        <w:rPr>
          <w:color w:val="000000"/>
          <w:sz w:val="28"/>
          <w:szCs w:val="28"/>
        </w:rPr>
        <w:lastRenderedPageBreak/>
        <w:t>Third</w:t>
      </w:r>
      <w:r w:rsidR="00B6540B">
        <w:rPr>
          <w:color w:val="000000"/>
          <w:sz w:val="28"/>
          <w:szCs w:val="28"/>
        </w:rPr>
        <w:t>, a</w:t>
      </w:r>
      <w:r w:rsidR="000F082D">
        <w:rPr>
          <w:color w:val="000000"/>
          <w:sz w:val="28"/>
          <w:szCs w:val="28"/>
        </w:rPr>
        <w:t xml:space="preserve"> 1985 session law</w:t>
      </w:r>
      <w:r w:rsidR="000F082D">
        <w:rPr>
          <w:rStyle w:val="FootnoteReference"/>
          <w:color w:val="000000"/>
          <w:sz w:val="28"/>
          <w:szCs w:val="28"/>
        </w:rPr>
        <w:footnoteReference w:id="7"/>
      </w:r>
      <w:r w:rsidR="000F082D">
        <w:rPr>
          <w:color w:val="000000"/>
          <w:sz w:val="28"/>
          <w:szCs w:val="28"/>
        </w:rPr>
        <w:t xml:space="preserve"> added a requirement for residential evictions that the landlord’s process servers h</w:t>
      </w:r>
      <w:r w:rsidR="00F0092C">
        <w:rPr>
          <w:color w:val="000000"/>
          <w:sz w:val="28"/>
          <w:szCs w:val="28"/>
        </w:rPr>
        <w:t xml:space="preserve">ad to </w:t>
      </w:r>
      <w:r w:rsidR="000F082D">
        <w:rPr>
          <w:color w:val="000000"/>
          <w:sz w:val="28"/>
          <w:szCs w:val="28"/>
        </w:rPr>
        <w:t xml:space="preserve">make </w:t>
      </w:r>
      <w:r w:rsidR="006A7400">
        <w:rPr>
          <w:color w:val="000000"/>
          <w:sz w:val="28"/>
          <w:szCs w:val="28"/>
        </w:rPr>
        <w:t xml:space="preserve">a minimum of two attempts, at least one between 6:00 pm and 10:00 pm, </w:t>
      </w:r>
      <w:r w:rsidR="00117AC1">
        <w:rPr>
          <w:color w:val="000000"/>
          <w:sz w:val="28"/>
          <w:szCs w:val="28"/>
        </w:rPr>
        <w:t>to</w:t>
      </w:r>
      <w:r w:rsidR="000F082D">
        <w:rPr>
          <w:color w:val="000000"/>
          <w:sz w:val="28"/>
          <w:szCs w:val="28"/>
        </w:rPr>
        <w:t xml:space="preserve"> serv</w:t>
      </w:r>
      <w:r w:rsidR="00117AC1">
        <w:rPr>
          <w:color w:val="000000"/>
          <w:sz w:val="28"/>
          <w:szCs w:val="28"/>
        </w:rPr>
        <w:t>e</w:t>
      </w:r>
      <w:r w:rsidR="000F082D">
        <w:rPr>
          <w:color w:val="000000"/>
          <w:sz w:val="28"/>
          <w:szCs w:val="28"/>
        </w:rPr>
        <w:t xml:space="preserve"> the tenant. A technical change was </w:t>
      </w:r>
      <w:r>
        <w:rPr>
          <w:color w:val="000000"/>
          <w:sz w:val="28"/>
          <w:szCs w:val="28"/>
        </w:rPr>
        <w:t xml:space="preserve">also </w:t>
      </w:r>
      <w:r w:rsidR="000F082D">
        <w:rPr>
          <w:color w:val="000000"/>
          <w:sz w:val="28"/>
          <w:szCs w:val="28"/>
        </w:rPr>
        <w:t>made</w:t>
      </w:r>
      <w:r>
        <w:rPr>
          <w:color w:val="000000"/>
          <w:sz w:val="28"/>
          <w:szCs w:val="28"/>
        </w:rPr>
        <w:t xml:space="preserve">; it </w:t>
      </w:r>
      <w:r w:rsidR="000F082D">
        <w:rPr>
          <w:color w:val="000000"/>
          <w:sz w:val="28"/>
          <w:szCs w:val="28"/>
        </w:rPr>
        <w:t>eliminat</w:t>
      </w:r>
      <w:r>
        <w:rPr>
          <w:color w:val="000000"/>
          <w:sz w:val="28"/>
          <w:szCs w:val="28"/>
        </w:rPr>
        <w:t>ed</w:t>
      </w:r>
      <w:r w:rsidR="000F082D">
        <w:rPr>
          <w:color w:val="000000"/>
          <w:sz w:val="28"/>
          <w:szCs w:val="28"/>
        </w:rPr>
        <w:t xml:space="preserve"> the requirement than no one actually occupied the premises (the 1976 session law already had eliminated the need for the affidavit to state this).</w:t>
      </w:r>
    </w:p>
    <w:p w14:paraId="48CF0326" w14:textId="77777777" w:rsidR="000F082D" w:rsidRDefault="000F082D" w:rsidP="0041533B">
      <w:pPr>
        <w:pStyle w:val="ListParagraph"/>
        <w:shd w:val="clear" w:color="auto" w:fill="FFFFFF"/>
        <w:ind w:left="0"/>
        <w:rPr>
          <w:color w:val="000000"/>
          <w:sz w:val="28"/>
          <w:szCs w:val="28"/>
        </w:rPr>
      </w:pPr>
    </w:p>
    <w:p w14:paraId="1BF9AC78" w14:textId="2AA38DCD" w:rsidR="008240F4" w:rsidRDefault="00124F65" w:rsidP="0041533B">
      <w:pPr>
        <w:pStyle w:val="ListParagraph"/>
        <w:shd w:val="clear" w:color="auto" w:fill="FFFFFF"/>
        <w:ind w:left="0"/>
        <w:rPr>
          <w:sz w:val="28"/>
          <w:szCs w:val="28"/>
        </w:rPr>
      </w:pPr>
      <w:r>
        <w:rPr>
          <w:color w:val="000000"/>
          <w:sz w:val="28"/>
          <w:szCs w:val="28"/>
        </w:rPr>
        <w:t>Lastly, i</w:t>
      </w:r>
      <w:r w:rsidR="008240F4" w:rsidRPr="00C1171C">
        <w:rPr>
          <w:color w:val="000000"/>
          <w:sz w:val="28"/>
          <w:szCs w:val="28"/>
        </w:rPr>
        <w:t>n 1999, the wording of the statute was changed slightly</w:t>
      </w:r>
      <w:r w:rsidR="00C1171C" w:rsidRPr="00C1171C">
        <w:rPr>
          <w:color w:val="000000"/>
          <w:sz w:val="28"/>
          <w:szCs w:val="28"/>
        </w:rPr>
        <w:t xml:space="preserve"> but not materially</w:t>
      </w:r>
      <w:r w:rsidR="008240F4" w:rsidRPr="00C1171C">
        <w:rPr>
          <w:color w:val="000000"/>
          <w:sz w:val="28"/>
          <w:szCs w:val="28"/>
        </w:rPr>
        <w:t xml:space="preserve">. </w:t>
      </w:r>
      <w:r w:rsidR="00FC4815">
        <w:rPr>
          <w:color w:val="000000"/>
          <w:sz w:val="28"/>
          <w:szCs w:val="28"/>
        </w:rPr>
        <w:t xml:space="preserve">This </w:t>
      </w:r>
      <w:r w:rsidR="00C1171C" w:rsidRPr="00C1171C">
        <w:rPr>
          <w:color w:val="000000"/>
          <w:sz w:val="28"/>
          <w:szCs w:val="28"/>
        </w:rPr>
        <w:t>change</w:t>
      </w:r>
      <w:r w:rsidR="00FC4815">
        <w:rPr>
          <w:color w:val="000000"/>
          <w:sz w:val="28"/>
          <w:szCs w:val="28"/>
        </w:rPr>
        <w:t xml:space="preserve"> was</w:t>
      </w:r>
      <w:r w:rsidR="008240F4" w:rsidRPr="00C1171C">
        <w:rPr>
          <w:color w:val="000000"/>
          <w:sz w:val="28"/>
          <w:szCs w:val="28"/>
        </w:rPr>
        <w:t xml:space="preserve"> part of </w:t>
      </w:r>
      <w:r w:rsidR="00C1171C" w:rsidRPr="00C1171C">
        <w:rPr>
          <w:color w:val="000000"/>
          <w:sz w:val="28"/>
          <w:szCs w:val="28"/>
        </w:rPr>
        <w:t>an overall recodification of the landlord-tenant statutes</w:t>
      </w:r>
      <w:r>
        <w:rPr>
          <w:color w:val="000000"/>
          <w:sz w:val="28"/>
          <w:szCs w:val="28"/>
        </w:rPr>
        <w:t>. T</w:t>
      </w:r>
      <w:r w:rsidR="00FC4815">
        <w:rPr>
          <w:color w:val="000000"/>
          <w:sz w:val="28"/>
          <w:szCs w:val="28"/>
        </w:rPr>
        <w:t>he “</w:t>
      </w:r>
      <w:r w:rsidR="00C1171C" w:rsidRPr="00C1171C">
        <w:rPr>
          <w:sz w:val="28"/>
          <w:szCs w:val="28"/>
        </w:rPr>
        <w:t xml:space="preserve">purpose of that recodification law was to consolidate, clarify, and recodify the majority of Minnesota's housing statutes under one chapter … [and] it was made clear that </w:t>
      </w:r>
      <w:r w:rsidR="00C1171C" w:rsidRPr="00124F65">
        <w:rPr>
          <w:sz w:val="28"/>
          <w:szCs w:val="28"/>
          <w:u w:val="single"/>
        </w:rPr>
        <w:t>no substantive changes to the current housing laws were intended</w:t>
      </w:r>
      <w:r w:rsidR="00C1171C" w:rsidRPr="00C1171C">
        <w:rPr>
          <w:sz w:val="28"/>
          <w:szCs w:val="28"/>
        </w:rPr>
        <w:t xml:space="preserve">.” </w:t>
      </w:r>
      <w:hyperlink r:id="rId11" w:history="1">
        <w:r w:rsidR="00C1171C" w:rsidRPr="00C1171C">
          <w:rPr>
            <w:rStyle w:val="Hyperlink"/>
            <w:i/>
            <w:iCs/>
            <w:sz w:val="28"/>
            <w:szCs w:val="28"/>
          </w:rPr>
          <w:t>Occhino v. Grover</w:t>
        </w:r>
        <w:r w:rsidR="00C1171C" w:rsidRPr="00C1171C">
          <w:rPr>
            <w:rStyle w:val="Hyperlink"/>
            <w:sz w:val="28"/>
            <w:szCs w:val="28"/>
          </w:rPr>
          <w:t>, 640 N.W.2d 357,362 (Minn. App. 2002)</w:t>
        </w:r>
      </w:hyperlink>
      <w:r>
        <w:rPr>
          <w:sz w:val="28"/>
          <w:szCs w:val="28"/>
        </w:rPr>
        <w:t xml:space="preserve"> (emphasis added).</w:t>
      </w:r>
    </w:p>
    <w:p w14:paraId="1D3705AE" w14:textId="77777777" w:rsidR="00124F65" w:rsidRDefault="00124F65" w:rsidP="0041533B">
      <w:pPr>
        <w:pStyle w:val="ListParagraph"/>
        <w:shd w:val="clear" w:color="auto" w:fill="FFFFFF"/>
        <w:ind w:left="0"/>
        <w:rPr>
          <w:sz w:val="28"/>
          <w:szCs w:val="28"/>
        </w:rPr>
      </w:pPr>
    </w:p>
    <w:p w14:paraId="0573765F" w14:textId="45467EB2" w:rsidR="00124F65" w:rsidRDefault="00124F65" w:rsidP="00124F65">
      <w:pPr>
        <w:pStyle w:val="ListParagraph"/>
        <w:shd w:val="clear" w:color="auto" w:fill="FFFFFF"/>
        <w:rPr>
          <w:sz w:val="28"/>
          <w:szCs w:val="28"/>
          <w:u w:val="single"/>
        </w:rPr>
      </w:pPr>
      <w:r w:rsidRPr="00124F65">
        <w:rPr>
          <w:sz w:val="28"/>
          <w:szCs w:val="28"/>
          <w:u w:val="single"/>
        </w:rPr>
        <w:t>The 1909 amendment essentially copied an existing service-by-publication law.</w:t>
      </w:r>
    </w:p>
    <w:p w14:paraId="7DC5D6D2" w14:textId="77777777" w:rsidR="00193F1E" w:rsidRDefault="00193F1E" w:rsidP="00124F65">
      <w:pPr>
        <w:pStyle w:val="ListParagraph"/>
        <w:shd w:val="clear" w:color="auto" w:fill="FFFFFF"/>
        <w:rPr>
          <w:sz w:val="28"/>
          <w:szCs w:val="28"/>
          <w:u w:val="single"/>
        </w:rPr>
      </w:pPr>
    </w:p>
    <w:p w14:paraId="0918473E" w14:textId="2163B270" w:rsidR="00FB509E" w:rsidRPr="00A36944" w:rsidRDefault="00FB509E" w:rsidP="0041533B">
      <w:pPr>
        <w:pStyle w:val="ListParagraph"/>
        <w:shd w:val="clear" w:color="auto" w:fill="FFFFFF"/>
        <w:ind w:left="0"/>
        <w:rPr>
          <w:sz w:val="28"/>
          <w:szCs w:val="28"/>
        </w:rPr>
      </w:pPr>
      <w:r w:rsidRPr="00A36944">
        <w:rPr>
          <w:sz w:val="28"/>
          <w:szCs w:val="28"/>
        </w:rPr>
        <w:t>Service by publication, while not allowed in eviction actions</w:t>
      </w:r>
      <w:r w:rsidR="00A36944">
        <w:rPr>
          <w:sz w:val="28"/>
          <w:szCs w:val="28"/>
        </w:rPr>
        <w:t xml:space="preserve"> </w:t>
      </w:r>
      <w:r w:rsidR="00A36944" w:rsidRPr="00A36944">
        <w:rPr>
          <w:sz w:val="28"/>
          <w:szCs w:val="28"/>
        </w:rPr>
        <w:t>pre-1909</w:t>
      </w:r>
      <w:r w:rsidRPr="00A36944">
        <w:rPr>
          <w:sz w:val="28"/>
          <w:szCs w:val="28"/>
        </w:rPr>
        <w:t>, was not a new idea. It had been allowed since statehood began.</w:t>
      </w:r>
      <w:r w:rsidR="0002716B">
        <w:rPr>
          <w:rStyle w:val="FootnoteReference"/>
          <w:sz w:val="28"/>
          <w:szCs w:val="28"/>
        </w:rPr>
        <w:footnoteReference w:id="8"/>
      </w:r>
      <w:r w:rsidR="0002716B">
        <w:rPr>
          <w:sz w:val="28"/>
          <w:szCs w:val="28"/>
        </w:rPr>
        <w:t xml:space="preserve"> </w:t>
      </w:r>
      <w:r w:rsidR="00A36944">
        <w:rPr>
          <w:sz w:val="28"/>
          <w:szCs w:val="28"/>
        </w:rPr>
        <w:t>I</w:t>
      </w:r>
      <w:r w:rsidRPr="00A36944">
        <w:rPr>
          <w:sz w:val="28"/>
          <w:szCs w:val="28"/>
        </w:rPr>
        <w:t xml:space="preserve">t seems very likely that when </w:t>
      </w:r>
      <w:r w:rsidR="00551400" w:rsidRPr="00A36944">
        <w:rPr>
          <w:sz w:val="28"/>
          <w:szCs w:val="28"/>
        </w:rPr>
        <w:t>t</w:t>
      </w:r>
      <w:r w:rsidRPr="00A36944">
        <w:rPr>
          <w:sz w:val="28"/>
          <w:szCs w:val="28"/>
        </w:rPr>
        <w:t xml:space="preserve">he legislature wanted to allow service of an eviction-action summons by publication it largely copied the existing publication statutes applicable to </w:t>
      </w:r>
      <w:r w:rsidR="00193F1E">
        <w:rPr>
          <w:sz w:val="28"/>
          <w:szCs w:val="28"/>
        </w:rPr>
        <w:t>certain</w:t>
      </w:r>
      <w:r w:rsidRPr="00A36944">
        <w:rPr>
          <w:sz w:val="28"/>
          <w:szCs w:val="28"/>
        </w:rPr>
        <w:t xml:space="preserve"> civil actions, to wit Rev. Laws 1905 §§ 4111-4112 which read:</w:t>
      </w:r>
    </w:p>
    <w:p w14:paraId="4A6C0C8E" w14:textId="77777777" w:rsidR="00FB509E" w:rsidRPr="00A427EB" w:rsidRDefault="00FB509E" w:rsidP="00A427EB">
      <w:pPr>
        <w:pStyle w:val="ListParagraph"/>
        <w:shd w:val="clear" w:color="auto" w:fill="FFFFFF"/>
        <w:rPr>
          <w:sz w:val="28"/>
          <w:szCs w:val="28"/>
        </w:rPr>
      </w:pPr>
    </w:p>
    <w:p w14:paraId="302E83DB" w14:textId="4AEC4C13" w:rsidR="00FB509E" w:rsidRPr="00A427EB" w:rsidRDefault="00FB509E" w:rsidP="00A427EB">
      <w:pPr>
        <w:pStyle w:val="ListParagraph"/>
        <w:shd w:val="clear" w:color="auto" w:fill="FFFFFF"/>
        <w:rPr>
          <w:sz w:val="28"/>
          <w:szCs w:val="28"/>
        </w:rPr>
      </w:pPr>
      <w:r w:rsidRPr="00A427EB">
        <w:rPr>
          <w:b/>
          <w:bCs/>
          <w:sz w:val="28"/>
          <w:szCs w:val="28"/>
        </w:rPr>
        <w:t>4111. Service by publication—Personal service out of state</w:t>
      </w:r>
      <w:r w:rsidRPr="00A427EB">
        <w:rPr>
          <w:sz w:val="28"/>
          <w:szCs w:val="28"/>
        </w:rPr>
        <w:t xml:space="preserve">—In any of the cases mentioned in § 4112, when the sheriff of the county in which the action is brought shall have duly returned that the defendant cannot be found therein, and an affidavit of the plaintiff or his attorney shall have been filed with the clerk, stating the existence of one of such cases, and that he believes the defendant is not a resident of the state, or cannot be found therein, and either that he has mailed a copy of the summons to the defendant at his place of residence, or that such residence is not known to him, service of the summons may be made upon such defendant by six weeks' published notice thereof: Provided, that personal service of said summons without the state, proved by the affidavit of the person making the same, made before an </w:t>
      </w:r>
      <w:r w:rsidRPr="00A427EB">
        <w:rPr>
          <w:sz w:val="28"/>
          <w:szCs w:val="28"/>
        </w:rPr>
        <w:lastRenderedPageBreak/>
        <w:t>authorized officer having a seal, shall have the same effect as the published notice herein provided for.</w:t>
      </w:r>
    </w:p>
    <w:p w14:paraId="227CEFCD" w14:textId="77777777" w:rsidR="001F4778" w:rsidRPr="00A427EB" w:rsidRDefault="001F4778" w:rsidP="00A427EB">
      <w:pPr>
        <w:pStyle w:val="ListParagraph"/>
        <w:shd w:val="clear" w:color="auto" w:fill="FFFFFF"/>
        <w:rPr>
          <w:sz w:val="28"/>
          <w:szCs w:val="28"/>
        </w:rPr>
      </w:pPr>
    </w:p>
    <w:p w14:paraId="702DC73F" w14:textId="77777777" w:rsidR="001F4778" w:rsidRPr="00A427EB" w:rsidRDefault="001F4778" w:rsidP="00A427EB">
      <w:pPr>
        <w:pStyle w:val="ListParagraph"/>
        <w:shd w:val="clear" w:color="auto" w:fill="FFFFFF"/>
        <w:rPr>
          <w:sz w:val="28"/>
          <w:szCs w:val="28"/>
        </w:rPr>
      </w:pPr>
      <w:r w:rsidRPr="00A427EB">
        <w:rPr>
          <w:b/>
          <w:bCs/>
          <w:sz w:val="28"/>
          <w:szCs w:val="28"/>
        </w:rPr>
        <w:t>4112. Same—In what cases—</w:t>
      </w:r>
      <w:r w:rsidRPr="00A427EB">
        <w:rPr>
          <w:sz w:val="28"/>
          <w:szCs w:val="28"/>
        </w:rPr>
        <w:t xml:space="preserve">Such service shall be sufficient to confer jurisdiction: </w:t>
      </w:r>
    </w:p>
    <w:p w14:paraId="55775E0E" w14:textId="77777777" w:rsidR="001F4778" w:rsidRPr="00A427EB" w:rsidRDefault="001F4778" w:rsidP="00A427EB">
      <w:pPr>
        <w:pStyle w:val="ListParagraph"/>
        <w:shd w:val="clear" w:color="auto" w:fill="FFFFFF"/>
        <w:rPr>
          <w:sz w:val="28"/>
          <w:szCs w:val="28"/>
        </w:rPr>
      </w:pPr>
      <w:r w:rsidRPr="00A427EB">
        <w:rPr>
          <w:sz w:val="28"/>
          <w:szCs w:val="28"/>
        </w:rPr>
        <w:t xml:space="preserve">   1. When the defendant is a foreign corporation, having property within the state. </w:t>
      </w:r>
    </w:p>
    <w:p w14:paraId="3E07C882" w14:textId="77777777" w:rsidR="001F4778" w:rsidRPr="00A427EB" w:rsidRDefault="001F4778" w:rsidP="00A427EB">
      <w:pPr>
        <w:pStyle w:val="ListParagraph"/>
        <w:shd w:val="clear" w:color="auto" w:fill="FFFFFF"/>
        <w:rPr>
          <w:sz w:val="28"/>
          <w:szCs w:val="28"/>
        </w:rPr>
      </w:pPr>
      <w:r w:rsidRPr="00A427EB">
        <w:rPr>
          <w:sz w:val="28"/>
          <w:szCs w:val="28"/>
        </w:rPr>
        <w:t xml:space="preserve">   2. When the defendant, being a resident of the state, has departed therefrom with intent to defraud his creditors, or to avoid service, or keeps himself concealed therein with like intent; or has departed therefrom, or cannot be found therein, and has property or credits therein upon which the plaintiff has acquired a lien by attachment or garnishment. </w:t>
      </w:r>
    </w:p>
    <w:p w14:paraId="1457ACA2" w14:textId="77777777" w:rsidR="001F4778" w:rsidRPr="00A427EB" w:rsidRDefault="001F4778" w:rsidP="00A427EB">
      <w:pPr>
        <w:pStyle w:val="ListParagraph"/>
        <w:shd w:val="clear" w:color="auto" w:fill="FFFFFF"/>
        <w:rPr>
          <w:sz w:val="28"/>
          <w:szCs w:val="28"/>
        </w:rPr>
      </w:pPr>
      <w:r w:rsidRPr="00A427EB">
        <w:rPr>
          <w:sz w:val="28"/>
          <w:szCs w:val="28"/>
        </w:rPr>
        <w:t xml:space="preserve">   3. When the defendant is not a resident of the state, but has property therein, and the court has jurisdiction of the subject of the action. </w:t>
      </w:r>
    </w:p>
    <w:p w14:paraId="42F15770" w14:textId="77777777" w:rsidR="001F4778" w:rsidRPr="00A427EB" w:rsidRDefault="001F4778" w:rsidP="00A427EB">
      <w:pPr>
        <w:pStyle w:val="ListParagraph"/>
        <w:shd w:val="clear" w:color="auto" w:fill="FFFFFF"/>
        <w:rPr>
          <w:sz w:val="28"/>
          <w:szCs w:val="28"/>
        </w:rPr>
      </w:pPr>
      <w:r w:rsidRPr="00A427EB">
        <w:rPr>
          <w:sz w:val="28"/>
          <w:szCs w:val="28"/>
        </w:rPr>
        <w:t xml:space="preserve">   4. When the action is for a divorce, or a separation from bed and board, and the court shall have ordered that service be made by published notice. </w:t>
      </w:r>
    </w:p>
    <w:p w14:paraId="6CD5F84A" w14:textId="77777777" w:rsidR="0083517B" w:rsidRDefault="001F4778" w:rsidP="00A427EB">
      <w:pPr>
        <w:pStyle w:val="ListParagraph"/>
        <w:shd w:val="clear" w:color="auto" w:fill="FFFFFF"/>
        <w:rPr>
          <w:sz w:val="28"/>
          <w:szCs w:val="28"/>
        </w:rPr>
      </w:pPr>
      <w:r w:rsidRPr="00A427EB">
        <w:rPr>
          <w:sz w:val="28"/>
          <w:szCs w:val="28"/>
        </w:rPr>
        <w:t xml:space="preserve">   5. When the subject of the action is real or personal property within the state, in or upon which the defendant has or claims a lien or interest, or the relief demanded consists wholly or partly in excluding him from any such interest or lien. </w:t>
      </w:r>
    </w:p>
    <w:p w14:paraId="0DBFBDD0" w14:textId="34FCA626" w:rsidR="001F4778" w:rsidRDefault="0083517B" w:rsidP="00A427EB">
      <w:pPr>
        <w:pStyle w:val="ListParagraph"/>
        <w:shd w:val="clear" w:color="auto" w:fill="FFFFFF"/>
        <w:rPr>
          <w:sz w:val="28"/>
          <w:szCs w:val="28"/>
        </w:rPr>
      </w:pPr>
      <w:r>
        <w:rPr>
          <w:sz w:val="28"/>
          <w:szCs w:val="28"/>
        </w:rPr>
        <w:t xml:space="preserve">   </w:t>
      </w:r>
      <w:r w:rsidR="001F4778" w:rsidRPr="00A427EB">
        <w:rPr>
          <w:sz w:val="28"/>
          <w:szCs w:val="28"/>
        </w:rPr>
        <w:t>6. When the action is to foreclose a mortgage or to enforce a lien on real estate.</w:t>
      </w:r>
    </w:p>
    <w:p w14:paraId="5E550CB0" w14:textId="77777777" w:rsidR="00774065" w:rsidRDefault="00774065" w:rsidP="00A427EB">
      <w:pPr>
        <w:pStyle w:val="ListParagraph"/>
        <w:shd w:val="clear" w:color="auto" w:fill="FFFFFF"/>
        <w:rPr>
          <w:sz w:val="28"/>
          <w:szCs w:val="28"/>
        </w:rPr>
      </w:pPr>
    </w:p>
    <w:p w14:paraId="1EA6B373" w14:textId="103DB619" w:rsidR="000019B1" w:rsidRDefault="00774065" w:rsidP="00774065">
      <w:pPr>
        <w:pStyle w:val="ListParagraph"/>
        <w:shd w:val="clear" w:color="auto" w:fill="FFFFFF"/>
        <w:ind w:left="0"/>
        <w:rPr>
          <w:sz w:val="28"/>
          <w:szCs w:val="28"/>
        </w:rPr>
      </w:pPr>
      <w:r>
        <w:rPr>
          <w:sz w:val="28"/>
          <w:szCs w:val="28"/>
        </w:rPr>
        <w:t>The 1909 session law is headed “Service of summons by publication”, indicating the that the new law would largely copy old publication law.</w:t>
      </w:r>
      <w:r>
        <w:rPr>
          <w:rStyle w:val="FootnoteReference"/>
          <w:sz w:val="28"/>
          <w:szCs w:val="28"/>
        </w:rPr>
        <w:footnoteReference w:id="9"/>
      </w:r>
      <w:r>
        <w:rPr>
          <w:sz w:val="28"/>
          <w:szCs w:val="28"/>
        </w:rPr>
        <w:t xml:space="preserve"> Indeed copying did occur. </w:t>
      </w:r>
      <w:r w:rsidR="000019B1">
        <w:rPr>
          <w:sz w:val="28"/>
          <w:szCs w:val="28"/>
        </w:rPr>
        <w:t xml:space="preserve">There are minor differences between 1905 Rev. Laws </w:t>
      </w:r>
      <w:r w:rsidR="000019B1" w:rsidRPr="00A36944">
        <w:rPr>
          <w:sz w:val="28"/>
          <w:szCs w:val="28"/>
        </w:rPr>
        <w:t>§ 4111</w:t>
      </w:r>
      <w:r w:rsidR="000019B1">
        <w:rPr>
          <w:sz w:val="28"/>
          <w:szCs w:val="28"/>
        </w:rPr>
        <w:t xml:space="preserve"> and the second </w:t>
      </w:r>
      <w:r w:rsidR="000019B1">
        <w:rPr>
          <w:sz w:val="28"/>
          <w:szCs w:val="28"/>
        </w:rPr>
        <w:lastRenderedPageBreak/>
        <w:t>paragraph of 1909 Minn. Laws ch. 496, s. 1</w:t>
      </w:r>
      <w:r>
        <w:rPr>
          <w:sz w:val="28"/>
          <w:szCs w:val="28"/>
        </w:rPr>
        <w:t>; f</w:t>
      </w:r>
      <w:r w:rsidR="000019B1">
        <w:rPr>
          <w:sz w:val="28"/>
          <w:szCs w:val="28"/>
        </w:rPr>
        <w:t>or example, the former requires six weeks of publishing while the latter requires only one week, and the latter requires posting and publishing while the former only requires publishing. However, the passages are generally very similar.</w:t>
      </w:r>
    </w:p>
    <w:p w14:paraId="5002B7D5" w14:textId="77777777" w:rsidR="00774065" w:rsidRDefault="00774065" w:rsidP="000019B1">
      <w:pPr>
        <w:pStyle w:val="ListParagraph"/>
        <w:shd w:val="clear" w:color="auto" w:fill="FFFFFF"/>
        <w:ind w:left="0"/>
        <w:jc w:val="both"/>
        <w:rPr>
          <w:sz w:val="28"/>
          <w:szCs w:val="28"/>
        </w:rPr>
      </w:pPr>
    </w:p>
    <w:p w14:paraId="59758346" w14:textId="4649259A" w:rsidR="00124F65" w:rsidRDefault="00774065" w:rsidP="00774065">
      <w:pPr>
        <w:pStyle w:val="ListParagraph"/>
        <w:shd w:val="clear" w:color="auto" w:fill="FFFFFF"/>
        <w:ind w:left="0"/>
        <w:rPr>
          <w:sz w:val="28"/>
          <w:szCs w:val="28"/>
        </w:rPr>
      </w:pPr>
      <w:r>
        <w:rPr>
          <w:sz w:val="28"/>
          <w:szCs w:val="28"/>
        </w:rPr>
        <w:t>The 1909 law presumably added a posting requirement to the publication requirement due to the short time between filing an eviction-action case and the initial hearing as opposed to a typical</w:t>
      </w:r>
      <w:r w:rsidR="009E257E">
        <w:rPr>
          <w:sz w:val="28"/>
          <w:szCs w:val="28"/>
        </w:rPr>
        <w:t>, slow-moving</w:t>
      </w:r>
      <w:r>
        <w:rPr>
          <w:sz w:val="28"/>
          <w:szCs w:val="28"/>
        </w:rPr>
        <w:t xml:space="preserve"> civil action. The fact that sixty-eight years later the 1976 legislature decided to remove the publication requirement and rely on posting does not change the clear intention of the legislature</w:t>
      </w:r>
      <w:r w:rsidR="002F3BE9">
        <w:rPr>
          <w:sz w:val="28"/>
          <w:szCs w:val="28"/>
        </w:rPr>
        <w:t xml:space="preserve"> </w:t>
      </w:r>
      <w:r>
        <w:rPr>
          <w:sz w:val="28"/>
          <w:szCs w:val="28"/>
        </w:rPr>
        <w:t>which enacted the overall scheme in 1909 to copy existing publication law.</w:t>
      </w:r>
    </w:p>
    <w:p w14:paraId="281D0038" w14:textId="6556842F" w:rsidR="00124F65" w:rsidRPr="00A427EB" w:rsidRDefault="00124F65" w:rsidP="00C3396E">
      <w:pPr>
        <w:pStyle w:val="ListParagraph"/>
        <w:shd w:val="clear" w:color="auto" w:fill="FFFFFF"/>
        <w:rPr>
          <w:sz w:val="28"/>
          <w:szCs w:val="28"/>
        </w:rPr>
      </w:pPr>
      <w:r w:rsidRPr="00C3396E">
        <w:rPr>
          <w:sz w:val="28"/>
          <w:szCs w:val="28"/>
          <w:u w:val="single"/>
        </w:rPr>
        <w:t>Case law construing the copied statute</w:t>
      </w:r>
      <w:r w:rsidR="00C3396E" w:rsidRPr="00C3396E">
        <w:rPr>
          <w:sz w:val="28"/>
          <w:szCs w:val="28"/>
          <w:u w:val="single"/>
        </w:rPr>
        <w:t xml:space="preserve"> held that </w:t>
      </w:r>
      <w:r w:rsidR="00C3396E">
        <w:rPr>
          <w:sz w:val="28"/>
          <w:szCs w:val="28"/>
          <w:u w:val="single"/>
        </w:rPr>
        <w:t xml:space="preserve">if </w:t>
      </w:r>
      <w:r w:rsidR="00C3396E" w:rsidRPr="00C3396E">
        <w:rPr>
          <w:sz w:val="28"/>
          <w:szCs w:val="28"/>
          <w:u w:val="single"/>
        </w:rPr>
        <w:t xml:space="preserve">the plaintiff </w:t>
      </w:r>
      <w:r w:rsidR="00C3396E">
        <w:rPr>
          <w:sz w:val="28"/>
          <w:szCs w:val="28"/>
          <w:u w:val="single"/>
        </w:rPr>
        <w:t>does not</w:t>
      </w:r>
      <w:r w:rsidR="00C3396E" w:rsidRPr="00C3396E">
        <w:rPr>
          <w:sz w:val="28"/>
          <w:szCs w:val="28"/>
          <w:u w:val="single"/>
        </w:rPr>
        <w:t xml:space="preserve"> file the affidavit of not found &amp; mailing before publishing </w:t>
      </w:r>
      <w:r w:rsidR="00C3396E">
        <w:rPr>
          <w:sz w:val="28"/>
          <w:szCs w:val="28"/>
          <w:u w:val="single"/>
        </w:rPr>
        <w:t>the case must be dismissed</w:t>
      </w:r>
      <w:r w:rsidR="00D11D9E">
        <w:rPr>
          <w:sz w:val="28"/>
          <w:szCs w:val="28"/>
          <w:u w:val="single"/>
        </w:rPr>
        <w:t xml:space="preserve"> for lack of personal jurisdiction</w:t>
      </w:r>
      <w:r w:rsidR="00C3396E" w:rsidRPr="00C3396E">
        <w:rPr>
          <w:sz w:val="28"/>
          <w:szCs w:val="28"/>
          <w:u w:val="single"/>
        </w:rPr>
        <w:t>.</w:t>
      </w:r>
    </w:p>
    <w:p w14:paraId="508F96E6" w14:textId="77777777" w:rsidR="00551400" w:rsidRPr="00A427EB" w:rsidRDefault="00551400" w:rsidP="0041533B">
      <w:pPr>
        <w:pStyle w:val="ListParagraph"/>
        <w:shd w:val="clear" w:color="auto" w:fill="FFFFFF"/>
        <w:ind w:left="0"/>
        <w:rPr>
          <w:sz w:val="28"/>
          <w:szCs w:val="28"/>
        </w:rPr>
      </w:pPr>
    </w:p>
    <w:p w14:paraId="2FE6AF2E" w14:textId="1AF32128" w:rsidR="00551400" w:rsidRDefault="00774065" w:rsidP="0041533B">
      <w:pPr>
        <w:pStyle w:val="ListParagraph"/>
        <w:shd w:val="clear" w:color="auto" w:fill="FFFFFF"/>
        <w:ind w:left="0"/>
        <w:rPr>
          <w:sz w:val="28"/>
          <w:szCs w:val="28"/>
        </w:rPr>
      </w:pPr>
      <w:r>
        <w:rPr>
          <w:sz w:val="28"/>
          <w:szCs w:val="28"/>
        </w:rPr>
        <w:t>Helpfully</w:t>
      </w:r>
      <w:r w:rsidR="00B55F5E">
        <w:rPr>
          <w:sz w:val="28"/>
          <w:szCs w:val="28"/>
        </w:rPr>
        <w:t xml:space="preserve">, </w:t>
      </w:r>
      <w:r>
        <w:rPr>
          <w:sz w:val="28"/>
          <w:szCs w:val="28"/>
        </w:rPr>
        <w:t>for both today’s reader and the legislators in 1909</w:t>
      </w:r>
      <w:r w:rsidR="00B56689">
        <w:rPr>
          <w:sz w:val="28"/>
          <w:szCs w:val="28"/>
        </w:rPr>
        <w:t xml:space="preserve">, </w:t>
      </w:r>
      <w:r w:rsidR="00551400" w:rsidRPr="00B51E40">
        <w:rPr>
          <w:smallCaps/>
          <w:sz w:val="28"/>
          <w:szCs w:val="28"/>
          <w:u w:val="single"/>
        </w:rPr>
        <w:t>Rev</w:t>
      </w:r>
      <w:r w:rsidRPr="00B51E40">
        <w:rPr>
          <w:smallCaps/>
          <w:sz w:val="28"/>
          <w:szCs w:val="28"/>
          <w:u w:val="single"/>
        </w:rPr>
        <w:t xml:space="preserve">ised </w:t>
      </w:r>
      <w:r w:rsidR="00551400" w:rsidRPr="00B51E40">
        <w:rPr>
          <w:smallCaps/>
          <w:sz w:val="28"/>
          <w:szCs w:val="28"/>
          <w:u w:val="single"/>
        </w:rPr>
        <w:t>Laws</w:t>
      </w:r>
      <w:r w:rsidR="00D11D9E">
        <w:rPr>
          <w:smallCaps/>
          <w:sz w:val="28"/>
          <w:szCs w:val="28"/>
          <w:u w:val="single"/>
        </w:rPr>
        <w:t xml:space="preserve"> of</w:t>
      </w:r>
      <w:r w:rsidR="00551400" w:rsidRPr="00B51E40">
        <w:rPr>
          <w:smallCaps/>
          <w:sz w:val="28"/>
          <w:szCs w:val="28"/>
          <w:u w:val="single"/>
        </w:rPr>
        <w:t xml:space="preserve"> </w:t>
      </w:r>
      <w:r w:rsidRPr="00B51E40">
        <w:rPr>
          <w:smallCaps/>
          <w:sz w:val="28"/>
          <w:szCs w:val="28"/>
          <w:u w:val="single"/>
        </w:rPr>
        <w:t>Minnesota</w:t>
      </w:r>
      <w:r w:rsidR="00D11D9E">
        <w:rPr>
          <w:smallCaps/>
          <w:sz w:val="28"/>
          <w:szCs w:val="28"/>
          <w:u w:val="single"/>
        </w:rPr>
        <w:t xml:space="preserve">, </w:t>
      </w:r>
      <w:r w:rsidRPr="00B51E40">
        <w:rPr>
          <w:smallCaps/>
          <w:sz w:val="28"/>
          <w:szCs w:val="28"/>
          <w:u w:val="single"/>
        </w:rPr>
        <w:t>1905</w:t>
      </w:r>
      <w:r>
        <w:rPr>
          <w:sz w:val="28"/>
          <w:szCs w:val="28"/>
        </w:rPr>
        <w:t xml:space="preserve"> </w:t>
      </w:r>
      <w:r w:rsidR="00C3396E">
        <w:rPr>
          <w:sz w:val="28"/>
          <w:szCs w:val="28"/>
        </w:rPr>
        <w:t>printed not just the statutes but</w:t>
      </w:r>
      <w:r w:rsidR="002F3BE9">
        <w:rPr>
          <w:sz w:val="28"/>
          <w:szCs w:val="28"/>
        </w:rPr>
        <w:t>, under each statute,</w:t>
      </w:r>
      <w:r w:rsidR="00C3396E">
        <w:rPr>
          <w:sz w:val="28"/>
          <w:szCs w:val="28"/>
        </w:rPr>
        <w:t xml:space="preserve"> </w:t>
      </w:r>
      <w:r w:rsidR="00551400" w:rsidRPr="00A427EB">
        <w:rPr>
          <w:sz w:val="28"/>
          <w:szCs w:val="28"/>
        </w:rPr>
        <w:t xml:space="preserve">citations to applicable case law. Most telling is this </w:t>
      </w:r>
      <w:r w:rsidR="00C3396E">
        <w:rPr>
          <w:sz w:val="28"/>
          <w:szCs w:val="28"/>
        </w:rPr>
        <w:t xml:space="preserve">group of citations provided for </w:t>
      </w:r>
      <w:r w:rsidRPr="00A36944">
        <w:rPr>
          <w:sz w:val="28"/>
          <w:szCs w:val="28"/>
        </w:rPr>
        <w:t>§</w:t>
      </w:r>
      <w:r>
        <w:rPr>
          <w:sz w:val="28"/>
          <w:szCs w:val="28"/>
        </w:rPr>
        <w:t xml:space="preserve"> </w:t>
      </w:r>
      <w:r w:rsidRPr="00A36944">
        <w:rPr>
          <w:sz w:val="28"/>
          <w:szCs w:val="28"/>
        </w:rPr>
        <w:t>4111</w:t>
      </w:r>
      <w:r w:rsidR="00551400" w:rsidRPr="00A427EB">
        <w:rPr>
          <w:sz w:val="28"/>
          <w:szCs w:val="28"/>
        </w:rPr>
        <w:t>:</w:t>
      </w:r>
      <w:r w:rsidR="002F3BE9" w:rsidRPr="002F3BE9">
        <w:rPr>
          <w:rStyle w:val="FootnoteReference"/>
          <w:sz w:val="28"/>
          <w:szCs w:val="28"/>
        </w:rPr>
        <w:t xml:space="preserve"> </w:t>
      </w:r>
      <w:r w:rsidR="002F3BE9" w:rsidRPr="00A427EB">
        <w:rPr>
          <w:rStyle w:val="FootnoteReference"/>
          <w:sz w:val="28"/>
          <w:szCs w:val="28"/>
        </w:rPr>
        <w:footnoteReference w:id="10"/>
      </w:r>
    </w:p>
    <w:p w14:paraId="3E088A88" w14:textId="77777777" w:rsidR="00D2036B" w:rsidRDefault="00D2036B" w:rsidP="0041533B">
      <w:pPr>
        <w:pStyle w:val="ListParagraph"/>
        <w:shd w:val="clear" w:color="auto" w:fill="FFFFFF"/>
        <w:ind w:left="0"/>
        <w:rPr>
          <w:sz w:val="28"/>
          <w:szCs w:val="28"/>
        </w:rPr>
      </w:pPr>
    </w:p>
    <w:p w14:paraId="5BD1DEF5" w14:textId="45846A8E" w:rsidR="00D2036B" w:rsidRPr="00A427EB" w:rsidRDefault="00D2036B" w:rsidP="00D2036B">
      <w:pPr>
        <w:pStyle w:val="ListParagraph"/>
        <w:shd w:val="clear" w:color="auto" w:fill="FFFFFF"/>
        <w:rPr>
          <w:sz w:val="28"/>
          <w:szCs w:val="28"/>
        </w:rPr>
      </w:pPr>
      <w:r w:rsidRPr="00D2036B">
        <w:rPr>
          <w:b/>
          <w:bCs/>
        </w:rPr>
        <w:t>4. Filing affidavit</w:t>
      </w:r>
      <w:r>
        <w:t>—The filing of the affidavit is a jurisdictional prerequisite. It cannot be filed after publication or after the commencement of publication (37-194. 33+559; 38-506, 38+698; 44-97, 46+315; 67-242, 69+903; 44-505, 47+169; 85-261, 88+748. See validating act, 1901 c. 349). What constitutes filing (85-261, 88+748).</w:t>
      </w:r>
    </w:p>
    <w:p w14:paraId="04CBCE70" w14:textId="77777777" w:rsidR="00551400" w:rsidRDefault="00551400" w:rsidP="0041533B">
      <w:pPr>
        <w:pStyle w:val="ListParagraph"/>
        <w:shd w:val="clear" w:color="auto" w:fill="FFFFFF"/>
        <w:ind w:left="0"/>
      </w:pPr>
    </w:p>
    <w:p w14:paraId="7752BE8F" w14:textId="2AA62351" w:rsidR="008047ED" w:rsidRPr="007F743D" w:rsidRDefault="00000000" w:rsidP="0041533B">
      <w:pPr>
        <w:pStyle w:val="ListParagraph"/>
        <w:shd w:val="clear" w:color="auto" w:fill="FFFFFF"/>
        <w:ind w:left="0"/>
        <w:rPr>
          <w:sz w:val="28"/>
          <w:szCs w:val="28"/>
        </w:rPr>
      </w:pPr>
      <w:hyperlink r:id="rId12" w:anchor="search=%22has%20departed%20therefrom%20with%20intent%20to%20defraud%20his%20creditors%22" w:history="1">
        <w:r w:rsidR="00A36944" w:rsidRPr="00B51E40">
          <w:rPr>
            <w:rStyle w:val="Hyperlink"/>
            <w:smallCaps/>
            <w:sz w:val="28"/>
            <w:szCs w:val="28"/>
          </w:rPr>
          <w:t>Rev</w:t>
        </w:r>
        <w:r w:rsidR="00774065" w:rsidRPr="00B51E40">
          <w:rPr>
            <w:rStyle w:val="Hyperlink"/>
            <w:smallCaps/>
            <w:sz w:val="28"/>
            <w:szCs w:val="28"/>
          </w:rPr>
          <w:t>ised</w:t>
        </w:r>
        <w:r w:rsidR="00A36944" w:rsidRPr="00B51E40">
          <w:rPr>
            <w:rStyle w:val="Hyperlink"/>
            <w:smallCaps/>
            <w:sz w:val="28"/>
            <w:szCs w:val="28"/>
          </w:rPr>
          <w:t xml:space="preserve"> Laws </w:t>
        </w:r>
        <w:r w:rsidR="00D11D9E">
          <w:rPr>
            <w:rStyle w:val="Hyperlink"/>
            <w:smallCaps/>
            <w:sz w:val="28"/>
            <w:szCs w:val="28"/>
          </w:rPr>
          <w:t xml:space="preserve">of </w:t>
        </w:r>
        <w:r w:rsidR="00774065" w:rsidRPr="00B51E40">
          <w:rPr>
            <w:rStyle w:val="Hyperlink"/>
            <w:smallCaps/>
            <w:sz w:val="28"/>
            <w:szCs w:val="28"/>
          </w:rPr>
          <w:t>Minnesota</w:t>
        </w:r>
        <w:r w:rsidR="00D11D9E">
          <w:rPr>
            <w:rStyle w:val="Hyperlink"/>
            <w:smallCaps/>
            <w:sz w:val="28"/>
            <w:szCs w:val="28"/>
          </w:rPr>
          <w:t>,</w:t>
        </w:r>
        <w:r w:rsidR="00774065" w:rsidRPr="00B51E40">
          <w:rPr>
            <w:rStyle w:val="Hyperlink"/>
            <w:smallCaps/>
            <w:sz w:val="28"/>
            <w:szCs w:val="28"/>
          </w:rPr>
          <w:t xml:space="preserve"> </w:t>
        </w:r>
        <w:r w:rsidR="00A36944" w:rsidRPr="00B51E40">
          <w:rPr>
            <w:rStyle w:val="Hyperlink"/>
            <w:smallCaps/>
            <w:sz w:val="28"/>
            <w:szCs w:val="28"/>
          </w:rPr>
          <w:t>190</w:t>
        </w:r>
        <w:r w:rsidR="00B55F5E">
          <w:rPr>
            <w:rStyle w:val="Hyperlink"/>
            <w:smallCaps/>
            <w:sz w:val="28"/>
            <w:szCs w:val="28"/>
          </w:rPr>
          <w:t xml:space="preserve">5 </w:t>
        </w:r>
        <w:r w:rsidR="00B55F5E" w:rsidRPr="00B55F5E">
          <w:rPr>
            <w:rStyle w:val="Hyperlink"/>
            <w:sz w:val="28"/>
            <w:szCs w:val="28"/>
          </w:rPr>
          <w:t>at</w:t>
        </w:r>
        <w:r w:rsidR="00B55F5E">
          <w:rPr>
            <w:rStyle w:val="Hyperlink"/>
            <w:smallCaps/>
            <w:sz w:val="28"/>
            <w:szCs w:val="28"/>
          </w:rPr>
          <w:t xml:space="preserve"> 828</w:t>
        </w:r>
      </w:hyperlink>
      <w:r w:rsidR="00A36944">
        <w:rPr>
          <w:sz w:val="28"/>
          <w:szCs w:val="28"/>
        </w:rPr>
        <w:t xml:space="preserve">. </w:t>
      </w:r>
      <w:r w:rsidR="00551400" w:rsidRPr="007F743D">
        <w:rPr>
          <w:sz w:val="28"/>
          <w:szCs w:val="28"/>
        </w:rPr>
        <w:t>The citations with a “+” sign are</w:t>
      </w:r>
      <w:r w:rsidR="008047ED" w:rsidRPr="007F743D">
        <w:rPr>
          <w:sz w:val="28"/>
          <w:szCs w:val="28"/>
        </w:rPr>
        <w:t xml:space="preserve"> cases discussing</w:t>
      </w:r>
      <w:r w:rsidR="00551400" w:rsidRPr="007F743D">
        <w:rPr>
          <w:sz w:val="28"/>
          <w:szCs w:val="28"/>
        </w:rPr>
        <w:t xml:space="preserve"> side points as are some of the others. However, the first two</w:t>
      </w:r>
      <w:r w:rsidR="008047ED" w:rsidRPr="007F743D">
        <w:rPr>
          <w:sz w:val="28"/>
          <w:szCs w:val="28"/>
        </w:rPr>
        <w:t xml:space="preserve"> cases</w:t>
      </w:r>
      <w:r w:rsidR="00551400" w:rsidRPr="007F743D">
        <w:rPr>
          <w:sz w:val="28"/>
          <w:szCs w:val="28"/>
        </w:rPr>
        <w:t xml:space="preserve"> with a </w:t>
      </w:r>
      <w:r w:rsidR="00A36944" w:rsidRPr="007F743D">
        <w:rPr>
          <w:sz w:val="28"/>
          <w:szCs w:val="28"/>
        </w:rPr>
        <w:t>“</w:t>
      </w:r>
      <w:r w:rsidR="00A36944">
        <w:rPr>
          <w:sz w:val="28"/>
          <w:szCs w:val="28"/>
        </w:rPr>
        <w:t>-</w:t>
      </w:r>
      <w:r w:rsidR="00A36944" w:rsidRPr="007F743D">
        <w:rPr>
          <w:sz w:val="28"/>
          <w:szCs w:val="28"/>
        </w:rPr>
        <w:t>”</w:t>
      </w:r>
      <w:r w:rsidR="00551400" w:rsidRPr="007F743D">
        <w:rPr>
          <w:sz w:val="28"/>
          <w:szCs w:val="28"/>
        </w:rPr>
        <w:t xml:space="preserve"> sign are </w:t>
      </w:r>
      <w:r w:rsidR="00B55F5E">
        <w:rPr>
          <w:sz w:val="28"/>
          <w:szCs w:val="28"/>
        </w:rPr>
        <w:t>directly on p</w:t>
      </w:r>
      <w:r w:rsidR="00240EB3">
        <w:rPr>
          <w:sz w:val="28"/>
          <w:szCs w:val="28"/>
        </w:rPr>
        <w:t>o</w:t>
      </w:r>
      <w:r w:rsidR="00B55F5E">
        <w:rPr>
          <w:sz w:val="28"/>
          <w:szCs w:val="28"/>
        </w:rPr>
        <w:t>int</w:t>
      </w:r>
      <w:r w:rsidR="00F33045">
        <w:rPr>
          <w:sz w:val="28"/>
          <w:szCs w:val="28"/>
        </w:rPr>
        <w:t>. B</w:t>
      </w:r>
      <w:r w:rsidR="00B55F5E">
        <w:rPr>
          <w:sz w:val="28"/>
          <w:szCs w:val="28"/>
        </w:rPr>
        <w:t>oth</w:t>
      </w:r>
      <w:r w:rsidR="00551400" w:rsidRPr="007F743D">
        <w:rPr>
          <w:sz w:val="28"/>
          <w:szCs w:val="28"/>
        </w:rPr>
        <w:t xml:space="preserve"> h</w:t>
      </w:r>
      <w:r w:rsidR="00F96344">
        <w:rPr>
          <w:sz w:val="28"/>
          <w:szCs w:val="28"/>
        </w:rPr>
        <w:t>e</w:t>
      </w:r>
      <w:r w:rsidR="00551400" w:rsidRPr="007F743D">
        <w:rPr>
          <w:sz w:val="28"/>
          <w:szCs w:val="28"/>
        </w:rPr>
        <w:t xml:space="preserve">ld that the affidavit </w:t>
      </w:r>
      <w:r w:rsidR="00B55F5E">
        <w:rPr>
          <w:sz w:val="28"/>
          <w:szCs w:val="28"/>
        </w:rPr>
        <w:t xml:space="preserve">of not found &amp; mailing </w:t>
      </w:r>
      <w:r w:rsidR="00551400" w:rsidRPr="007F743D">
        <w:rPr>
          <w:sz w:val="28"/>
          <w:szCs w:val="28"/>
        </w:rPr>
        <w:t>cannot be filed after publication or after the commencement of publication</w:t>
      </w:r>
      <w:r w:rsidR="008047ED" w:rsidRPr="007F743D">
        <w:rPr>
          <w:sz w:val="28"/>
          <w:szCs w:val="28"/>
        </w:rPr>
        <w:t xml:space="preserve"> and that failure to do so deprives the court of jurisdiction</w:t>
      </w:r>
      <w:r w:rsidR="00551400" w:rsidRPr="007F743D">
        <w:rPr>
          <w:sz w:val="28"/>
          <w:szCs w:val="28"/>
        </w:rPr>
        <w:t xml:space="preserve">. </w:t>
      </w:r>
      <w:hyperlink r:id="rId13" w:history="1">
        <w:r w:rsidR="008047ED" w:rsidRPr="007F743D">
          <w:rPr>
            <w:rStyle w:val="Hyperlink"/>
            <w:sz w:val="28"/>
            <w:szCs w:val="28"/>
            <w:lang w:val="en-CA"/>
          </w:rPr>
          <w:fldChar w:fldCharType="begin"/>
        </w:r>
        <w:r w:rsidR="008047ED" w:rsidRPr="007F743D">
          <w:rPr>
            <w:rStyle w:val="Hyperlink"/>
            <w:sz w:val="28"/>
            <w:szCs w:val="28"/>
            <w:lang w:val="en-CA"/>
          </w:rPr>
          <w:instrText xml:space="preserve"> SEQ CHAPTER \h \r 1</w:instrText>
        </w:r>
        <w:r w:rsidR="008047ED" w:rsidRPr="007F743D">
          <w:rPr>
            <w:rStyle w:val="Hyperlink"/>
            <w:sz w:val="28"/>
            <w:szCs w:val="28"/>
            <w:lang w:val="en-CA"/>
          </w:rPr>
          <w:fldChar w:fldCharType="end"/>
        </w:r>
        <w:r w:rsidR="008047ED" w:rsidRPr="007F743D">
          <w:rPr>
            <w:rStyle w:val="Hyperlink"/>
            <w:sz w:val="28"/>
            <w:szCs w:val="28"/>
            <w:lang w:val="en-CA"/>
          </w:rPr>
          <w:fldChar w:fldCharType="begin"/>
        </w:r>
        <w:r w:rsidR="008047ED" w:rsidRPr="007F743D">
          <w:rPr>
            <w:rStyle w:val="Hyperlink"/>
            <w:sz w:val="28"/>
            <w:szCs w:val="28"/>
            <w:lang w:val="en-CA"/>
          </w:rPr>
          <w:instrText xml:space="preserve"> SEQ CHAPTER \h \r 1</w:instrText>
        </w:r>
        <w:r w:rsidR="008047ED" w:rsidRPr="007F743D">
          <w:rPr>
            <w:rStyle w:val="Hyperlink"/>
            <w:sz w:val="28"/>
            <w:szCs w:val="28"/>
            <w:lang w:val="en-CA"/>
          </w:rPr>
          <w:fldChar w:fldCharType="end"/>
        </w:r>
        <w:r w:rsidR="008047ED" w:rsidRPr="007F743D">
          <w:rPr>
            <w:rStyle w:val="Hyperlink"/>
            <w:i/>
            <w:iCs/>
            <w:sz w:val="28"/>
            <w:szCs w:val="28"/>
          </w:rPr>
          <w:t>Barber v. Morris</w:t>
        </w:r>
        <w:r w:rsidR="008047ED" w:rsidRPr="007F743D">
          <w:rPr>
            <w:rStyle w:val="Hyperlink"/>
            <w:sz w:val="28"/>
            <w:szCs w:val="28"/>
          </w:rPr>
          <w:t>, 37 Minn. 194 (1887)</w:t>
        </w:r>
      </w:hyperlink>
      <w:r w:rsidR="008047ED" w:rsidRPr="007F743D">
        <w:rPr>
          <w:sz w:val="28"/>
          <w:szCs w:val="28"/>
          <w:lang w:val="en-CA"/>
        </w:rPr>
        <w:t xml:space="preserve">; </w:t>
      </w:r>
      <w:hyperlink r:id="rId14" w:history="1">
        <w:r w:rsidR="008047ED" w:rsidRPr="007F743D">
          <w:rPr>
            <w:rStyle w:val="Hyperlink"/>
            <w:sz w:val="28"/>
            <w:szCs w:val="28"/>
            <w:lang w:val="en-CA"/>
          </w:rPr>
          <w:fldChar w:fldCharType="begin"/>
        </w:r>
        <w:r w:rsidR="008047ED" w:rsidRPr="007F743D">
          <w:rPr>
            <w:rStyle w:val="Hyperlink"/>
            <w:sz w:val="28"/>
            <w:szCs w:val="28"/>
            <w:lang w:val="en-CA"/>
          </w:rPr>
          <w:instrText xml:space="preserve"> SEQ CHAPTER \h \r 1</w:instrText>
        </w:r>
        <w:r w:rsidR="008047ED" w:rsidRPr="007F743D">
          <w:rPr>
            <w:rStyle w:val="Hyperlink"/>
            <w:sz w:val="28"/>
            <w:szCs w:val="28"/>
            <w:lang w:val="en-CA"/>
          </w:rPr>
          <w:fldChar w:fldCharType="end"/>
        </w:r>
        <w:r w:rsidR="008047ED" w:rsidRPr="007F743D">
          <w:rPr>
            <w:rStyle w:val="Hyperlink"/>
            <w:i/>
            <w:iCs/>
            <w:sz w:val="28"/>
            <w:szCs w:val="28"/>
          </w:rPr>
          <w:t>Brown v. St. Paul &amp; Northern Pacific Railway Co.</w:t>
        </w:r>
        <w:r w:rsidR="008047ED" w:rsidRPr="007F743D">
          <w:rPr>
            <w:rStyle w:val="Hyperlink"/>
            <w:sz w:val="28"/>
            <w:szCs w:val="28"/>
          </w:rPr>
          <w:t>, 38 Minn. 506 (1888)</w:t>
        </w:r>
      </w:hyperlink>
      <w:r w:rsidR="008047ED" w:rsidRPr="007F743D">
        <w:rPr>
          <w:sz w:val="28"/>
          <w:szCs w:val="28"/>
        </w:rPr>
        <w:t>.</w:t>
      </w:r>
      <w:r w:rsidR="00CC0C4F">
        <w:rPr>
          <w:rStyle w:val="FootnoteReference"/>
          <w:sz w:val="28"/>
          <w:szCs w:val="28"/>
        </w:rPr>
        <w:footnoteReference w:id="11"/>
      </w:r>
    </w:p>
    <w:p w14:paraId="7A29A392" w14:textId="77777777" w:rsidR="00026F79" w:rsidRDefault="00026F79" w:rsidP="0041533B">
      <w:pPr>
        <w:pStyle w:val="ListParagraph"/>
        <w:shd w:val="clear" w:color="auto" w:fill="FFFFFF"/>
        <w:ind w:left="0"/>
        <w:rPr>
          <w:sz w:val="28"/>
          <w:szCs w:val="28"/>
        </w:rPr>
      </w:pPr>
    </w:p>
    <w:p w14:paraId="0F186D13" w14:textId="28DBD2C3" w:rsidR="00F96344" w:rsidRPr="00F96344" w:rsidRDefault="00F96344" w:rsidP="00F96344">
      <w:pPr>
        <w:pStyle w:val="ListParagraph"/>
        <w:shd w:val="clear" w:color="auto" w:fill="FFFFFF"/>
        <w:rPr>
          <w:sz w:val="28"/>
          <w:szCs w:val="28"/>
          <w:u w:val="single"/>
        </w:rPr>
      </w:pPr>
      <w:r w:rsidRPr="00F96344">
        <w:rPr>
          <w:sz w:val="28"/>
          <w:szCs w:val="28"/>
          <w:u w:val="single"/>
        </w:rPr>
        <w:t xml:space="preserve">Summary: </w:t>
      </w:r>
      <w:r w:rsidR="00427711">
        <w:rPr>
          <w:sz w:val="28"/>
          <w:szCs w:val="28"/>
          <w:u w:val="single"/>
        </w:rPr>
        <w:t>S</w:t>
      </w:r>
      <w:r w:rsidRPr="00F96344">
        <w:rPr>
          <w:sz w:val="28"/>
          <w:szCs w:val="28"/>
          <w:u w:val="single"/>
        </w:rPr>
        <w:t>ervice by posting can only be done after the affidavit of not found &amp; mailing is filed.</w:t>
      </w:r>
    </w:p>
    <w:p w14:paraId="776E8688" w14:textId="77777777" w:rsidR="00F96344" w:rsidRDefault="00F96344" w:rsidP="0041533B">
      <w:pPr>
        <w:pStyle w:val="ListParagraph"/>
        <w:shd w:val="clear" w:color="auto" w:fill="FFFFFF"/>
        <w:ind w:left="0"/>
        <w:rPr>
          <w:sz w:val="28"/>
          <w:szCs w:val="28"/>
        </w:rPr>
      </w:pPr>
    </w:p>
    <w:p w14:paraId="40FE5769" w14:textId="7E330A4C" w:rsidR="00F96344" w:rsidRDefault="00BF3DCC" w:rsidP="0041533B">
      <w:pPr>
        <w:pStyle w:val="ListParagraph"/>
        <w:shd w:val="clear" w:color="auto" w:fill="FFFFFF"/>
        <w:ind w:left="0"/>
        <w:rPr>
          <w:sz w:val="28"/>
          <w:szCs w:val="28"/>
        </w:rPr>
      </w:pPr>
      <w:r>
        <w:rPr>
          <w:sz w:val="28"/>
          <w:szCs w:val="28"/>
        </w:rPr>
        <w:t>T</w:t>
      </w:r>
      <w:r w:rsidR="008047ED">
        <w:rPr>
          <w:sz w:val="28"/>
          <w:szCs w:val="28"/>
        </w:rPr>
        <w:t xml:space="preserve">he 1909 legislators knew </w:t>
      </w:r>
      <w:r w:rsidR="00EE578E">
        <w:rPr>
          <w:sz w:val="28"/>
          <w:szCs w:val="28"/>
        </w:rPr>
        <w:t>two things</w:t>
      </w:r>
      <w:r>
        <w:rPr>
          <w:sz w:val="28"/>
          <w:szCs w:val="28"/>
        </w:rPr>
        <w:t xml:space="preserve"> when they enacted chapter 496</w:t>
      </w:r>
      <w:r w:rsidR="008047ED">
        <w:rPr>
          <w:sz w:val="28"/>
          <w:szCs w:val="28"/>
        </w:rPr>
        <w:t xml:space="preserve">: [a] </w:t>
      </w:r>
      <w:r w:rsidR="00240EB3">
        <w:rPr>
          <w:sz w:val="28"/>
          <w:szCs w:val="28"/>
        </w:rPr>
        <w:t>The e</w:t>
      </w:r>
      <w:r w:rsidR="008047ED">
        <w:rPr>
          <w:sz w:val="28"/>
          <w:szCs w:val="28"/>
        </w:rPr>
        <w:t xml:space="preserve">xisting publication law required the plaintiff to file the affidavit of not found </w:t>
      </w:r>
      <w:r w:rsidR="00D8597A">
        <w:rPr>
          <w:sz w:val="28"/>
          <w:szCs w:val="28"/>
        </w:rPr>
        <w:t>&amp;</w:t>
      </w:r>
      <w:r>
        <w:rPr>
          <w:sz w:val="28"/>
          <w:szCs w:val="28"/>
        </w:rPr>
        <w:t xml:space="preserve"> mailing </w:t>
      </w:r>
      <w:r w:rsidR="008047ED">
        <w:rPr>
          <w:sz w:val="28"/>
          <w:szCs w:val="28"/>
        </w:rPr>
        <w:t>before publishing. Failure to do so rendered his case void and deprived the court of jurisdiction. [b] The new (proposed) law for serving eviction-action complaints by publication</w:t>
      </w:r>
      <w:r w:rsidR="006B10F3">
        <w:rPr>
          <w:sz w:val="28"/>
          <w:szCs w:val="28"/>
        </w:rPr>
        <w:t xml:space="preserve"> largely</w:t>
      </w:r>
      <w:r w:rsidR="008047ED">
        <w:rPr>
          <w:sz w:val="28"/>
          <w:szCs w:val="28"/>
        </w:rPr>
        <w:t xml:space="preserve"> copied the existing general publication law </w:t>
      </w:r>
      <w:r>
        <w:rPr>
          <w:sz w:val="28"/>
          <w:szCs w:val="28"/>
        </w:rPr>
        <w:t>(and added a posting requirement). Thus the 1909 session law incorporated this jurisdictional rul</w:t>
      </w:r>
      <w:r w:rsidR="00240EB3">
        <w:rPr>
          <w:sz w:val="28"/>
          <w:szCs w:val="28"/>
        </w:rPr>
        <w:t>e.</w:t>
      </w:r>
      <w:r w:rsidR="00A427EB">
        <w:rPr>
          <w:rStyle w:val="FootnoteReference"/>
          <w:sz w:val="28"/>
          <w:szCs w:val="28"/>
        </w:rPr>
        <w:footnoteReference w:id="12"/>
      </w:r>
      <w:r>
        <w:rPr>
          <w:sz w:val="28"/>
          <w:szCs w:val="28"/>
        </w:rPr>
        <w:t xml:space="preserve"> </w:t>
      </w:r>
    </w:p>
    <w:p w14:paraId="6B7A4FE1" w14:textId="77777777" w:rsidR="00F96344" w:rsidRDefault="00F96344" w:rsidP="0041533B">
      <w:pPr>
        <w:pStyle w:val="ListParagraph"/>
        <w:shd w:val="clear" w:color="auto" w:fill="FFFFFF"/>
        <w:ind w:left="0"/>
        <w:rPr>
          <w:sz w:val="28"/>
          <w:szCs w:val="28"/>
        </w:rPr>
      </w:pPr>
    </w:p>
    <w:p w14:paraId="02BFB336" w14:textId="08C13048" w:rsidR="00DD5C6B" w:rsidRDefault="00C07591" w:rsidP="0002716B">
      <w:pPr>
        <w:pStyle w:val="ListParagraph"/>
        <w:shd w:val="clear" w:color="auto" w:fill="FFFFFF"/>
        <w:ind w:left="0"/>
        <w:rPr>
          <w:sz w:val="28"/>
          <w:szCs w:val="28"/>
        </w:rPr>
      </w:pPr>
      <w:r>
        <w:rPr>
          <w:sz w:val="28"/>
          <w:szCs w:val="28"/>
        </w:rPr>
        <w:t>Since t</w:t>
      </w:r>
      <w:r w:rsidR="00BF3DCC">
        <w:rPr>
          <w:sz w:val="28"/>
          <w:szCs w:val="28"/>
        </w:rPr>
        <w:t xml:space="preserve">he current 2023 statute remains materially unchanged </w:t>
      </w:r>
      <w:r w:rsidR="00F33045">
        <w:rPr>
          <w:sz w:val="28"/>
          <w:szCs w:val="28"/>
        </w:rPr>
        <w:t>regarding</w:t>
      </w:r>
      <w:r w:rsidR="00BF3DCC">
        <w:rPr>
          <w:sz w:val="28"/>
          <w:szCs w:val="28"/>
        </w:rPr>
        <w:t xml:space="preserve"> the sequence of the filing the affidavit and posting, the same jurisdictional rule applies</w:t>
      </w:r>
      <w:r>
        <w:rPr>
          <w:sz w:val="28"/>
          <w:szCs w:val="28"/>
        </w:rPr>
        <w:t>. The</w:t>
      </w:r>
      <w:r w:rsidR="00BF3DCC">
        <w:rPr>
          <w:sz w:val="28"/>
          <w:szCs w:val="28"/>
        </w:rPr>
        <w:t xml:space="preserve"> plaintiff must file the affidavit </w:t>
      </w:r>
      <w:r w:rsidR="00240EB3">
        <w:rPr>
          <w:sz w:val="28"/>
          <w:szCs w:val="28"/>
        </w:rPr>
        <w:t xml:space="preserve">of not found &amp; mailing </w:t>
      </w:r>
      <w:r w:rsidR="00BF3DCC">
        <w:rPr>
          <w:sz w:val="28"/>
          <w:szCs w:val="28"/>
        </w:rPr>
        <w:t>before posting the summons or forfeit jurisdiction.</w:t>
      </w:r>
    </w:p>
    <w:p w14:paraId="41205D17" w14:textId="77777777" w:rsidR="0002716B" w:rsidRDefault="0002716B" w:rsidP="0002716B">
      <w:pPr>
        <w:pStyle w:val="ListParagraph"/>
        <w:shd w:val="clear" w:color="auto" w:fill="FFFFFF"/>
        <w:ind w:left="0"/>
        <w:rPr>
          <w:sz w:val="28"/>
          <w:szCs w:val="28"/>
        </w:rPr>
      </w:pPr>
    </w:p>
    <w:p w14:paraId="739D51FA" w14:textId="64DAACDE" w:rsidR="00DD5C6B" w:rsidRPr="00DD5C6B" w:rsidRDefault="00DD5C6B">
      <w:pPr>
        <w:spacing w:after="160" w:line="259" w:lineRule="auto"/>
        <w:rPr>
          <w:b/>
          <w:bCs/>
          <w:sz w:val="28"/>
          <w:szCs w:val="28"/>
        </w:rPr>
      </w:pPr>
      <w:r w:rsidRPr="00DD5C6B">
        <w:rPr>
          <w:b/>
          <w:bCs/>
          <w:sz w:val="28"/>
          <w:szCs w:val="28"/>
        </w:rPr>
        <w:t>IV. THE 2023 SESSION LAW</w:t>
      </w:r>
      <w:r w:rsidR="002C5C23">
        <w:rPr>
          <w:b/>
          <w:bCs/>
          <w:sz w:val="28"/>
          <w:szCs w:val="28"/>
        </w:rPr>
        <w:t>.</w:t>
      </w:r>
    </w:p>
    <w:p w14:paraId="52A48D08" w14:textId="293C11CD" w:rsidR="00DD5C6B" w:rsidRDefault="00DD5C6B">
      <w:pPr>
        <w:spacing w:after="160" w:line="259" w:lineRule="auto"/>
        <w:rPr>
          <w:sz w:val="28"/>
          <w:szCs w:val="28"/>
        </w:rPr>
      </w:pPr>
      <w:r>
        <w:rPr>
          <w:sz w:val="28"/>
          <w:szCs w:val="28"/>
        </w:rPr>
        <w:t>The 2023 legislature amended several parts Minn. Stat. §</w:t>
      </w:r>
      <w:r w:rsidR="0002716B">
        <w:rPr>
          <w:sz w:val="28"/>
          <w:szCs w:val="28"/>
        </w:rPr>
        <w:t xml:space="preserve"> </w:t>
      </w:r>
      <w:r>
        <w:rPr>
          <w:sz w:val="28"/>
          <w:szCs w:val="28"/>
        </w:rPr>
        <w:t>504B.331. The amendment</w:t>
      </w:r>
      <w:r w:rsidR="002F3BE9">
        <w:rPr>
          <w:sz w:val="28"/>
          <w:szCs w:val="28"/>
        </w:rPr>
        <w:t>s</w:t>
      </w:r>
      <w:r>
        <w:rPr>
          <w:rStyle w:val="FootnoteReference"/>
          <w:sz w:val="28"/>
          <w:szCs w:val="28"/>
        </w:rPr>
        <w:footnoteReference w:id="13"/>
      </w:r>
      <w:r>
        <w:rPr>
          <w:sz w:val="28"/>
          <w:szCs w:val="28"/>
        </w:rPr>
        <w:t xml:space="preserve"> </w:t>
      </w:r>
      <w:r w:rsidR="002F3BE9">
        <w:rPr>
          <w:sz w:val="28"/>
          <w:szCs w:val="28"/>
        </w:rPr>
        <w:t>are</w:t>
      </w:r>
      <w:r>
        <w:rPr>
          <w:sz w:val="28"/>
          <w:szCs w:val="28"/>
        </w:rPr>
        <w:t xml:space="preserve"> effective January 1, 2024. The amendment to part (d) was as follows (using Revisor’s font to show additions </w:t>
      </w:r>
      <w:r w:rsidR="00301725">
        <w:rPr>
          <w:sz w:val="28"/>
          <w:szCs w:val="28"/>
        </w:rPr>
        <w:t xml:space="preserve">as </w:t>
      </w:r>
      <w:r>
        <w:rPr>
          <w:sz w:val="28"/>
          <w:szCs w:val="28"/>
        </w:rPr>
        <w:t xml:space="preserve">underlined and deletions </w:t>
      </w:r>
      <w:r w:rsidR="00301725">
        <w:rPr>
          <w:sz w:val="28"/>
          <w:szCs w:val="28"/>
        </w:rPr>
        <w:t xml:space="preserve">as </w:t>
      </w:r>
      <w:r>
        <w:rPr>
          <w:sz w:val="28"/>
          <w:szCs w:val="28"/>
        </w:rPr>
        <w:t>struck out):</w:t>
      </w:r>
    </w:p>
    <w:p w14:paraId="1F57C769" w14:textId="09346616" w:rsidR="00DD5C6B" w:rsidRPr="0045792D" w:rsidRDefault="00DD5C6B" w:rsidP="0045792D">
      <w:pPr>
        <w:pStyle w:val="NormalWeb"/>
        <w:shd w:val="clear" w:color="auto" w:fill="FFFFFF"/>
        <w:spacing w:before="48" w:beforeAutospacing="0" w:after="120" w:afterAutospacing="0"/>
        <w:ind w:left="720" w:firstLine="960"/>
        <w:rPr>
          <w:color w:val="000000"/>
          <w:sz w:val="28"/>
          <w:szCs w:val="28"/>
        </w:rPr>
      </w:pPr>
      <w:r w:rsidRPr="0045792D">
        <w:rPr>
          <w:color w:val="000000"/>
          <w:sz w:val="28"/>
          <w:szCs w:val="28"/>
        </w:rPr>
        <w:t>(d) Where the defendant cannot be found in the county, service of the summons</w:t>
      </w:r>
      <w:r w:rsidR="00504F05">
        <w:rPr>
          <w:color w:val="000000"/>
          <w:sz w:val="28"/>
          <w:szCs w:val="28"/>
        </w:rPr>
        <w:t xml:space="preserve"> </w:t>
      </w:r>
      <w:r w:rsidR="00504F05" w:rsidRPr="00504F05">
        <w:rPr>
          <w:color w:val="000000"/>
          <w:sz w:val="28"/>
          <w:szCs w:val="28"/>
          <w:u w:val="single"/>
        </w:rPr>
        <w:t>and complaint</w:t>
      </w:r>
      <w:r w:rsidRPr="0045792D">
        <w:rPr>
          <w:color w:val="000000"/>
          <w:sz w:val="28"/>
          <w:szCs w:val="28"/>
        </w:rPr>
        <w:t> may be made upon the defendant by posting the summons in a conspicuous place on the property for not less than one week if:</w:t>
      </w:r>
    </w:p>
    <w:p w14:paraId="0589CD95" w14:textId="77777777" w:rsidR="00DD5C6B" w:rsidRPr="0045792D" w:rsidRDefault="00DD5C6B" w:rsidP="0045792D">
      <w:pPr>
        <w:pStyle w:val="NormalWeb"/>
        <w:shd w:val="clear" w:color="auto" w:fill="FFFFFF"/>
        <w:spacing w:before="48" w:beforeAutospacing="0" w:after="120" w:afterAutospacing="0"/>
        <w:ind w:left="720" w:firstLine="960"/>
        <w:rPr>
          <w:color w:val="000000"/>
          <w:sz w:val="28"/>
          <w:szCs w:val="28"/>
        </w:rPr>
      </w:pPr>
      <w:r w:rsidRPr="0045792D">
        <w:rPr>
          <w:color w:val="000000"/>
          <w:sz w:val="28"/>
          <w:szCs w:val="28"/>
        </w:rPr>
        <w:t>(1) the property described in the complaint is:</w:t>
      </w:r>
    </w:p>
    <w:p w14:paraId="12A076B8" w14:textId="77777777" w:rsidR="00DD5C6B" w:rsidRPr="0045792D" w:rsidRDefault="00DD5C6B" w:rsidP="0045792D">
      <w:pPr>
        <w:pStyle w:val="NormalWeb"/>
        <w:shd w:val="clear" w:color="auto" w:fill="FFFFFF"/>
        <w:spacing w:before="48" w:beforeAutospacing="0" w:after="120" w:afterAutospacing="0"/>
        <w:ind w:left="720" w:firstLine="960"/>
        <w:rPr>
          <w:color w:val="000000"/>
          <w:sz w:val="28"/>
          <w:szCs w:val="28"/>
        </w:rPr>
      </w:pPr>
      <w:r w:rsidRPr="0045792D">
        <w:rPr>
          <w:color w:val="000000"/>
          <w:sz w:val="28"/>
          <w:szCs w:val="28"/>
        </w:rPr>
        <w:t>(i) nonresidential and no person actually occupies the property; or</w:t>
      </w:r>
    </w:p>
    <w:p w14:paraId="30F71D0D" w14:textId="77777777" w:rsidR="00DD5C6B" w:rsidRPr="0045792D" w:rsidRDefault="00DD5C6B" w:rsidP="0045792D">
      <w:pPr>
        <w:pStyle w:val="NormalWeb"/>
        <w:shd w:val="clear" w:color="auto" w:fill="FFFFFF"/>
        <w:spacing w:before="48" w:beforeAutospacing="0" w:after="120" w:afterAutospacing="0"/>
        <w:ind w:left="720" w:firstLine="960"/>
        <w:rPr>
          <w:color w:val="000000"/>
          <w:sz w:val="28"/>
          <w:szCs w:val="28"/>
        </w:rPr>
      </w:pPr>
      <w:r w:rsidRPr="0045792D">
        <w:rPr>
          <w:color w:val="000000"/>
          <w:sz w:val="28"/>
          <w:szCs w:val="28"/>
        </w:rPr>
        <w:lastRenderedPageBreak/>
        <w:t>(ii) residential and service has been attempted at least twice on different days, with at least one of the attempts having been made between the hours of 6:00 p.m. and 10:00 p.m.; and</w:t>
      </w:r>
    </w:p>
    <w:p w14:paraId="13225C02" w14:textId="77777777" w:rsidR="00DD5C6B" w:rsidRPr="0045792D" w:rsidRDefault="00DD5C6B" w:rsidP="0045792D">
      <w:pPr>
        <w:pStyle w:val="NormalWeb"/>
        <w:shd w:val="clear" w:color="auto" w:fill="FFFFFF"/>
        <w:spacing w:before="48" w:beforeAutospacing="0" w:after="120" w:afterAutospacing="0"/>
        <w:ind w:left="720" w:firstLine="960"/>
        <w:rPr>
          <w:color w:val="000000"/>
          <w:sz w:val="28"/>
          <w:szCs w:val="28"/>
        </w:rPr>
      </w:pPr>
      <w:r w:rsidRPr="0045792D">
        <w:rPr>
          <w:color w:val="000000"/>
          <w:sz w:val="28"/>
          <w:szCs w:val="28"/>
        </w:rPr>
        <w:t>(2) the plaintiff or the plaintiff's attorney has signed and filed with the court an affidavit stating that:</w:t>
      </w:r>
    </w:p>
    <w:p w14:paraId="28307BDD" w14:textId="77777777" w:rsidR="00DD5C6B" w:rsidRPr="0045792D" w:rsidRDefault="00DD5C6B" w:rsidP="0045792D">
      <w:pPr>
        <w:pStyle w:val="NormalWeb"/>
        <w:shd w:val="clear" w:color="auto" w:fill="FFFFFF"/>
        <w:spacing w:before="48" w:beforeAutospacing="0" w:after="120" w:afterAutospacing="0"/>
        <w:ind w:left="720" w:firstLine="960"/>
        <w:rPr>
          <w:color w:val="000000"/>
          <w:sz w:val="28"/>
          <w:szCs w:val="28"/>
        </w:rPr>
      </w:pPr>
      <w:r w:rsidRPr="0045792D">
        <w:rPr>
          <w:color w:val="000000"/>
          <w:sz w:val="28"/>
          <w:szCs w:val="28"/>
        </w:rPr>
        <w:t>(i) the defendant cannot be found, or that the plaintiff or the plaintiff's attorney believes that the defendant is not in the state; </w:t>
      </w:r>
      <w:r w:rsidRPr="0045792D">
        <w:rPr>
          <w:rStyle w:val="del"/>
          <w:strike/>
          <w:color w:val="000000"/>
          <w:sz w:val="28"/>
          <w:szCs w:val="28"/>
        </w:rPr>
        <w:t>and</w:t>
      </w:r>
    </w:p>
    <w:p w14:paraId="670C9D88" w14:textId="1FC61914" w:rsidR="00DD5C6B" w:rsidRDefault="00DD5C6B" w:rsidP="0045792D">
      <w:pPr>
        <w:pStyle w:val="NormalWeb"/>
        <w:shd w:val="clear" w:color="auto" w:fill="FFFFFF"/>
        <w:spacing w:before="48" w:beforeAutospacing="0" w:after="120" w:afterAutospacing="0"/>
        <w:ind w:left="720" w:firstLine="960"/>
        <w:rPr>
          <w:b/>
          <w:bCs/>
          <w:color w:val="000000"/>
          <w:sz w:val="28"/>
          <w:szCs w:val="28"/>
          <w:u w:val="single"/>
        </w:rPr>
      </w:pPr>
      <w:r w:rsidRPr="0045792D">
        <w:rPr>
          <w:color w:val="000000"/>
          <w:sz w:val="28"/>
          <w:szCs w:val="28"/>
        </w:rPr>
        <w:t>(ii) a copy of the summons has been mailed to the defendant at the defendant's last known address if any is known to the plaintif</w:t>
      </w:r>
      <w:r w:rsidR="006D1C7A">
        <w:rPr>
          <w:color w:val="000000"/>
          <w:sz w:val="28"/>
          <w:szCs w:val="28"/>
        </w:rPr>
        <w:t>f</w:t>
      </w:r>
      <w:r w:rsidR="006D1C7A" w:rsidRPr="006D1C7A">
        <w:rPr>
          <w:strike/>
          <w:color w:val="000000"/>
          <w:sz w:val="28"/>
          <w:szCs w:val="28"/>
        </w:rPr>
        <w:t>.</w:t>
      </w:r>
      <w:r w:rsidR="006D1C7A" w:rsidRPr="006D1C7A">
        <w:rPr>
          <w:b/>
          <w:bCs/>
          <w:color w:val="000000"/>
          <w:sz w:val="28"/>
          <w:szCs w:val="28"/>
          <w:u w:val="single"/>
        </w:rPr>
        <w:t>;</w:t>
      </w:r>
      <w:r w:rsidR="006D1C7A">
        <w:rPr>
          <w:b/>
          <w:bCs/>
          <w:color w:val="000000"/>
          <w:sz w:val="28"/>
          <w:szCs w:val="28"/>
          <w:u w:val="single"/>
        </w:rPr>
        <w:t xml:space="preserve"> </w:t>
      </w:r>
      <w:r w:rsidR="006D1C7A" w:rsidRPr="006D1C7A">
        <w:rPr>
          <w:b/>
          <w:bCs/>
          <w:color w:val="000000"/>
          <w:sz w:val="28"/>
          <w:szCs w:val="28"/>
          <w:u w:val="single"/>
        </w:rPr>
        <w:t>or</w:t>
      </w:r>
    </w:p>
    <w:p w14:paraId="03F48F96" w14:textId="0C0D4CF3" w:rsidR="0000773B" w:rsidRPr="0000773B" w:rsidRDefault="0000773B" w:rsidP="0045792D">
      <w:pPr>
        <w:pStyle w:val="NormalWeb"/>
        <w:shd w:val="clear" w:color="auto" w:fill="FFFFFF"/>
        <w:spacing w:before="48" w:beforeAutospacing="0" w:after="120" w:afterAutospacing="0"/>
        <w:ind w:left="720" w:firstLine="960"/>
        <w:rPr>
          <w:b/>
          <w:bCs/>
          <w:color w:val="000000"/>
          <w:sz w:val="28"/>
          <w:szCs w:val="28"/>
        </w:rPr>
      </w:pPr>
      <w:r w:rsidRPr="0000773B">
        <w:rPr>
          <w:color w:val="000000"/>
          <w:sz w:val="28"/>
          <w:szCs w:val="28"/>
          <w:u w:val="single"/>
        </w:rPr>
        <w:t>(iii) the plaintiff or plaintiff’s attorney has communicated to the defendant that an eviction hearing has been scheduled, including the date, time, and place of the hearing specified in the summons, by at least one form of written communication the plaintiff regularly uses to communicate with the defendant that have a date and time stamp.</w:t>
      </w:r>
      <w:r w:rsidRPr="0000773B">
        <w:rPr>
          <w:b/>
          <w:bCs/>
          <w:color w:val="000000"/>
          <w:sz w:val="28"/>
          <w:szCs w:val="28"/>
        </w:rPr>
        <w:t xml:space="preserve"> [bolding added, strikeouts and underlines in original]</w:t>
      </w:r>
    </w:p>
    <w:p w14:paraId="409B4C71" w14:textId="204E5882" w:rsidR="0042224B" w:rsidRDefault="0042224B">
      <w:pPr>
        <w:spacing w:after="160" w:line="259" w:lineRule="auto"/>
        <w:rPr>
          <w:sz w:val="28"/>
          <w:szCs w:val="28"/>
        </w:rPr>
      </w:pPr>
      <w:r>
        <w:rPr>
          <w:sz w:val="28"/>
          <w:szCs w:val="28"/>
        </w:rPr>
        <w:t>The main change is that the landlord can choose between mailing the summons and sending another communication (</w:t>
      </w:r>
      <w:r w:rsidR="0045792D">
        <w:rPr>
          <w:sz w:val="28"/>
          <w:szCs w:val="28"/>
        </w:rPr>
        <w:t>e.g.,</w:t>
      </w:r>
      <w:r>
        <w:rPr>
          <w:sz w:val="28"/>
          <w:szCs w:val="28"/>
        </w:rPr>
        <w:t xml:space="preserve"> an email</w:t>
      </w:r>
      <w:r w:rsidR="0045792D">
        <w:rPr>
          <w:sz w:val="28"/>
          <w:szCs w:val="28"/>
        </w:rPr>
        <w:t>) stating the date, time, and place of the initial hea</w:t>
      </w:r>
      <w:r>
        <w:rPr>
          <w:sz w:val="28"/>
          <w:szCs w:val="28"/>
        </w:rPr>
        <w:t xml:space="preserve">ring. </w:t>
      </w:r>
    </w:p>
    <w:p w14:paraId="5A56F463" w14:textId="749037C7" w:rsidR="0042224B" w:rsidRDefault="0042224B">
      <w:pPr>
        <w:spacing w:after="160" w:line="259" w:lineRule="auto"/>
        <w:rPr>
          <w:sz w:val="28"/>
          <w:szCs w:val="28"/>
        </w:rPr>
      </w:pPr>
      <w:r>
        <w:rPr>
          <w:sz w:val="28"/>
          <w:szCs w:val="28"/>
        </w:rPr>
        <w:t xml:space="preserve">Historically when using nail-and-mail, landlords have mailed a photocopy of the summons and complaint. </w:t>
      </w:r>
      <w:r w:rsidR="00301725">
        <w:rPr>
          <w:sz w:val="28"/>
          <w:szCs w:val="28"/>
        </w:rPr>
        <w:t>S</w:t>
      </w:r>
      <w:r>
        <w:rPr>
          <w:sz w:val="28"/>
          <w:szCs w:val="28"/>
        </w:rPr>
        <w:t xml:space="preserve">tarting next year the landlord can instead just email the tenant with the date, time, and place of the initial hearing. If this email is sent before the summons is posted, </w:t>
      </w:r>
      <w:r w:rsidR="00242C18">
        <w:rPr>
          <w:sz w:val="28"/>
          <w:szCs w:val="28"/>
        </w:rPr>
        <w:t xml:space="preserve">at least </w:t>
      </w:r>
      <w:r>
        <w:rPr>
          <w:sz w:val="28"/>
          <w:szCs w:val="28"/>
        </w:rPr>
        <w:t xml:space="preserve">the tenant </w:t>
      </w:r>
      <w:r w:rsidR="00242C18">
        <w:rPr>
          <w:sz w:val="28"/>
          <w:szCs w:val="28"/>
        </w:rPr>
        <w:t>can</w:t>
      </w:r>
      <w:r w:rsidR="002F3BE9">
        <w:rPr>
          <w:sz w:val="28"/>
          <w:szCs w:val="28"/>
        </w:rPr>
        <w:t xml:space="preserve"> be</w:t>
      </w:r>
      <w:r>
        <w:rPr>
          <w:sz w:val="28"/>
          <w:szCs w:val="28"/>
        </w:rPr>
        <w:t xml:space="preserve"> on the lookout for the posted summons. If the summons is posted before the email, the email doesn’t help the tenant to be on the lookout </w:t>
      </w:r>
      <w:r w:rsidR="00242C18">
        <w:rPr>
          <w:sz w:val="28"/>
          <w:szCs w:val="28"/>
        </w:rPr>
        <w:t>or</w:t>
      </w:r>
      <w:r>
        <w:rPr>
          <w:sz w:val="28"/>
          <w:szCs w:val="28"/>
        </w:rPr>
        <w:t xml:space="preserve"> to take steps to prevent its removal before </w:t>
      </w:r>
      <w:r w:rsidR="00242C18">
        <w:rPr>
          <w:sz w:val="28"/>
          <w:szCs w:val="28"/>
        </w:rPr>
        <w:t xml:space="preserve">he </w:t>
      </w:r>
      <w:r>
        <w:rPr>
          <w:sz w:val="28"/>
          <w:szCs w:val="28"/>
        </w:rPr>
        <w:t>read</w:t>
      </w:r>
      <w:r w:rsidR="00242C18">
        <w:rPr>
          <w:sz w:val="28"/>
          <w:szCs w:val="28"/>
        </w:rPr>
        <w:t>s it</w:t>
      </w:r>
      <w:r>
        <w:rPr>
          <w:sz w:val="28"/>
          <w:szCs w:val="28"/>
        </w:rPr>
        <w:t xml:space="preserve">. Therefore, this amendment indicates that the 2023 legislature intended the mailing or emailing and the affidavit </w:t>
      </w:r>
      <w:r w:rsidR="00242C18">
        <w:rPr>
          <w:sz w:val="28"/>
          <w:szCs w:val="28"/>
        </w:rPr>
        <w:t xml:space="preserve">of same </w:t>
      </w:r>
      <w:r>
        <w:rPr>
          <w:sz w:val="28"/>
          <w:szCs w:val="28"/>
        </w:rPr>
        <w:t xml:space="preserve">to precede the posting. I.e., the new law may well have abrogated </w:t>
      </w:r>
      <w:r w:rsidRPr="002B5FEE">
        <w:rPr>
          <w:i/>
          <w:iCs/>
          <w:sz w:val="28"/>
          <w:szCs w:val="28"/>
        </w:rPr>
        <w:t>Royston</w:t>
      </w:r>
      <w:r>
        <w:rPr>
          <w:sz w:val="28"/>
          <w:szCs w:val="28"/>
        </w:rPr>
        <w:t>.</w:t>
      </w:r>
    </w:p>
    <w:p w14:paraId="7A12544C" w14:textId="5B70A95E" w:rsidR="00E9213D" w:rsidRDefault="002B5FEE">
      <w:pPr>
        <w:spacing w:after="160" w:line="259" w:lineRule="auto"/>
        <w:rPr>
          <w:sz w:val="28"/>
          <w:szCs w:val="28"/>
        </w:rPr>
      </w:pPr>
      <w:r>
        <w:rPr>
          <w:sz w:val="28"/>
          <w:szCs w:val="28"/>
        </w:rPr>
        <w:t>There</w:t>
      </w:r>
      <w:r w:rsidR="00242C18">
        <w:rPr>
          <w:sz w:val="28"/>
          <w:szCs w:val="28"/>
        </w:rPr>
        <w:t xml:space="preserve"> as another</w:t>
      </w:r>
      <w:r>
        <w:rPr>
          <w:sz w:val="28"/>
          <w:szCs w:val="28"/>
        </w:rPr>
        <w:t xml:space="preserve"> indication that the 2023 legislature did not think the </w:t>
      </w:r>
      <w:r w:rsidRPr="00242C18">
        <w:rPr>
          <w:i/>
          <w:iCs/>
          <w:sz w:val="28"/>
          <w:szCs w:val="28"/>
        </w:rPr>
        <w:t>Royston</w:t>
      </w:r>
      <w:r>
        <w:rPr>
          <w:sz w:val="28"/>
          <w:szCs w:val="28"/>
        </w:rPr>
        <w:t xml:space="preserve"> c</w:t>
      </w:r>
      <w:r w:rsidR="002F3BE9">
        <w:rPr>
          <w:sz w:val="28"/>
          <w:szCs w:val="28"/>
        </w:rPr>
        <w:t>ourt’s c</w:t>
      </w:r>
      <w:r>
        <w:rPr>
          <w:sz w:val="28"/>
          <w:szCs w:val="28"/>
        </w:rPr>
        <w:t xml:space="preserve">onstruction was correct. </w:t>
      </w:r>
      <w:hyperlink r:id="rId15" w:anchor="laws.19.106.0" w:history="1">
        <w:r w:rsidRPr="00DD5C6B">
          <w:rPr>
            <w:rStyle w:val="Hyperlink"/>
            <w:sz w:val="28"/>
            <w:szCs w:val="28"/>
          </w:rPr>
          <w:t>2023 Minn. Laws ch. 52, art. 19, s. 106</w:t>
        </w:r>
      </w:hyperlink>
      <w:r>
        <w:rPr>
          <w:sz w:val="28"/>
          <w:szCs w:val="28"/>
        </w:rPr>
        <w:t xml:space="preserve"> was part of a huge omnibus bil</w:t>
      </w:r>
      <w:r w:rsidR="00444F3E">
        <w:rPr>
          <w:sz w:val="28"/>
          <w:szCs w:val="28"/>
        </w:rPr>
        <w:t xml:space="preserve">l </w:t>
      </w:r>
      <w:r>
        <w:rPr>
          <w:sz w:val="28"/>
          <w:szCs w:val="28"/>
        </w:rPr>
        <w:t>that incorporated civil-law changes on a variety of subjects</w:t>
      </w:r>
      <w:r w:rsidR="004F1A18">
        <w:rPr>
          <w:sz w:val="28"/>
          <w:szCs w:val="28"/>
        </w:rPr>
        <w:t>. Sections 83 to 120 were taken wholesale from a landlord-tenant bill</w:t>
      </w:r>
      <w:r w:rsidR="00444F3E">
        <w:rPr>
          <w:sz w:val="28"/>
          <w:szCs w:val="28"/>
        </w:rPr>
        <w:t xml:space="preserve"> </w:t>
      </w:r>
      <w:r w:rsidR="004F1A18">
        <w:rPr>
          <w:sz w:val="28"/>
          <w:szCs w:val="28"/>
        </w:rPr>
        <w:t xml:space="preserve">that itself was an omnibus bill comprised of smaller landlord-tenant bills. The amendments to Minn. Stat. § 504B.331 started out as part of </w:t>
      </w:r>
      <w:r w:rsidR="00242C18">
        <w:rPr>
          <w:sz w:val="28"/>
          <w:szCs w:val="28"/>
        </w:rPr>
        <w:t xml:space="preserve">2023 </w:t>
      </w:r>
      <w:r w:rsidR="004F1A18">
        <w:rPr>
          <w:sz w:val="28"/>
          <w:szCs w:val="28"/>
        </w:rPr>
        <w:t xml:space="preserve">HF </w:t>
      </w:r>
      <w:r w:rsidR="00444F3E">
        <w:rPr>
          <w:sz w:val="28"/>
          <w:szCs w:val="28"/>
        </w:rPr>
        <w:t>917</w:t>
      </w:r>
      <w:r w:rsidR="004F1A18">
        <w:rPr>
          <w:sz w:val="28"/>
          <w:szCs w:val="28"/>
        </w:rPr>
        <w:t xml:space="preserve"> and </w:t>
      </w:r>
      <w:r w:rsidR="00242C18">
        <w:rPr>
          <w:sz w:val="28"/>
          <w:szCs w:val="28"/>
        </w:rPr>
        <w:t xml:space="preserve">2023 </w:t>
      </w:r>
      <w:r w:rsidR="004F1A18">
        <w:rPr>
          <w:sz w:val="28"/>
          <w:szCs w:val="28"/>
        </w:rPr>
        <w:t xml:space="preserve">SF 1298. These bills received meaningful hearings with legislators listening to specific </w:t>
      </w:r>
      <w:r w:rsidR="004F1A18">
        <w:rPr>
          <w:sz w:val="28"/>
          <w:szCs w:val="28"/>
        </w:rPr>
        <w:lastRenderedPageBreak/>
        <w:t>testimony, asking questions, and discussing the proposed changes. Most of the discussion</w:t>
      </w:r>
      <w:r w:rsidR="001F7E7B">
        <w:rPr>
          <w:sz w:val="28"/>
          <w:szCs w:val="28"/>
        </w:rPr>
        <w:t>s</w:t>
      </w:r>
      <w:r w:rsidR="004F1A18">
        <w:rPr>
          <w:sz w:val="28"/>
          <w:szCs w:val="28"/>
        </w:rPr>
        <w:t xml:space="preserve"> w</w:t>
      </w:r>
      <w:r w:rsidR="001F7E7B">
        <w:rPr>
          <w:sz w:val="28"/>
          <w:szCs w:val="28"/>
        </w:rPr>
        <w:t>ere</w:t>
      </w:r>
      <w:r w:rsidR="004F1A18">
        <w:rPr>
          <w:sz w:val="28"/>
          <w:szCs w:val="28"/>
        </w:rPr>
        <w:t xml:space="preserve"> not pertinent to the </w:t>
      </w:r>
      <w:r w:rsidR="004F1A18" w:rsidRPr="001F7E7B">
        <w:rPr>
          <w:i/>
          <w:iCs/>
          <w:sz w:val="28"/>
          <w:szCs w:val="28"/>
        </w:rPr>
        <w:t>Royston</w:t>
      </w:r>
      <w:r w:rsidR="004F1A18">
        <w:rPr>
          <w:sz w:val="28"/>
          <w:szCs w:val="28"/>
        </w:rPr>
        <w:t xml:space="preserve"> issue but one was.</w:t>
      </w:r>
      <w:r w:rsidR="001F7E7B">
        <w:rPr>
          <w:rStyle w:val="FootnoteReference"/>
          <w:sz w:val="28"/>
          <w:szCs w:val="28"/>
        </w:rPr>
        <w:footnoteReference w:id="14"/>
      </w:r>
    </w:p>
    <w:p w14:paraId="2C38F24E" w14:textId="1240BB0F" w:rsidR="00E9213D" w:rsidRDefault="00E9213D" w:rsidP="00E9213D">
      <w:pPr>
        <w:rPr>
          <w:sz w:val="28"/>
          <w:szCs w:val="28"/>
        </w:rPr>
      </w:pPr>
      <w:r>
        <w:rPr>
          <w:sz w:val="28"/>
          <w:szCs w:val="28"/>
        </w:rPr>
        <w:t xml:space="preserve">At the </w:t>
      </w:r>
      <w:r w:rsidRPr="00623AE3">
        <w:rPr>
          <w:sz w:val="28"/>
          <w:szCs w:val="28"/>
        </w:rPr>
        <w:t>February 14 hearing</w:t>
      </w:r>
      <w:r w:rsidR="00242C18">
        <w:rPr>
          <w:sz w:val="28"/>
          <w:szCs w:val="28"/>
        </w:rPr>
        <w:t xml:space="preserve"> in a Senate committee</w:t>
      </w:r>
      <w:r>
        <w:rPr>
          <w:sz w:val="28"/>
          <w:szCs w:val="28"/>
        </w:rPr>
        <w:t>, Mary K</w:t>
      </w:r>
      <w:r w:rsidRPr="00EA27DF">
        <w:rPr>
          <w:sz w:val="28"/>
          <w:szCs w:val="28"/>
        </w:rPr>
        <w:t>aczorek</w:t>
      </w:r>
      <w:r w:rsidR="001F7E7B">
        <w:rPr>
          <w:sz w:val="28"/>
          <w:szCs w:val="28"/>
        </w:rPr>
        <w:t>, a Legal Aid attorney and proponent of the bill,</w:t>
      </w:r>
      <w:r w:rsidRPr="00EA27DF">
        <w:rPr>
          <w:sz w:val="28"/>
          <w:szCs w:val="28"/>
        </w:rPr>
        <w:t xml:space="preserve"> </w:t>
      </w:r>
      <w:r w:rsidR="00242C18">
        <w:rPr>
          <w:sz w:val="28"/>
          <w:szCs w:val="28"/>
        </w:rPr>
        <w:t>was asked out how posting worked</w:t>
      </w:r>
      <w:r w:rsidR="0002716B">
        <w:rPr>
          <w:sz w:val="28"/>
          <w:szCs w:val="28"/>
        </w:rPr>
        <w:t xml:space="preserve">. She </w:t>
      </w:r>
      <w:r>
        <w:rPr>
          <w:sz w:val="28"/>
          <w:szCs w:val="28"/>
        </w:rPr>
        <w:t>testified as follows:</w:t>
      </w:r>
    </w:p>
    <w:p w14:paraId="6FEC7DD5" w14:textId="77777777" w:rsidR="001F7E7B" w:rsidRDefault="001F7E7B" w:rsidP="00E9213D">
      <w:pPr>
        <w:rPr>
          <w:sz w:val="28"/>
          <w:szCs w:val="28"/>
        </w:rPr>
      </w:pPr>
    </w:p>
    <w:p w14:paraId="1FB45635" w14:textId="30A2904D" w:rsidR="00E9213D" w:rsidRPr="00392A8D" w:rsidRDefault="00E9213D" w:rsidP="00E9213D">
      <w:pPr>
        <w:ind w:left="720"/>
        <w:rPr>
          <w:sz w:val="28"/>
          <w:szCs w:val="28"/>
          <w:u w:val="single"/>
        </w:rPr>
      </w:pPr>
      <w:r>
        <w:rPr>
          <w:sz w:val="28"/>
          <w:szCs w:val="28"/>
        </w:rPr>
        <w:t xml:space="preserve">504B.331 is the service part of the statute that talks about how an eviction case can be served. It can be served personally … it can be served by substitute service… or it can be served by mail and post. And </w:t>
      </w:r>
      <w:r w:rsidRPr="00392A8D">
        <w:rPr>
          <w:sz w:val="28"/>
          <w:szCs w:val="28"/>
          <w:u w:val="single"/>
        </w:rPr>
        <w:t xml:space="preserve">the requirements in 331 are really clear about the server has to go out twice, once in the evening hours, the landlord has to put a copy of the summon and complaint in the mail, they have to file an affidavit with the court saying they couldn’t find the tenant. </w:t>
      </w:r>
      <w:r w:rsidRPr="00392A8D">
        <w:rPr>
          <w:b/>
          <w:bCs/>
          <w:sz w:val="28"/>
          <w:szCs w:val="28"/>
          <w:u w:val="single"/>
        </w:rPr>
        <w:t>Then</w:t>
      </w:r>
      <w:r w:rsidRPr="00392A8D">
        <w:rPr>
          <w:sz w:val="28"/>
          <w:szCs w:val="28"/>
          <w:u w:val="single"/>
        </w:rPr>
        <w:t xml:space="preserve"> they are able to post it on the door</w:t>
      </w:r>
      <w:r>
        <w:rPr>
          <w:sz w:val="28"/>
          <w:szCs w:val="28"/>
        </w:rPr>
        <w:t xml:space="preserve">. And all these protections are in place again for due process. The tenant should know they have court before they get put out of their home. And </w:t>
      </w:r>
      <w:r w:rsidRPr="00392A8D">
        <w:rPr>
          <w:sz w:val="28"/>
          <w:szCs w:val="28"/>
          <w:u w:val="single"/>
        </w:rPr>
        <w:t>the case law in Minnesota says that if the landlord doesn’t do that the case has to be dismissed. So, this statute takes that case law, and or this bill, and puts it into statute.</w:t>
      </w:r>
    </w:p>
    <w:p w14:paraId="76362CF4" w14:textId="77777777" w:rsidR="00283367" w:rsidRDefault="00283367" w:rsidP="00E9213D">
      <w:pPr>
        <w:ind w:left="720"/>
        <w:rPr>
          <w:sz w:val="28"/>
          <w:szCs w:val="28"/>
        </w:rPr>
      </w:pPr>
    </w:p>
    <w:p w14:paraId="491B4EBB" w14:textId="77E61AE4" w:rsidR="00294960" w:rsidRDefault="00294960" w:rsidP="00283367">
      <w:pPr>
        <w:pStyle w:val="NormalWeb"/>
        <w:spacing w:before="0" w:beforeAutospacing="0" w:after="15" w:afterAutospacing="0"/>
        <w:rPr>
          <w:sz w:val="28"/>
          <w:szCs w:val="28"/>
        </w:rPr>
      </w:pPr>
      <w:r w:rsidRPr="00294960">
        <w:rPr>
          <w:sz w:val="28"/>
          <w:szCs w:val="28"/>
        </w:rPr>
        <w:t>Transcription of the</w:t>
      </w:r>
      <w:r>
        <w:t xml:space="preserve"> </w:t>
      </w:r>
      <w:hyperlink r:id="rId16" w:history="1">
        <w:r w:rsidR="00E9213D" w:rsidRPr="00BE15CE">
          <w:rPr>
            <w:rStyle w:val="Hyperlink"/>
            <w:sz w:val="28"/>
            <w:szCs w:val="28"/>
            <w:shd w:val="clear" w:color="auto" w:fill="FFFFFF"/>
          </w:rPr>
          <w:t>2/14/23 hearing</w:t>
        </w:r>
        <w:r w:rsidR="00392A8D">
          <w:rPr>
            <w:rStyle w:val="Hyperlink"/>
            <w:sz w:val="28"/>
            <w:szCs w:val="28"/>
            <w:shd w:val="clear" w:color="auto" w:fill="FFFFFF"/>
          </w:rPr>
          <w:t xml:space="preserve"> on SF 1298 </w:t>
        </w:r>
        <w:r w:rsidR="002F3BE9">
          <w:rPr>
            <w:rStyle w:val="Hyperlink"/>
            <w:sz w:val="28"/>
            <w:szCs w:val="28"/>
            <w:shd w:val="clear" w:color="auto" w:fill="FFFFFF"/>
          </w:rPr>
          <w:t>by</w:t>
        </w:r>
        <w:r w:rsidR="00392A8D">
          <w:rPr>
            <w:rStyle w:val="Hyperlink"/>
            <w:sz w:val="28"/>
            <w:szCs w:val="28"/>
            <w:shd w:val="clear" w:color="auto" w:fill="FFFFFF"/>
          </w:rPr>
          <w:t xml:space="preserve"> the Senate Committee on Housing and Homelessness Prevention</w:t>
        </w:r>
      </w:hyperlink>
      <w:r w:rsidR="00E9213D">
        <w:rPr>
          <w:color w:val="222222"/>
          <w:sz w:val="28"/>
          <w:szCs w:val="28"/>
          <w:shd w:val="clear" w:color="auto" w:fill="FFFFFF"/>
        </w:rPr>
        <w:t xml:space="preserve"> </w:t>
      </w:r>
      <w:r w:rsidR="00E9213D">
        <w:rPr>
          <w:sz w:val="28"/>
          <w:szCs w:val="28"/>
        </w:rPr>
        <w:t xml:space="preserve">at </w:t>
      </w:r>
      <w:r w:rsidR="00E9213D">
        <w:rPr>
          <w:color w:val="222222"/>
          <w:sz w:val="28"/>
          <w:szCs w:val="28"/>
          <w:shd w:val="clear" w:color="auto" w:fill="FFFFFF"/>
        </w:rPr>
        <w:t>approximately timepoint 1:18:50-1:20:00</w:t>
      </w:r>
      <w:r w:rsidR="00392A8D">
        <w:rPr>
          <w:color w:val="222222"/>
          <w:sz w:val="28"/>
          <w:szCs w:val="28"/>
          <w:shd w:val="clear" w:color="auto" w:fill="FFFFFF"/>
        </w:rPr>
        <w:t xml:space="preserve"> (</w:t>
      </w:r>
      <w:r w:rsidR="00392A8D" w:rsidRPr="00392A8D">
        <w:rPr>
          <w:sz w:val="28"/>
          <w:szCs w:val="28"/>
        </w:rPr>
        <w:t>emphasis added</w:t>
      </w:r>
      <w:r w:rsidR="00392A8D">
        <w:rPr>
          <w:sz w:val="28"/>
          <w:szCs w:val="28"/>
        </w:rPr>
        <w:t>).</w:t>
      </w:r>
    </w:p>
    <w:p w14:paraId="1C9F495A" w14:textId="77777777" w:rsidR="00392A8D" w:rsidRDefault="00392A8D" w:rsidP="00283367">
      <w:pPr>
        <w:pStyle w:val="NormalWeb"/>
        <w:spacing w:before="0" w:beforeAutospacing="0" w:after="15" w:afterAutospacing="0"/>
        <w:rPr>
          <w:color w:val="222222"/>
          <w:sz w:val="28"/>
          <w:szCs w:val="28"/>
          <w:shd w:val="clear" w:color="auto" w:fill="FFFFFF"/>
        </w:rPr>
      </w:pPr>
    </w:p>
    <w:p w14:paraId="645BE7BF" w14:textId="71241A97" w:rsidR="00E9213D" w:rsidRDefault="00392A8D" w:rsidP="00283367">
      <w:pPr>
        <w:pStyle w:val="NormalWeb"/>
        <w:spacing w:before="0" w:beforeAutospacing="0" w:after="15" w:afterAutospacing="0"/>
        <w:rPr>
          <w:color w:val="222222"/>
          <w:sz w:val="28"/>
          <w:szCs w:val="28"/>
          <w:shd w:val="clear" w:color="auto" w:fill="FFFFFF"/>
        </w:rPr>
      </w:pPr>
      <w:r>
        <w:rPr>
          <w:color w:val="222222"/>
          <w:sz w:val="28"/>
          <w:szCs w:val="28"/>
          <w:shd w:val="clear" w:color="auto" w:fill="FFFFFF"/>
        </w:rPr>
        <w:t xml:space="preserve">In other words, </w:t>
      </w:r>
      <w:r w:rsidR="001F7E7B">
        <w:rPr>
          <w:color w:val="222222"/>
          <w:sz w:val="28"/>
          <w:szCs w:val="28"/>
          <w:shd w:val="clear" w:color="auto" w:fill="FFFFFF"/>
        </w:rPr>
        <w:t xml:space="preserve">Ms. Kaczorek explained that existing case was that posting had to follow the </w:t>
      </w:r>
      <w:r>
        <w:rPr>
          <w:color w:val="222222"/>
          <w:sz w:val="28"/>
          <w:szCs w:val="28"/>
          <w:shd w:val="clear" w:color="auto" w:fill="FFFFFF"/>
        </w:rPr>
        <w:t xml:space="preserve">filing of the </w:t>
      </w:r>
      <w:r w:rsidR="001F7E7B">
        <w:rPr>
          <w:color w:val="222222"/>
          <w:sz w:val="28"/>
          <w:szCs w:val="28"/>
          <w:shd w:val="clear" w:color="auto" w:fill="FFFFFF"/>
        </w:rPr>
        <w:t>affidavit</w:t>
      </w:r>
      <w:r>
        <w:rPr>
          <w:color w:val="222222"/>
          <w:sz w:val="28"/>
          <w:szCs w:val="28"/>
          <w:shd w:val="clear" w:color="auto" w:fill="FFFFFF"/>
        </w:rPr>
        <w:t xml:space="preserve">. </w:t>
      </w:r>
      <w:r w:rsidR="001F7E7B">
        <w:rPr>
          <w:color w:val="222222"/>
          <w:sz w:val="28"/>
          <w:szCs w:val="28"/>
          <w:shd w:val="clear" w:color="auto" w:fill="FFFFFF"/>
        </w:rPr>
        <w:t xml:space="preserve">She did not cite the actual cases but surely she was referring to </w:t>
      </w:r>
      <w:r w:rsidR="00357AA1">
        <w:rPr>
          <w:color w:val="222222"/>
          <w:sz w:val="28"/>
          <w:szCs w:val="28"/>
          <w:shd w:val="clear" w:color="auto" w:fill="FFFFFF"/>
        </w:rPr>
        <w:t>a set of cases summarized in the leading treatise on eviction defense</w:t>
      </w:r>
      <w:r w:rsidR="000B6FB3">
        <w:rPr>
          <w:color w:val="222222"/>
          <w:sz w:val="28"/>
          <w:szCs w:val="28"/>
          <w:shd w:val="clear" w:color="auto" w:fill="FFFFFF"/>
        </w:rPr>
        <w:t>,</w:t>
      </w:r>
      <w:r w:rsidR="00357AA1">
        <w:rPr>
          <w:color w:val="222222"/>
          <w:sz w:val="28"/>
          <w:szCs w:val="28"/>
          <w:shd w:val="clear" w:color="auto" w:fill="FFFFFF"/>
        </w:rPr>
        <w:t xml:space="preserve"> written by a former head of Legal Aid’s housing bureau, </w:t>
      </w:r>
      <w:r w:rsidR="00283367" w:rsidRPr="00283367">
        <w:rPr>
          <w:bCs/>
          <w:smallCaps/>
          <w:color w:val="000000"/>
          <w:sz w:val="28"/>
          <w:szCs w:val="28"/>
        </w:rPr>
        <w:t>Residential Eviction Defense and Tenant Claims in Minnesota</w:t>
      </w:r>
      <w:r w:rsidR="00283367">
        <w:rPr>
          <w:bCs/>
          <w:smallCaps/>
          <w:color w:val="000000"/>
          <w:sz w:val="28"/>
          <w:szCs w:val="28"/>
        </w:rPr>
        <w:t xml:space="preserve"> (</w:t>
      </w:r>
      <w:r w:rsidR="00283367">
        <w:rPr>
          <w:color w:val="222222"/>
          <w:sz w:val="28"/>
          <w:szCs w:val="28"/>
          <w:shd w:val="clear" w:color="auto" w:fill="FFFFFF"/>
        </w:rPr>
        <w:t xml:space="preserve">2023) </w:t>
      </w:r>
      <w:r w:rsidR="00283367">
        <w:rPr>
          <w:color w:val="000000"/>
          <w:sz w:val="27"/>
          <w:szCs w:val="27"/>
        </w:rPr>
        <w:t xml:space="preserve">by Lawrence </w:t>
      </w:r>
      <w:r w:rsidR="00283367">
        <w:rPr>
          <w:color w:val="000000"/>
          <w:sz w:val="27"/>
          <w:szCs w:val="27"/>
        </w:rPr>
        <w:lastRenderedPageBreak/>
        <w:t xml:space="preserve">McDonough. </w:t>
      </w:r>
      <w:r w:rsidR="00CF20F8">
        <w:rPr>
          <w:color w:val="222222"/>
          <w:sz w:val="28"/>
          <w:szCs w:val="28"/>
          <w:shd w:val="clear" w:color="auto" w:fill="FFFFFF"/>
        </w:rPr>
        <w:t>These cases held that dismissal for lack of personal jurisdiction was required where the posting preceded the filing of the affidavit.</w:t>
      </w:r>
      <w:r w:rsidR="00CF20F8">
        <w:rPr>
          <w:rStyle w:val="FootnoteReference"/>
          <w:color w:val="222222"/>
          <w:sz w:val="28"/>
          <w:szCs w:val="28"/>
          <w:shd w:val="clear" w:color="auto" w:fill="FFFFFF"/>
        </w:rPr>
        <w:footnoteReference w:id="15"/>
      </w:r>
    </w:p>
    <w:p w14:paraId="4F85EA4E" w14:textId="77777777" w:rsidR="00A61C9B" w:rsidRDefault="00A61C9B" w:rsidP="00283367">
      <w:pPr>
        <w:pStyle w:val="NormalWeb"/>
        <w:spacing w:before="0" w:beforeAutospacing="0" w:after="15" w:afterAutospacing="0"/>
        <w:rPr>
          <w:color w:val="222222"/>
          <w:sz w:val="28"/>
          <w:szCs w:val="28"/>
          <w:shd w:val="clear" w:color="auto" w:fill="FFFFFF"/>
        </w:rPr>
      </w:pPr>
    </w:p>
    <w:p w14:paraId="6FA404E5" w14:textId="77777777" w:rsidR="00A61C9B" w:rsidRDefault="00A61C9B" w:rsidP="004E7B7A">
      <w:pPr>
        <w:pStyle w:val="FootnoteText"/>
        <w:rPr>
          <w:b/>
          <w:bCs/>
          <w:sz w:val="28"/>
          <w:szCs w:val="28"/>
        </w:rPr>
      </w:pPr>
      <w:r w:rsidRPr="00A61C9B">
        <w:rPr>
          <w:b/>
          <w:bCs/>
          <w:sz w:val="28"/>
          <w:szCs w:val="28"/>
        </w:rPr>
        <w:t>V. PRACTICAL CONSIDERATIONS</w:t>
      </w:r>
      <w:r>
        <w:rPr>
          <w:b/>
          <w:bCs/>
          <w:sz w:val="28"/>
          <w:szCs w:val="28"/>
        </w:rPr>
        <w:t>.</w:t>
      </w:r>
    </w:p>
    <w:p w14:paraId="4AF917F1" w14:textId="77777777" w:rsidR="0002716B" w:rsidRDefault="0002716B" w:rsidP="00A61C9B">
      <w:pPr>
        <w:pStyle w:val="FootnoteText"/>
        <w:ind w:left="720"/>
        <w:rPr>
          <w:sz w:val="28"/>
          <w:szCs w:val="28"/>
        </w:rPr>
      </w:pPr>
    </w:p>
    <w:p w14:paraId="0C537684" w14:textId="77777777" w:rsidR="00724D5C" w:rsidRPr="00724D5C" w:rsidRDefault="00724D5C" w:rsidP="00E56DA5">
      <w:pPr>
        <w:pStyle w:val="FootnoteText"/>
        <w:ind w:firstLine="720"/>
        <w:jc w:val="both"/>
        <w:rPr>
          <w:sz w:val="28"/>
          <w:szCs w:val="28"/>
          <w:u w:val="single"/>
        </w:rPr>
      </w:pPr>
      <w:r w:rsidRPr="00724D5C">
        <w:rPr>
          <w:sz w:val="28"/>
          <w:szCs w:val="28"/>
          <w:u w:val="single"/>
        </w:rPr>
        <w:t>Effect on timing.</w:t>
      </w:r>
    </w:p>
    <w:p w14:paraId="1D39497D" w14:textId="77777777" w:rsidR="00724D5C" w:rsidRDefault="00724D5C" w:rsidP="000106C2">
      <w:pPr>
        <w:pStyle w:val="FootnoteText"/>
        <w:jc w:val="both"/>
        <w:rPr>
          <w:sz w:val="28"/>
          <w:szCs w:val="28"/>
        </w:rPr>
      </w:pPr>
    </w:p>
    <w:p w14:paraId="025CA5EE" w14:textId="343596C5" w:rsidR="00A61C9B" w:rsidRDefault="00A61C9B" w:rsidP="000106C2">
      <w:pPr>
        <w:pStyle w:val="FootnoteText"/>
        <w:jc w:val="both"/>
        <w:rPr>
          <w:sz w:val="28"/>
          <w:szCs w:val="28"/>
        </w:rPr>
      </w:pPr>
      <w:r>
        <w:rPr>
          <w:sz w:val="28"/>
          <w:szCs w:val="28"/>
        </w:rPr>
        <w:t xml:space="preserve">Assuming my view of </w:t>
      </w:r>
      <w:r w:rsidR="00BD3BD0">
        <w:rPr>
          <w:sz w:val="28"/>
          <w:szCs w:val="28"/>
        </w:rPr>
        <w:t>the</w:t>
      </w:r>
      <w:r>
        <w:rPr>
          <w:sz w:val="28"/>
          <w:szCs w:val="28"/>
        </w:rPr>
        <w:t xml:space="preserve"> constru</w:t>
      </w:r>
      <w:r w:rsidR="00BD3BD0">
        <w:rPr>
          <w:sz w:val="28"/>
          <w:szCs w:val="28"/>
        </w:rPr>
        <w:t>ction of</w:t>
      </w:r>
      <w:r>
        <w:rPr>
          <w:sz w:val="28"/>
          <w:szCs w:val="28"/>
        </w:rPr>
        <w:t xml:space="preserve"> Minn. Stat. §504B.331 is correct, here is how things stood</w:t>
      </w:r>
      <w:r w:rsidR="00BD3BD0">
        <w:rPr>
          <w:sz w:val="28"/>
          <w:szCs w:val="28"/>
        </w:rPr>
        <w:t xml:space="preserve"> in 1985</w:t>
      </w:r>
      <w:r>
        <w:rPr>
          <w:sz w:val="28"/>
          <w:szCs w:val="28"/>
        </w:rPr>
        <w:t xml:space="preserve"> </w:t>
      </w:r>
      <w:r w:rsidR="002F3BE9">
        <w:rPr>
          <w:sz w:val="28"/>
          <w:szCs w:val="28"/>
        </w:rPr>
        <w:t>(</w:t>
      </w:r>
      <w:r>
        <w:rPr>
          <w:sz w:val="28"/>
          <w:szCs w:val="28"/>
        </w:rPr>
        <w:t>when the last change was made to the statute prior to 2023</w:t>
      </w:r>
      <w:r w:rsidR="002F3BE9">
        <w:rPr>
          <w:sz w:val="28"/>
          <w:szCs w:val="28"/>
        </w:rPr>
        <w:t>)</w:t>
      </w:r>
      <w:r>
        <w:rPr>
          <w:sz w:val="28"/>
          <w:szCs w:val="28"/>
        </w:rPr>
        <w:t>:  Practitioners accepted, and very likely the legislature intended, that the affidavit of not found &amp; mailing couldn’t be filed until after the process server had made his two failed attempts at serving a residential tenant. The mailing could have been done anytime, but presumably it was the two failed attempts that prove</w:t>
      </w:r>
      <w:r w:rsidR="00BD3BD0">
        <w:rPr>
          <w:sz w:val="28"/>
          <w:szCs w:val="28"/>
        </w:rPr>
        <w:t>d</w:t>
      </w:r>
      <w:r>
        <w:rPr>
          <w:sz w:val="28"/>
          <w:szCs w:val="28"/>
        </w:rPr>
        <w:t xml:space="preserve"> that the residential tenant cannot be found. For a commercial tenant, the standard is less clear but the process server would have to make at least one try at personal service, probably two (at the commerce and at the home or office of the owner or manager </w:t>
      </w:r>
      <w:r>
        <w:rPr>
          <w:sz w:val="28"/>
          <w:szCs w:val="28"/>
        </w:rPr>
        <w:lastRenderedPageBreak/>
        <w:t>of the commerce, e.g.). At this point, the process server could call the plaintiff or his attorney on a nearby pay phone or via a radio like a taxi driver calling her dispatcher.</w:t>
      </w:r>
      <w:r w:rsidR="0015128C">
        <w:rPr>
          <w:rStyle w:val="FootnoteReference"/>
          <w:sz w:val="28"/>
          <w:szCs w:val="28"/>
        </w:rPr>
        <w:footnoteReference w:id="16"/>
      </w:r>
      <w:r w:rsidR="0015128C">
        <w:rPr>
          <w:sz w:val="28"/>
          <w:szCs w:val="28"/>
        </w:rPr>
        <w:t xml:space="preserve"> </w:t>
      </w:r>
      <w:r>
        <w:rPr>
          <w:sz w:val="28"/>
          <w:szCs w:val="28"/>
        </w:rPr>
        <w:t xml:space="preserve">Unless the plaintiff or plaintiff’s attorney was </w:t>
      </w:r>
      <w:r w:rsidR="0002716B">
        <w:rPr>
          <w:sz w:val="28"/>
          <w:szCs w:val="28"/>
        </w:rPr>
        <w:t>located</w:t>
      </w:r>
      <w:r>
        <w:rPr>
          <w:sz w:val="28"/>
          <w:szCs w:val="28"/>
        </w:rPr>
        <w:t xml:space="preserve"> next to the courthouse, he would have to </w:t>
      </w:r>
      <w:r w:rsidR="0002716B">
        <w:rPr>
          <w:sz w:val="28"/>
          <w:szCs w:val="28"/>
        </w:rPr>
        <w:t>drive or take the bus</w:t>
      </w:r>
      <w:r>
        <w:rPr>
          <w:sz w:val="28"/>
          <w:szCs w:val="28"/>
        </w:rPr>
        <w:t xml:space="preserve"> there to file the affidavit (or mail it if personal delivery was impractical). The delivery would have to be during business hours. Perhaps the process server could be contacted and make another trip later that day or evening</w:t>
      </w:r>
      <w:r w:rsidR="0015128C">
        <w:rPr>
          <w:rStyle w:val="FootnoteReference"/>
          <w:sz w:val="28"/>
          <w:szCs w:val="28"/>
        </w:rPr>
        <w:footnoteReference w:id="17"/>
      </w:r>
      <w:r>
        <w:rPr>
          <w:sz w:val="28"/>
          <w:szCs w:val="28"/>
        </w:rPr>
        <w:t>, but probably this would occur the next day or so. Thus, in 1985, the statute</w:t>
      </w:r>
      <w:r w:rsidR="00C3291E">
        <w:rPr>
          <w:sz w:val="28"/>
          <w:szCs w:val="28"/>
        </w:rPr>
        <w:t xml:space="preserve"> effectively made mailing occur at least 8 days prior to the initial hearing in most instances. </w:t>
      </w:r>
      <w:r w:rsidR="0002716B">
        <w:rPr>
          <w:sz w:val="28"/>
          <w:szCs w:val="28"/>
        </w:rPr>
        <w:t>In</w:t>
      </w:r>
      <w:r w:rsidR="00C3291E">
        <w:rPr>
          <w:sz w:val="28"/>
          <w:szCs w:val="28"/>
        </w:rPr>
        <w:t xml:space="preserve"> almost all situations, the process server would have to make a third trip to do the posting.</w:t>
      </w:r>
      <w:r w:rsidR="00A80DB2">
        <w:rPr>
          <w:sz w:val="28"/>
          <w:szCs w:val="28"/>
        </w:rPr>
        <w:t xml:space="preserve"> And, the filing had to be done during business hours</w:t>
      </w:r>
      <w:r w:rsidR="006538AD">
        <w:rPr>
          <w:sz w:val="28"/>
          <w:szCs w:val="28"/>
        </w:rPr>
        <w:t>, not on weekends</w:t>
      </w:r>
      <w:r w:rsidR="00A80DB2">
        <w:rPr>
          <w:sz w:val="28"/>
          <w:szCs w:val="28"/>
        </w:rPr>
        <w:t>.</w:t>
      </w:r>
    </w:p>
    <w:p w14:paraId="0962DCE0" w14:textId="77777777" w:rsidR="000106C2" w:rsidRDefault="000106C2" w:rsidP="000106C2">
      <w:pPr>
        <w:pStyle w:val="FootnoteText"/>
        <w:jc w:val="both"/>
        <w:rPr>
          <w:sz w:val="28"/>
          <w:szCs w:val="28"/>
        </w:rPr>
      </w:pPr>
    </w:p>
    <w:p w14:paraId="58A8E6A9" w14:textId="1B5AA926" w:rsidR="000106C2" w:rsidRDefault="000106C2" w:rsidP="000106C2">
      <w:pPr>
        <w:pStyle w:val="FootnoteText"/>
        <w:jc w:val="both"/>
        <w:rPr>
          <w:sz w:val="28"/>
          <w:szCs w:val="28"/>
        </w:rPr>
      </w:pPr>
      <w:r>
        <w:rPr>
          <w:sz w:val="28"/>
          <w:szCs w:val="28"/>
        </w:rPr>
        <w:t xml:space="preserve">With the modern advent of cellphones, tablets </w:t>
      </w:r>
      <w:r w:rsidR="0002716B">
        <w:rPr>
          <w:sz w:val="28"/>
          <w:szCs w:val="28"/>
        </w:rPr>
        <w:t xml:space="preserve">and </w:t>
      </w:r>
      <w:r>
        <w:rPr>
          <w:sz w:val="28"/>
          <w:szCs w:val="28"/>
        </w:rPr>
        <w:t>Wi-Fi, and</w:t>
      </w:r>
      <w:r w:rsidR="002F3BE9">
        <w:rPr>
          <w:sz w:val="28"/>
          <w:szCs w:val="28"/>
        </w:rPr>
        <w:t>,</w:t>
      </w:r>
      <w:r>
        <w:rPr>
          <w:sz w:val="28"/>
          <w:szCs w:val="28"/>
        </w:rPr>
        <w:t xml:space="preserve"> most importantly</w:t>
      </w:r>
      <w:r w:rsidR="002F3BE9">
        <w:rPr>
          <w:sz w:val="28"/>
          <w:szCs w:val="28"/>
        </w:rPr>
        <w:t>,</w:t>
      </w:r>
      <w:r>
        <w:rPr>
          <w:sz w:val="28"/>
          <w:szCs w:val="28"/>
        </w:rPr>
        <w:t xml:space="preserve"> electronic filing, </w:t>
      </w:r>
      <w:r w:rsidR="006538AD">
        <w:rPr>
          <w:sz w:val="28"/>
          <w:szCs w:val="28"/>
        </w:rPr>
        <w:t xml:space="preserve">even </w:t>
      </w:r>
      <w:r w:rsidR="00EA2D0B">
        <w:rPr>
          <w:sz w:val="28"/>
          <w:szCs w:val="28"/>
        </w:rPr>
        <w:t>pre-Royston</w:t>
      </w:r>
      <w:r>
        <w:rPr>
          <w:sz w:val="28"/>
          <w:szCs w:val="28"/>
        </w:rPr>
        <w:t xml:space="preserve"> the process server would not have to make a third trip</w:t>
      </w:r>
      <w:r w:rsidR="006538AD">
        <w:rPr>
          <w:sz w:val="28"/>
          <w:szCs w:val="28"/>
        </w:rPr>
        <w:t xml:space="preserve"> in most cases</w:t>
      </w:r>
      <w:r>
        <w:rPr>
          <w:sz w:val="28"/>
          <w:szCs w:val="28"/>
        </w:rPr>
        <w:t>. After his second failed attempt at personal service, he would call the plaintiff or plaintiff’s attorney</w:t>
      </w:r>
      <w:r w:rsidR="006538AD">
        <w:rPr>
          <w:sz w:val="28"/>
          <w:szCs w:val="28"/>
        </w:rPr>
        <w:t xml:space="preserve"> on his cellphone</w:t>
      </w:r>
      <w:r>
        <w:rPr>
          <w:sz w:val="28"/>
          <w:szCs w:val="28"/>
        </w:rPr>
        <w:t xml:space="preserve"> and then sit in his car or go work on other things. The plaintiff or plaintiff’s attorney would </w:t>
      </w:r>
      <w:r w:rsidR="00A80DB2">
        <w:rPr>
          <w:sz w:val="28"/>
          <w:szCs w:val="28"/>
        </w:rPr>
        <w:t xml:space="preserve">electronically </w:t>
      </w:r>
      <w:r>
        <w:rPr>
          <w:sz w:val="28"/>
          <w:szCs w:val="28"/>
        </w:rPr>
        <w:t xml:space="preserve">file the affidavit of not found &amp; mailing (he’d </w:t>
      </w:r>
      <w:r w:rsidR="00BD3BD0">
        <w:rPr>
          <w:sz w:val="28"/>
          <w:szCs w:val="28"/>
        </w:rPr>
        <w:t xml:space="preserve">already </w:t>
      </w:r>
      <w:r>
        <w:rPr>
          <w:sz w:val="28"/>
          <w:szCs w:val="28"/>
        </w:rPr>
        <w:t xml:space="preserve">done the mailing earlier just in case) and call the process server, who would post the summons. </w:t>
      </w:r>
      <w:r w:rsidR="00A80DB2">
        <w:rPr>
          <w:sz w:val="28"/>
          <w:szCs w:val="28"/>
        </w:rPr>
        <w:t xml:space="preserve">And this </w:t>
      </w:r>
      <w:r w:rsidR="00BD3BD0">
        <w:rPr>
          <w:sz w:val="28"/>
          <w:szCs w:val="28"/>
        </w:rPr>
        <w:t>“all-in-one-trip”</w:t>
      </w:r>
      <w:r w:rsidR="00A80DB2">
        <w:rPr>
          <w:sz w:val="28"/>
          <w:szCs w:val="28"/>
        </w:rPr>
        <w:t xml:space="preserve"> service could be done on weekends and evenings.</w:t>
      </w:r>
      <w:r w:rsidR="00A80DB2">
        <w:rPr>
          <w:rStyle w:val="FootnoteReference"/>
          <w:sz w:val="28"/>
          <w:szCs w:val="28"/>
        </w:rPr>
        <w:footnoteReference w:id="18"/>
      </w:r>
      <w:r w:rsidR="00A80DB2">
        <w:rPr>
          <w:sz w:val="28"/>
          <w:szCs w:val="28"/>
        </w:rPr>
        <w:t xml:space="preserve"> </w:t>
      </w:r>
      <w:r>
        <w:rPr>
          <w:sz w:val="28"/>
          <w:szCs w:val="28"/>
        </w:rPr>
        <w:t>For the mom-and-pop landlord, things might be as slow as in 1985 but for the professional landlord only a</w:t>
      </w:r>
      <w:r w:rsidR="00A80DB2">
        <w:rPr>
          <w:sz w:val="28"/>
          <w:szCs w:val="28"/>
        </w:rPr>
        <w:t xml:space="preserve"> tiny</w:t>
      </w:r>
      <w:r>
        <w:rPr>
          <w:sz w:val="28"/>
          <w:szCs w:val="28"/>
        </w:rPr>
        <w:t xml:space="preserve"> bit slower.</w:t>
      </w:r>
    </w:p>
    <w:p w14:paraId="25DF8A3F" w14:textId="77777777" w:rsidR="000106C2" w:rsidRDefault="000106C2" w:rsidP="000106C2">
      <w:pPr>
        <w:pStyle w:val="FootnoteText"/>
        <w:jc w:val="both"/>
        <w:rPr>
          <w:sz w:val="28"/>
          <w:szCs w:val="28"/>
        </w:rPr>
      </w:pPr>
    </w:p>
    <w:p w14:paraId="7A83A5AE" w14:textId="68EB00DB" w:rsidR="000106C2" w:rsidRDefault="000106C2" w:rsidP="000106C2">
      <w:pPr>
        <w:pStyle w:val="FootnoteText"/>
        <w:jc w:val="both"/>
        <w:rPr>
          <w:sz w:val="28"/>
          <w:szCs w:val="28"/>
        </w:rPr>
      </w:pPr>
      <w:r>
        <w:rPr>
          <w:sz w:val="28"/>
          <w:szCs w:val="28"/>
        </w:rPr>
        <w:lastRenderedPageBreak/>
        <w:t xml:space="preserve">Under </w:t>
      </w:r>
      <w:r w:rsidRPr="000106C2">
        <w:rPr>
          <w:i/>
          <w:iCs/>
          <w:sz w:val="28"/>
          <w:szCs w:val="28"/>
        </w:rPr>
        <w:t>Royston</w:t>
      </w:r>
      <w:r>
        <w:rPr>
          <w:sz w:val="28"/>
          <w:szCs w:val="28"/>
        </w:rPr>
        <w:t xml:space="preserve">, the process server only makes two trips instead of three. However, for a professional landlord, </w:t>
      </w:r>
      <w:r w:rsidR="00302908">
        <w:rPr>
          <w:sz w:val="28"/>
          <w:szCs w:val="28"/>
        </w:rPr>
        <w:t>pre-</w:t>
      </w:r>
      <w:r w:rsidR="00302908" w:rsidRPr="00302908">
        <w:rPr>
          <w:i/>
          <w:iCs/>
          <w:sz w:val="28"/>
          <w:szCs w:val="28"/>
        </w:rPr>
        <w:t>Royston</w:t>
      </w:r>
      <w:r w:rsidR="00302908">
        <w:rPr>
          <w:sz w:val="28"/>
          <w:szCs w:val="28"/>
        </w:rPr>
        <w:t xml:space="preserve"> </w:t>
      </w:r>
      <w:r>
        <w:rPr>
          <w:sz w:val="28"/>
          <w:szCs w:val="28"/>
        </w:rPr>
        <w:t>the process server’s third trip might be short one – from his car, where he waited a few minutes for the plaintiff or plaintiff’s attorney to confirm filing</w:t>
      </w:r>
      <w:r w:rsidR="006538AD">
        <w:rPr>
          <w:sz w:val="28"/>
          <w:szCs w:val="28"/>
        </w:rPr>
        <w:t>,</w:t>
      </w:r>
      <w:r w:rsidR="00A80DB2">
        <w:rPr>
          <w:sz w:val="28"/>
          <w:szCs w:val="28"/>
        </w:rPr>
        <w:t xml:space="preserve"> </w:t>
      </w:r>
      <w:r w:rsidR="00BD3BD0">
        <w:rPr>
          <w:sz w:val="28"/>
          <w:szCs w:val="28"/>
        </w:rPr>
        <w:t xml:space="preserve">back </w:t>
      </w:r>
      <w:r w:rsidR="00A80DB2">
        <w:rPr>
          <w:sz w:val="28"/>
          <w:szCs w:val="28"/>
        </w:rPr>
        <w:t>to the defendant’s door.</w:t>
      </w:r>
    </w:p>
    <w:p w14:paraId="1E9C499D" w14:textId="77777777" w:rsidR="00A80DB2" w:rsidRDefault="00A80DB2" w:rsidP="000106C2">
      <w:pPr>
        <w:pStyle w:val="FootnoteText"/>
        <w:jc w:val="both"/>
        <w:rPr>
          <w:sz w:val="28"/>
          <w:szCs w:val="28"/>
        </w:rPr>
      </w:pPr>
    </w:p>
    <w:p w14:paraId="3B711FE4" w14:textId="1EF84433" w:rsidR="00A80DB2" w:rsidRDefault="00A80DB2" w:rsidP="000106C2">
      <w:pPr>
        <w:pStyle w:val="FootnoteText"/>
        <w:jc w:val="both"/>
        <w:rPr>
          <w:sz w:val="28"/>
          <w:szCs w:val="28"/>
        </w:rPr>
      </w:pPr>
      <w:r w:rsidRPr="00724D5C">
        <w:rPr>
          <w:i/>
          <w:iCs/>
          <w:sz w:val="28"/>
          <w:szCs w:val="28"/>
        </w:rPr>
        <w:t>Royston</w:t>
      </w:r>
      <w:r>
        <w:rPr>
          <w:sz w:val="28"/>
          <w:szCs w:val="28"/>
        </w:rPr>
        <w:t xml:space="preserve"> might</w:t>
      </w:r>
      <w:r w:rsidR="00724D5C">
        <w:rPr>
          <w:sz w:val="28"/>
          <w:szCs w:val="28"/>
        </w:rPr>
        <w:t xml:space="preserve"> motivate landlords and process servers to make only a minimal effort to achieve the gold standard of personal service (e.g., they might try service at 9:59 pm on</w:t>
      </w:r>
      <w:r w:rsidR="00947CFB">
        <w:rPr>
          <w:sz w:val="28"/>
          <w:szCs w:val="28"/>
        </w:rPr>
        <w:t xml:space="preserve"> two night</w:t>
      </w:r>
      <w:r w:rsidR="00724D5C">
        <w:rPr>
          <w:sz w:val="28"/>
          <w:szCs w:val="28"/>
        </w:rPr>
        <w:t>s, knowing most tenants are asleep then). It also will encourage posting early in the process – good for tenants in stable neighborhoods, but bad for those where notices are likely to be literally ripped off or blown away before the tenant can be on the lookout for the summons.</w:t>
      </w:r>
    </w:p>
    <w:p w14:paraId="57BB2FDF" w14:textId="77777777" w:rsidR="00724D5C" w:rsidRDefault="00724D5C" w:rsidP="000106C2">
      <w:pPr>
        <w:pStyle w:val="FootnoteText"/>
        <w:jc w:val="both"/>
        <w:rPr>
          <w:sz w:val="28"/>
          <w:szCs w:val="28"/>
        </w:rPr>
      </w:pPr>
    </w:p>
    <w:p w14:paraId="7FFDFE00" w14:textId="12C68AB7" w:rsidR="00724D5C" w:rsidRPr="00724D5C" w:rsidRDefault="00724D5C" w:rsidP="00E56DA5">
      <w:pPr>
        <w:pStyle w:val="FootnoteText"/>
        <w:ind w:firstLine="720"/>
        <w:jc w:val="both"/>
        <w:rPr>
          <w:sz w:val="28"/>
          <w:szCs w:val="28"/>
          <w:u w:val="single"/>
        </w:rPr>
      </w:pPr>
      <w:r w:rsidRPr="00724D5C">
        <w:rPr>
          <w:sz w:val="28"/>
          <w:szCs w:val="28"/>
          <w:u w:val="single"/>
        </w:rPr>
        <w:t>Denial of review by the Minnesota Supreme Court</w:t>
      </w:r>
    </w:p>
    <w:p w14:paraId="363FB8E0" w14:textId="77777777" w:rsidR="00724D5C" w:rsidRDefault="00724D5C" w:rsidP="000106C2">
      <w:pPr>
        <w:pStyle w:val="FootnoteText"/>
        <w:jc w:val="both"/>
        <w:rPr>
          <w:sz w:val="28"/>
          <w:szCs w:val="28"/>
        </w:rPr>
      </w:pPr>
    </w:p>
    <w:p w14:paraId="45FBF176" w14:textId="40F4CEF9" w:rsidR="00724D5C" w:rsidRDefault="00724D5C" w:rsidP="000106C2">
      <w:pPr>
        <w:pStyle w:val="FootnoteText"/>
        <w:jc w:val="both"/>
        <w:rPr>
          <w:sz w:val="28"/>
          <w:szCs w:val="28"/>
        </w:rPr>
      </w:pPr>
      <w:r>
        <w:rPr>
          <w:sz w:val="28"/>
          <w:szCs w:val="28"/>
        </w:rPr>
        <w:t xml:space="preserve">I don’t know why the Minnesota Supreme Court denied review of the Court of Appeals’ decision in </w:t>
      </w:r>
      <w:r w:rsidRPr="00724D5C">
        <w:rPr>
          <w:i/>
          <w:iCs/>
          <w:sz w:val="28"/>
          <w:szCs w:val="28"/>
        </w:rPr>
        <w:t>Royston</w:t>
      </w:r>
      <w:r>
        <w:rPr>
          <w:sz w:val="28"/>
          <w:szCs w:val="28"/>
        </w:rPr>
        <w:t xml:space="preserve">. One possibility is that, as </w:t>
      </w:r>
      <w:r w:rsidR="00302908">
        <w:rPr>
          <w:sz w:val="28"/>
          <w:szCs w:val="28"/>
        </w:rPr>
        <w:t xml:space="preserve">just </w:t>
      </w:r>
      <w:r>
        <w:rPr>
          <w:sz w:val="28"/>
          <w:szCs w:val="28"/>
        </w:rPr>
        <w:t>discusse</w:t>
      </w:r>
      <w:r w:rsidR="00302908">
        <w:rPr>
          <w:sz w:val="28"/>
          <w:szCs w:val="28"/>
        </w:rPr>
        <w:t>d</w:t>
      </w:r>
      <w:r>
        <w:rPr>
          <w:sz w:val="28"/>
          <w:szCs w:val="28"/>
        </w:rPr>
        <w:t xml:space="preserve">, </w:t>
      </w:r>
      <w:r w:rsidRPr="006538AD">
        <w:rPr>
          <w:i/>
          <w:iCs/>
          <w:sz w:val="28"/>
          <w:szCs w:val="28"/>
        </w:rPr>
        <w:t>Royston</w:t>
      </w:r>
      <w:r>
        <w:rPr>
          <w:sz w:val="28"/>
          <w:szCs w:val="28"/>
        </w:rPr>
        <w:t>’s real-world effect will be real but relatively small. With many cases to hear, the supreme court might have decided</w:t>
      </w:r>
      <w:r w:rsidR="006538AD">
        <w:rPr>
          <w:sz w:val="28"/>
          <w:szCs w:val="28"/>
        </w:rPr>
        <w:t xml:space="preserve"> that</w:t>
      </w:r>
      <w:r>
        <w:rPr>
          <w:sz w:val="28"/>
          <w:szCs w:val="28"/>
        </w:rPr>
        <w:t xml:space="preserve"> fixing </w:t>
      </w:r>
      <w:r w:rsidRPr="00724D5C">
        <w:rPr>
          <w:i/>
          <w:iCs/>
          <w:sz w:val="28"/>
          <w:szCs w:val="28"/>
        </w:rPr>
        <w:t>Royston</w:t>
      </w:r>
      <w:r>
        <w:rPr>
          <w:sz w:val="28"/>
          <w:szCs w:val="28"/>
        </w:rPr>
        <w:t>’s construction error was not worth the time.</w:t>
      </w:r>
    </w:p>
    <w:p w14:paraId="760433C2" w14:textId="77777777" w:rsidR="00E56DA5" w:rsidRDefault="00E56DA5" w:rsidP="000106C2">
      <w:pPr>
        <w:pStyle w:val="FootnoteText"/>
        <w:jc w:val="both"/>
        <w:rPr>
          <w:sz w:val="28"/>
          <w:szCs w:val="28"/>
        </w:rPr>
      </w:pPr>
    </w:p>
    <w:p w14:paraId="4DA6B224" w14:textId="45C5EABA" w:rsidR="00E56DA5" w:rsidRDefault="00E56DA5" w:rsidP="006B2F54">
      <w:pPr>
        <w:pStyle w:val="FootnoteText"/>
        <w:ind w:left="720"/>
        <w:jc w:val="both"/>
        <w:rPr>
          <w:sz w:val="28"/>
          <w:szCs w:val="28"/>
        </w:rPr>
      </w:pPr>
      <w:r w:rsidRPr="000B750C">
        <w:rPr>
          <w:sz w:val="28"/>
          <w:szCs w:val="28"/>
          <w:u w:val="single"/>
        </w:rPr>
        <w:t>District-court litigation by defendants</w:t>
      </w:r>
      <w:r>
        <w:rPr>
          <w:sz w:val="28"/>
          <w:szCs w:val="28"/>
        </w:rPr>
        <w:t>.</w:t>
      </w:r>
    </w:p>
    <w:p w14:paraId="7E98F2ED" w14:textId="77777777" w:rsidR="00E56DA5" w:rsidRDefault="00E56DA5" w:rsidP="000106C2">
      <w:pPr>
        <w:pStyle w:val="FootnoteText"/>
        <w:jc w:val="both"/>
        <w:rPr>
          <w:sz w:val="28"/>
          <w:szCs w:val="28"/>
        </w:rPr>
      </w:pPr>
    </w:p>
    <w:p w14:paraId="3CD46425" w14:textId="5B9B36D1" w:rsidR="00A008ED" w:rsidRDefault="00E56DA5" w:rsidP="000106C2">
      <w:pPr>
        <w:pStyle w:val="FootnoteText"/>
        <w:jc w:val="both"/>
        <w:rPr>
          <w:sz w:val="28"/>
          <w:szCs w:val="28"/>
        </w:rPr>
      </w:pPr>
      <w:r w:rsidRPr="00A008ED">
        <w:rPr>
          <w:sz w:val="28"/>
          <w:szCs w:val="28"/>
        </w:rPr>
        <w:t xml:space="preserve">A defendant’s best hope when served the way Mr. Royston was served is to win the underlying case. However, such a tenant does have two </w:t>
      </w:r>
      <w:r w:rsidR="003E6738" w:rsidRPr="00A008ED">
        <w:rPr>
          <w:sz w:val="28"/>
          <w:szCs w:val="28"/>
        </w:rPr>
        <w:t xml:space="preserve">nonfrivolous arguments that </w:t>
      </w:r>
      <w:r w:rsidR="003709CA">
        <w:rPr>
          <w:sz w:val="28"/>
          <w:szCs w:val="28"/>
        </w:rPr>
        <w:t>the</w:t>
      </w:r>
      <w:r w:rsidR="003E6738" w:rsidRPr="00A008ED">
        <w:rPr>
          <w:sz w:val="28"/>
          <w:szCs w:val="28"/>
        </w:rPr>
        <w:t xml:space="preserve"> service </w:t>
      </w:r>
      <w:r w:rsidR="003709CA">
        <w:rPr>
          <w:sz w:val="28"/>
          <w:szCs w:val="28"/>
        </w:rPr>
        <w:t>wa</w:t>
      </w:r>
      <w:r w:rsidR="003E6738" w:rsidRPr="00A008ED">
        <w:rPr>
          <w:sz w:val="28"/>
          <w:szCs w:val="28"/>
        </w:rPr>
        <w:t xml:space="preserve">s unlawful. </w:t>
      </w:r>
    </w:p>
    <w:p w14:paraId="48CCB470" w14:textId="77777777" w:rsidR="00A008ED" w:rsidRDefault="00A008ED" w:rsidP="000106C2">
      <w:pPr>
        <w:pStyle w:val="FootnoteText"/>
        <w:jc w:val="both"/>
        <w:rPr>
          <w:sz w:val="28"/>
          <w:szCs w:val="28"/>
        </w:rPr>
      </w:pPr>
    </w:p>
    <w:p w14:paraId="5638A966" w14:textId="6C55CC73" w:rsidR="00A008ED" w:rsidRDefault="003E6738" w:rsidP="000106C2">
      <w:pPr>
        <w:pStyle w:val="FootnoteText"/>
        <w:jc w:val="both"/>
        <w:rPr>
          <w:sz w:val="28"/>
          <w:szCs w:val="28"/>
        </w:rPr>
      </w:pPr>
      <w:r w:rsidRPr="00A008ED">
        <w:rPr>
          <w:sz w:val="28"/>
          <w:szCs w:val="28"/>
        </w:rPr>
        <w:t>First, as discussed above, the 2023 session law might have abrogated</w:t>
      </w:r>
      <w:r w:rsidR="00947CFB">
        <w:rPr>
          <w:sz w:val="28"/>
          <w:szCs w:val="28"/>
        </w:rPr>
        <w:t xml:space="preserve"> </w:t>
      </w:r>
      <w:r w:rsidRPr="00A008ED">
        <w:rPr>
          <w:i/>
          <w:iCs/>
          <w:sz w:val="28"/>
          <w:szCs w:val="28"/>
        </w:rPr>
        <w:t>Royston</w:t>
      </w:r>
      <w:r w:rsidR="00947CFB">
        <w:rPr>
          <w:i/>
          <w:iCs/>
          <w:sz w:val="28"/>
          <w:szCs w:val="28"/>
        </w:rPr>
        <w:t>,</w:t>
      </w:r>
      <w:r w:rsidR="00947CFB" w:rsidRPr="00947CFB">
        <w:rPr>
          <w:sz w:val="28"/>
          <w:szCs w:val="28"/>
        </w:rPr>
        <w:t xml:space="preserve"> </w:t>
      </w:r>
      <w:r w:rsidR="00947CFB">
        <w:rPr>
          <w:sz w:val="28"/>
          <w:szCs w:val="28"/>
        </w:rPr>
        <w:t>effective 1/1/</w:t>
      </w:r>
      <w:r w:rsidR="00947CFB" w:rsidRPr="00A008ED">
        <w:rPr>
          <w:sz w:val="28"/>
          <w:szCs w:val="28"/>
        </w:rPr>
        <w:t>2024</w:t>
      </w:r>
      <w:r w:rsidRPr="00A008ED">
        <w:rPr>
          <w:sz w:val="28"/>
          <w:szCs w:val="28"/>
        </w:rPr>
        <w:t xml:space="preserve">. </w:t>
      </w:r>
    </w:p>
    <w:p w14:paraId="41FF937B" w14:textId="77777777" w:rsidR="00A008ED" w:rsidRDefault="00A008ED" w:rsidP="000106C2">
      <w:pPr>
        <w:pStyle w:val="FootnoteText"/>
        <w:jc w:val="both"/>
        <w:rPr>
          <w:sz w:val="28"/>
          <w:szCs w:val="28"/>
        </w:rPr>
      </w:pPr>
    </w:p>
    <w:p w14:paraId="0781B960" w14:textId="22D5087E" w:rsidR="003864F5" w:rsidRDefault="003E6738" w:rsidP="00A008ED">
      <w:pPr>
        <w:pStyle w:val="FootnoteText"/>
        <w:jc w:val="both"/>
        <w:rPr>
          <w:color w:val="222222"/>
          <w:sz w:val="28"/>
          <w:szCs w:val="28"/>
          <w:shd w:val="clear" w:color="auto" w:fill="FFFFFF"/>
        </w:rPr>
      </w:pPr>
      <w:r w:rsidRPr="00A008ED">
        <w:rPr>
          <w:sz w:val="28"/>
          <w:szCs w:val="28"/>
        </w:rPr>
        <w:t xml:space="preserve">Second, denial of review is not the same as the supreme court ruling on the issue. A tenant can nonfrivolously assert that she intends to appeal the </w:t>
      </w:r>
      <w:r w:rsidR="003709CA" w:rsidRPr="00A008ED">
        <w:rPr>
          <w:i/>
          <w:iCs/>
          <w:sz w:val="28"/>
          <w:szCs w:val="28"/>
        </w:rPr>
        <w:t>Royston</w:t>
      </w:r>
      <w:r w:rsidR="003709CA" w:rsidRPr="00A008ED">
        <w:rPr>
          <w:sz w:val="28"/>
          <w:szCs w:val="28"/>
        </w:rPr>
        <w:t xml:space="preserve"> </w:t>
      </w:r>
      <w:r w:rsidRPr="00A008ED">
        <w:rPr>
          <w:sz w:val="28"/>
          <w:szCs w:val="28"/>
        </w:rPr>
        <w:t>jurisdictional issue to the state supreme court</w:t>
      </w:r>
      <w:r w:rsidR="00A008ED">
        <w:rPr>
          <w:sz w:val="28"/>
          <w:szCs w:val="28"/>
        </w:rPr>
        <w:t xml:space="preserve"> and win in that court</w:t>
      </w:r>
      <w:r w:rsidRPr="00A008ED">
        <w:rPr>
          <w:sz w:val="28"/>
          <w:szCs w:val="28"/>
        </w:rPr>
        <w:t>.</w:t>
      </w:r>
      <w:r w:rsidR="00A008ED" w:rsidRPr="00A008ED">
        <w:rPr>
          <w:sz w:val="28"/>
          <w:szCs w:val="28"/>
        </w:rPr>
        <w:t xml:space="preserve"> </w:t>
      </w:r>
      <w:r w:rsidR="00947CFB">
        <w:rPr>
          <w:sz w:val="28"/>
          <w:szCs w:val="28"/>
        </w:rPr>
        <w:t>I</w:t>
      </w:r>
      <w:r w:rsidR="00A008ED">
        <w:rPr>
          <w:sz w:val="28"/>
          <w:szCs w:val="28"/>
        </w:rPr>
        <w:t>llustrating</w:t>
      </w:r>
      <w:r w:rsidR="00A008ED" w:rsidRPr="00A008ED">
        <w:rPr>
          <w:sz w:val="28"/>
          <w:szCs w:val="28"/>
        </w:rPr>
        <w:t xml:space="preserve"> this principle </w:t>
      </w:r>
      <w:r w:rsidR="003709CA">
        <w:rPr>
          <w:sz w:val="28"/>
          <w:szCs w:val="28"/>
        </w:rPr>
        <w:t xml:space="preserve">is this pair of </w:t>
      </w:r>
      <w:r w:rsidR="00A008ED">
        <w:rPr>
          <w:sz w:val="28"/>
          <w:szCs w:val="28"/>
        </w:rPr>
        <w:t xml:space="preserve">landlord-tenant cases about fire insurance: </w:t>
      </w:r>
      <w:hyperlink r:id="rId17" w:history="1">
        <w:r w:rsidR="00A008ED" w:rsidRPr="00A008ED">
          <w:rPr>
            <w:rStyle w:val="Hyperlink"/>
            <w:i/>
            <w:iCs/>
            <w:color w:val="1A0DAB"/>
            <w:sz w:val="28"/>
            <w:szCs w:val="28"/>
            <w:shd w:val="clear" w:color="auto" w:fill="FFFFFF"/>
          </w:rPr>
          <w:t>RAM Mut. Ins. Co. v. Rohde,</w:t>
        </w:r>
        <w:r w:rsidR="00A008ED" w:rsidRPr="00A008ED">
          <w:rPr>
            <w:rStyle w:val="Hyperlink"/>
            <w:color w:val="1A0DAB"/>
            <w:sz w:val="28"/>
            <w:szCs w:val="28"/>
            <w:shd w:val="clear" w:color="auto" w:fill="FFFFFF"/>
          </w:rPr>
          <w:t> 820 N.W.2d 1 (Minn. 2012)</w:t>
        </w:r>
      </w:hyperlink>
      <w:r w:rsidR="00A008ED" w:rsidRPr="00A008ED">
        <w:rPr>
          <w:sz w:val="28"/>
          <w:szCs w:val="28"/>
        </w:rPr>
        <w:t xml:space="preserve">, overruling </w:t>
      </w:r>
      <w:hyperlink r:id="rId18" w:history="1">
        <w:r w:rsidR="00A008ED" w:rsidRPr="00A008ED">
          <w:rPr>
            <w:rStyle w:val="Hyperlink"/>
            <w:i/>
            <w:iCs/>
            <w:color w:val="1A0DAB"/>
            <w:sz w:val="28"/>
            <w:szCs w:val="28"/>
            <w:shd w:val="clear" w:color="auto" w:fill="FFFFFF"/>
          </w:rPr>
          <w:t>United Fire &amp;</w:t>
        </w:r>
        <w:r w:rsidR="00A008ED">
          <w:rPr>
            <w:rStyle w:val="Hyperlink"/>
            <w:i/>
            <w:iCs/>
            <w:color w:val="1A0DAB"/>
            <w:sz w:val="28"/>
            <w:szCs w:val="28"/>
            <w:shd w:val="clear" w:color="auto" w:fill="FFFFFF"/>
          </w:rPr>
          <w:t xml:space="preserve"> </w:t>
        </w:r>
        <w:r w:rsidR="00A008ED" w:rsidRPr="00A008ED">
          <w:rPr>
            <w:rStyle w:val="Hyperlink"/>
            <w:i/>
            <w:iCs/>
            <w:color w:val="1A0DAB"/>
            <w:sz w:val="28"/>
            <w:szCs w:val="28"/>
            <w:shd w:val="clear" w:color="auto" w:fill="FFFFFF"/>
          </w:rPr>
          <w:t>Casualty Co. v. Bruggeman,</w:t>
        </w:r>
        <w:r w:rsidR="00A008ED" w:rsidRPr="00A008ED">
          <w:rPr>
            <w:rStyle w:val="Hyperlink"/>
            <w:color w:val="1A0DAB"/>
            <w:sz w:val="28"/>
            <w:szCs w:val="28"/>
            <w:shd w:val="clear" w:color="auto" w:fill="FFFFFF"/>
          </w:rPr>
          <w:t> 505 N.W.2d 87 (Minn.App.1993),</w:t>
        </w:r>
      </w:hyperlink>
      <w:r w:rsidR="00A008ED" w:rsidRPr="00A008ED">
        <w:rPr>
          <w:color w:val="222222"/>
          <w:sz w:val="28"/>
          <w:szCs w:val="28"/>
          <w:shd w:val="clear" w:color="auto" w:fill="FFFFFF"/>
        </w:rPr>
        <w:t> </w:t>
      </w:r>
      <w:r w:rsidR="00A008ED" w:rsidRPr="00A008ED">
        <w:rPr>
          <w:i/>
          <w:iCs/>
          <w:color w:val="222222"/>
          <w:sz w:val="28"/>
          <w:szCs w:val="28"/>
          <w:shd w:val="clear" w:color="auto" w:fill="FFFFFF"/>
        </w:rPr>
        <w:t>rev. denied</w:t>
      </w:r>
      <w:r w:rsidR="00A008ED" w:rsidRPr="00A008ED">
        <w:rPr>
          <w:color w:val="222222"/>
          <w:sz w:val="28"/>
          <w:szCs w:val="28"/>
          <w:shd w:val="clear" w:color="auto" w:fill="FFFFFF"/>
        </w:rPr>
        <w:t> (Minn. Oct. 19, 1993)</w:t>
      </w:r>
      <w:r w:rsidR="00A008ED">
        <w:rPr>
          <w:color w:val="222222"/>
          <w:sz w:val="28"/>
          <w:szCs w:val="28"/>
          <w:shd w:val="clear" w:color="auto" w:fill="FFFFFF"/>
        </w:rPr>
        <w:t>.</w:t>
      </w:r>
    </w:p>
    <w:p w14:paraId="6CB96D78" w14:textId="77777777" w:rsidR="006B2F54" w:rsidRDefault="006B2F54" w:rsidP="00A008ED">
      <w:pPr>
        <w:pStyle w:val="FootnoteText"/>
        <w:jc w:val="both"/>
        <w:rPr>
          <w:color w:val="222222"/>
          <w:sz w:val="28"/>
          <w:szCs w:val="28"/>
          <w:shd w:val="clear" w:color="auto" w:fill="FFFFFF"/>
        </w:rPr>
      </w:pPr>
    </w:p>
    <w:p w14:paraId="23179ACB" w14:textId="3A739B8A" w:rsidR="006B2F54" w:rsidRDefault="004E7B7A" w:rsidP="00A008ED">
      <w:pPr>
        <w:pStyle w:val="FootnoteText"/>
        <w:jc w:val="both"/>
        <w:rPr>
          <w:color w:val="222222"/>
          <w:sz w:val="28"/>
          <w:szCs w:val="28"/>
          <w:shd w:val="clear" w:color="auto" w:fill="FFFFFF"/>
        </w:rPr>
      </w:pPr>
      <w:r>
        <w:rPr>
          <w:b/>
          <w:bCs/>
          <w:color w:val="222222"/>
          <w:sz w:val="28"/>
          <w:szCs w:val="28"/>
          <w:shd w:val="clear" w:color="auto" w:fill="FFFFFF"/>
        </w:rPr>
        <w:t xml:space="preserve">VI. </w:t>
      </w:r>
      <w:r w:rsidR="006B2F54" w:rsidRPr="00A20DEB">
        <w:rPr>
          <w:b/>
          <w:bCs/>
          <w:color w:val="222222"/>
          <w:sz w:val="28"/>
          <w:szCs w:val="28"/>
          <w:shd w:val="clear" w:color="auto" w:fill="FFFFFF"/>
        </w:rPr>
        <w:t>CONCLUSIONS</w:t>
      </w:r>
      <w:r w:rsidR="00A20DEB">
        <w:rPr>
          <w:color w:val="222222"/>
          <w:sz w:val="28"/>
          <w:szCs w:val="28"/>
          <w:shd w:val="clear" w:color="auto" w:fill="FFFFFF"/>
        </w:rPr>
        <w:t>.</w:t>
      </w:r>
    </w:p>
    <w:p w14:paraId="4AC74967" w14:textId="77777777" w:rsidR="006B2F54" w:rsidRDefault="006B2F54" w:rsidP="00A008ED">
      <w:pPr>
        <w:pStyle w:val="FootnoteText"/>
        <w:jc w:val="both"/>
        <w:rPr>
          <w:color w:val="222222"/>
          <w:sz w:val="28"/>
          <w:szCs w:val="28"/>
          <w:shd w:val="clear" w:color="auto" w:fill="FFFFFF"/>
        </w:rPr>
      </w:pPr>
    </w:p>
    <w:p w14:paraId="776236B2" w14:textId="61B37DEC" w:rsidR="006B2F54" w:rsidRDefault="006B2F54" w:rsidP="00A008ED">
      <w:pPr>
        <w:pStyle w:val="FootnoteText"/>
        <w:jc w:val="both"/>
        <w:rPr>
          <w:color w:val="222222"/>
          <w:sz w:val="28"/>
          <w:szCs w:val="28"/>
          <w:shd w:val="clear" w:color="auto" w:fill="FFFFFF"/>
        </w:rPr>
      </w:pPr>
      <w:r>
        <w:rPr>
          <w:color w:val="222222"/>
          <w:sz w:val="28"/>
          <w:szCs w:val="28"/>
          <w:shd w:val="clear" w:color="auto" w:fill="FFFFFF"/>
        </w:rPr>
        <w:t xml:space="preserve">[1] The Court of Appeals’ </w:t>
      </w:r>
      <w:r w:rsidRPr="006B2F54">
        <w:rPr>
          <w:i/>
          <w:iCs/>
          <w:color w:val="222222"/>
          <w:sz w:val="28"/>
          <w:szCs w:val="28"/>
          <w:shd w:val="clear" w:color="auto" w:fill="FFFFFF"/>
        </w:rPr>
        <w:t>Royston</w:t>
      </w:r>
      <w:r>
        <w:rPr>
          <w:color w:val="222222"/>
          <w:sz w:val="28"/>
          <w:szCs w:val="28"/>
          <w:shd w:val="clear" w:color="auto" w:fill="FFFFFF"/>
        </w:rPr>
        <w:t xml:space="preserve"> holding is inconsistent with the plain language of Minn. Stat. §</w:t>
      </w:r>
      <w:r w:rsidR="00947CFB">
        <w:rPr>
          <w:color w:val="222222"/>
          <w:sz w:val="28"/>
          <w:szCs w:val="28"/>
          <w:shd w:val="clear" w:color="auto" w:fill="FFFFFF"/>
        </w:rPr>
        <w:t xml:space="preserve"> </w:t>
      </w:r>
      <w:r>
        <w:rPr>
          <w:color w:val="222222"/>
          <w:sz w:val="28"/>
          <w:szCs w:val="28"/>
          <w:shd w:val="clear" w:color="auto" w:fill="FFFFFF"/>
        </w:rPr>
        <w:t>504B.331.</w:t>
      </w:r>
    </w:p>
    <w:p w14:paraId="552E620F" w14:textId="4DFA79A1" w:rsidR="006B2F54" w:rsidRDefault="006B2F54" w:rsidP="00A008ED">
      <w:pPr>
        <w:pStyle w:val="FootnoteText"/>
        <w:jc w:val="both"/>
        <w:rPr>
          <w:color w:val="222222"/>
          <w:sz w:val="28"/>
          <w:szCs w:val="28"/>
          <w:shd w:val="clear" w:color="auto" w:fill="FFFFFF"/>
        </w:rPr>
      </w:pPr>
      <w:r>
        <w:rPr>
          <w:color w:val="222222"/>
          <w:sz w:val="28"/>
          <w:szCs w:val="28"/>
          <w:shd w:val="clear" w:color="auto" w:fill="FFFFFF"/>
        </w:rPr>
        <w:lastRenderedPageBreak/>
        <w:t xml:space="preserve">[2] Minn. Stat. §504B.331 derives from 1909 Minn. Laws ch. 496, s. 1. That 1909 law, allowing service by publication + posting was largely copied from an existing statute, Rev. Laws 1905 section 4111. Section 4111 had been construed by the supreme court to require dismissal of a case if the plaintiff published before filing the affidavit of not found &amp; mailing. </w:t>
      </w:r>
      <w:r w:rsidR="00947CFB">
        <w:rPr>
          <w:color w:val="222222"/>
          <w:sz w:val="28"/>
          <w:szCs w:val="28"/>
          <w:shd w:val="clear" w:color="auto" w:fill="FFFFFF"/>
        </w:rPr>
        <w:t>It follows that</w:t>
      </w:r>
      <w:r>
        <w:rPr>
          <w:color w:val="222222"/>
          <w:sz w:val="28"/>
          <w:szCs w:val="28"/>
          <w:shd w:val="clear" w:color="auto" w:fill="FFFFFF"/>
        </w:rPr>
        <w:t xml:space="preserve"> Minn. Stat. §504B.331 require</w:t>
      </w:r>
      <w:r w:rsidR="00947CFB">
        <w:rPr>
          <w:color w:val="222222"/>
          <w:sz w:val="28"/>
          <w:szCs w:val="28"/>
          <w:shd w:val="clear" w:color="auto" w:fill="FFFFFF"/>
        </w:rPr>
        <w:t>s</w:t>
      </w:r>
      <w:r>
        <w:rPr>
          <w:color w:val="222222"/>
          <w:sz w:val="28"/>
          <w:szCs w:val="28"/>
          <w:shd w:val="clear" w:color="auto" w:fill="FFFFFF"/>
        </w:rPr>
        <w:t xml:space="preserve"> filing the affidavit of not found &amp; mailing before posting.</w:t>
      </w:r>
    </w:p>
    <w:p w14:paraId="5BC242D9" w14:textId="77777777" w:rsidR="006B2F54" w:rsidRDefault="006B2F54" w:rsidP="00A008ED">
      <w:pPr>
        <w:pStyle w:val="FootnoteText"/>
        <w:jc w:val="both"/>
        <w:rPr>
          <w:color w:val="222222"/>
          <w:sz w:val="28"/>
          <w:szCs w:val="28"/>
          <w:shd w:val="clear" w:color="auto" w:fill="FFFFFF"/>
        </w:rPr>
      </w:pPr>
    </w:p>
    <w:p w14:paraId="6F66E22B" w14:textId="77777777" w:rsidR="006B2F54" w:rsidRDefault="006B2F54" w:rsidP="006B2F54">
      <w:pPr>
        <w:pStyle w:val="FootnoteText"/>
        <w:jc w:val="both"/>
        <w:rPr>
          <w:rStyle w:val="Hyperlink"/>
          <w:color w:val="auto"/>
          <w:sz w:val="28"/>
          <w:szCs w:val="28"/>
          <w:u w:val="none"/>
        </w:rPr>
      </w:pPr>
      <w:r>
        <w:rPr>
          <w:color w:val="222222"/>
          <w:sz w:val="28"/>
          <w:szCs w:val="28"/>
          <w:shd w:val="clear" w:color="auto" w:fill="FFFFFF"/>
        </w:rPr>
        <w:t xml:space="preserve">[3] </w:t>
      </w:r>
      <w:r w:rsidRPr="006B2F54">
        <w:rPr>
          <w:sz w:val="28"/>
          <w:szCs w:val="28"/>
        </w:rPr>
        <w:t>2023 Minn. Laws ch. 52, art. 19, s. 106</w:t>
      </w:r>
      <w:r>
        <w:rPr>
          <w:rStyle w:val="Hyperlink"/>
          <w:sz w:val="28"/>
          <w:szCs w:val="28"/>
        </w:rPr>
        <w:t xml:space="preserve"> </w:t>
      </w:r>
      <w:r w:rsidRPr="006B2F54">
        <w:rPr>
          <w:rStyle w:val="Hyperlink"/>
          <w:color w:val="auto"/>
          <w:sz w:val="28"/>
          <w:szCs w:val="28"/>
          <w:u w:val="none"/>
        </w:rPr>
        <w:t xml:space="preserve">might have abrogated </w:t>
      </w:r>
      <w:r w:rsidRPr="006B2F54">
        <w:rPr>
          <w:rStyle w:val="Hyperlink"/>
          <w:i/>
          <w:iCs/>
          <w:color w:val="auto"/>
          <w:sz w:val="28"/>
          <w:szCs w:val="28"/>
          <w:u w:val="none"/>
        </w:rPr>
        <w:t>Royston</w:t>
      </w:r>
      <w:r w:rsidRPr="006B2F54">
        <w:rPr>
          <w:rStyle w:val="Hyperlink"/>
          <w:color w:val="auto"/>
          <w:sz w:val="28"/>
          <w:szCs w:val="28"/>
          <w:u w:val="none"/>
        </w:rPr>
        <w:t xml:space="preserve"> effective 1/1/2024.</w:t>
      </w:r>
    </w:p>
    <w:p w14:paraId="5F4AA7E6" w14:textId="77777777" w:rsidR="006B2F54" w:rsidRDefault="006B2F54" w:rsidP="006B2F54">
      <w:pPr>
        <w:pStyle w:val="FootnoteText"/>
        <w:jc w:val="both"/>
        <w:rPr>
          <w:rStyle w:val="Hyperlink"/>
          <w:color w:val="auto"/>
          <w:sz w:val="28"/>
          <w:szCs w:val="28"/>
          <w:u w:val="none"/>
        </w:rPr>
      </w:pPr>
    </w:p>
    <w:p w14:paraId="33A66646" w14:textId="2D1D789C" w:rsidR="00D67A0D" w:rsidRPr="008C454E" w:rsidRDefault="006B2F54" w:rsidP="000D7CD3">
      <w:pPr>
        <w:pStyle w:val="FootnoteText"/>
        <w:jc w:val="both"/>
        <w:rPr>
          <w:color w:val="FF0000"/>
          <w:sz w:val="28"/>
          <w:szCs w:val="28"/>
        </w:rPr>
      </w:pPr>
      <w:r>
        <w:rPr>
          <w:color w:val="222222"/>
          <w:sz w:val="28"/>
          <w:szCs w:val="28"/>
          <w:shd w:val="clear" w:color="auto" w:fill="FFFFFF"/>
        </w:rPr>
        <w:t xml:space="preserve">[4] The practical effect of </w:t>
      </w:r>
      <w:r w:rsidRPr="006B2F54">
        <w:rPr>
          <w:i/>
          <w:iCs/>
          <w:color w:val="222222"/>
          <w:sz w:val="28"/>
          <w:szCs w:val="28"/>
          <w:shd w:val="clear" w:color="auto" w:fill="FFFFFF"/>
        </w:rPr>
        <w:t>Royston</w:t>
      </w:r>
      <w:r>
        <w:rPr>
          <w:color w:val="222222"/>
          <w:sz w:val="28"/>
          <w:szCs w:val="28"/>
          <w:shd w:val="clear" w:color="auto" w:fill="FFFFFF"/>
        </w:rPr>
        <w:t xml:space="preserve"> is real but relatively small.</w:t>
      </w:r>
    </w:p>
    <w:p w14:paraId="4D24CBAA" w14:textId="77777777" w:rsidR="001C5476" w:rsidRPr="008C454E" w:rsidRDefault="001C5476" w:rsidP="0059666A">
      <w:pPr>
        <w:pStyle w:val="ListParagraph"/>
        <w:shd w:val="clear" w:color="auto" w:fill="FFFFFF"/>
        <w:ind w:left="0"/>
        <w:rPr>
          <w:color w:val="FF0000"/>
          <w:sz w:val="28"/>
          <w:szCs w:val="28"/>
        </w:rPr>
      </w:pPr>
    </w:p>
    <w:sectPr w:rsidR="001C5476" w:rsidRPr="008C454E">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FAC37" w14:textId="77777777" w:rsidR="00E23365" w:rsidRDefault="00E23365" w:rsidP="00AA7383">
      <w:r>
        <w:separator/>
      </w:r>
    </w:p>
  </w:endnote>
  <w:endnote w:type="continuationSeparator" w:id="0">
    <w:p w14:paraId="20106350" w14:textId="77777777" w:rsidR="00E23365" w:rsidRDefault="00E23365" w:rsidP="00AA73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8256103"/>
      <w:docPartObj>
        <w:docPartGallery w:val="Page Numbers (Bottom of Page)"/>
        <w:docPartUnique/>
      </w:docPartObj>
    </w:sdtPr>
    <w:sdtEndPr>
      <w:rPr>
        <w:noProof/>
      </w:rPr>
    </w:sdtEndPr>
    <w:sdtContent>
      <w:p w14:paraId="23D61868" w14:textId="11F6EAED" w:rsidR="00BE4726" w:rsidRDefault="00BE472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ED5397" w14:textId="77777777" w:rsidR="00BE4726" w:rsidRDefault="00BE47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635A5" w14:textId="77777777" w:rsidR="00E23365" w:rsidRDefault="00E23365" w:rsidP="00AA7383">
      <w:r>
        <w:separator/>
      </w:r>
    </w:p>
  </w:footnote>
  <w:footnote w:type="continuationSeparator" w:id="0">
    <w:p w14:paraId="0DC8BAC0" w14:textId="77777777" w:rsidR="00E23365" w:rsidRDefault="00E23365" w:rsidP="00AA7383">
      <w:r>
        <w:continuationSeparator/>
      </w:r>
    </w:p>
  </w:footnote>
  <w:footnote w:id="1">
    <w:p w14:paraId="1F0A3E6B" w14:textId="1168267E" w:rsidR="005F38B5" w:rsidRDefault="005F38B5" w:rsidP="005F38B5">
      <w:pPr>
        <w:pStyle w:val="FootnoteText"/>
        <w:rPr>
          <w:sz w:val="28"/>
          <w:szCs w:val="28"/>
        </w:rPr>
      </w:pPr>
      <w:r w:rsidRPr="005F38B5">
        <w:rPr>
          <w:rStyle w:val="FootnoteReference"/>
          <w:sz w:val="28"/>
          <w:szCs w:val="28"/>
        </w:rPr>
        <w:footnoteRef/>
      </w:r>
      <w:r w:rsidRPr="005F38B5">
        <w:rPr>
          <w:sz w:val="28"/>
          <w:szCs w:val="28"/>
        </w:rPr>
        <w:t xml:space="preserve"> The </w:t>
      </w:r>
      <w:r>
        <w:rPr>
          <w:sz w:val="28"/>
          <w:szCs w:val="28"/>
        </w:rPr>
        <w:t>amendment</w:t>
      </w:r>
      <w:r w:rsidRPr="005F38B5">
        <w:rPr>
          <w:sz w:val="28"/>
          <w:szCs w:val="28"/>
        </w:rPr>
        <w:t xml:space="preserve"> is available in </w:t>
      </w:r>
      <w:hyperlink r:id="rId1" w:history="1">
        <w:r w:rsidRPr="007218EA">
          <w:rPr>
            <w:rStyle w:val="Hyperlink"/>
            <w:sz w:val="28"/>
            <w:szCs w:val="28"/>
          </w:rPr>
          <w:t xml:space="preserve">Appendix </w:t>
        </w:r>
        <w:r w:rsidR="0079508C" w:rsidRPr="007218EA">
          <w:rPr>
            <w:rStyle w:val="Hyperlink"/>
            <w:sz w:val="28"/>
            <w:szCs w:val="28"/>
          </w:rPr>
          <w:t>1</w:t>
        </w:r>
      </w:hyperlink>
      <w:r w:rsidRPr="003709CA">
        <w:rPr>
          <w:color w:val="FF0000"/>
          <w:sz w:val="28"/>
          <w:szCs w:val="28"/>
        </w:rPr>
        <w:t xml:space="preserve"> </w:t>
      </w:r>
      <w:r w:rsidRPr="00D11C4E">
        <w:rPr>
          <w:sz w:val="28"/>
          <w:szCs w:val="28"/>
        </w:rPr>
        <w:t xml:space="preserve">on page </w:t>
      </w:r>
      <w:r w:rsidR="0079508C" w:rsidRPr="00D11C4E">
        <w:rPr>
          <w:sz w:val="28"/>
          <w:szCs w:val="28"/>
        </w:rPr>
        <w:t>2</w:t>
      </w:r>
      <w:r w:rsidRPr="00D11C4E">
        <w:rPr>
          <w:sz w:val="28"/>
          <w:szCs w:val="28"/>
        </w:rPr>
        <w:t>.</w:t>
      </w:r>
    </w:p>
    <w:p w14:paraId="26CD6AED" w14:textId="77777777" w:rsidR="004C6110" w:rsidRPr="005F38B5" w:rsidRDefault="004C6110" w:rsidP="005F38B5">
      <w:pPr>
        <w:pStyle w:val="FootnoteText"/>
        <w:rPr>
          <w:sz w:val="28"/>
          <w:szCs w:val="28"/>
        </w:rPr>
      </w:pPr>
    </w:p>
  </w:footnote>
  <w:footnote w:id="2">
    <w:p w14:paraId="66B8F984" w14:textId="33ABA47E" w:rsidR="00116F2C" w:rsidRPr="005F38B5" w:rsidRDefault="00116F2C" w:rsidP="00116F2C">
      <w:pPr>
        <w:pStyle w:val="FootnoteText"/>
        <w:rPr>
          <w:sz w:val="28"/>
          <w:szCs w:val="28"/>
        </w:rPr>
      </w:pPr>
      <w:r>
        <w:rPr>
          <w:rStyle w:val="FootnoteReference"/>
          <w:sz w:val="28"/>
          <w:szCs w:val="28"/>
        </w:rPr>
        <w:t>z</w:t>
      </w:r>
      <w:r>
        <w:rPr>
          <w:sz w:val="28"/>
          <w:szCs w:val="28"/>
        </w:rPr>
        <w:t xml:space="preserve"> Available in </w:t>
      </w:r>
      <w:hyperlink r:id="rId2" w:history="1">
        <w:r w:rsidR="007218EA" w:rsidRPr="007218EA">
          <w:rPr>
            <w:rStyle w:val="Hyperlink"/>
            <w:sz w:val="28"/>
            <w:szCs w:val="28"/>
          </w:rPr>
          <w:t>Appendix 1</w:t>
        </w:r>
      </w:hyperlink>
      <w:r w:rsidR="007218EA" w:rsidRPr="003709CA">
        <w:rPr>
          <w:color w:val="FF0000"/>
          <w:sz w:val="28"/>
          <w:szCs w:val="28"/>
        </w:rPr>
        <w:t xml:space="preserve"> </w:t>
      </w:r>
      <w:r w:rsidR="007218EA" w:rsidRPr="00D11C4E">
        <w:rPr>
          <w:sz w:val="28"/>
          <w:szCs w:val="28"/>
        </w:rPr>
        <w:t>on page 3.</w:t>
      </w:r>
    </w:p>
  </w:footnote>
  <w:footnote w:id="3">
    <w:p w14:paraId="0A8A8755" w14:textId="6C71AE14" w:rsidR="0047061E" w:rsidRPr="000519D7" w:rsidRDefault="0047061E" w:rsidP="0047061E">
      <w:pPr>
        <w:pStyle w:val="Heading1"/>
        <w:shd w:val="clear" w:color="auto" w:fill="FFFFFF"/>
        <w:spacing w:before="150" w:after="150"/>
        <w:rPr>
          <w:rFonts w:ascii="Times New Roman" w:hAnsi="Times New Roman" w:cs="Times New Roman"/>
          <w:color w:val="auto"/>
          <w:sz w:val="28"/>
          <w:szCs w:val="28"/>
        </w:rPr>
      </w:pPr>
      <w:r w:rsidRPr="000519D7">
        <w:rPr>
          <w:rStyle w:val="FootnoteReference"/>
          <w:rFonts w:ascii="Times New Roman" w:hAnsi="Times New Roman" w:cs="Times New Roman"/>
          <w:color w:val="auto"/>
          <w:sz w:val="28"/>
          <w:szCs w:val="28"/>
        </w:rPr>
        <w:footnoteRef/>
      </w:r>
      <w:r w:rsidRPr="000519D7">
        <w:rPr>
          <w:rFonts w:ascii="Times New Roman" w:hAnsi="Times New Roman" w:cs="Times New Roman"/>
          <w:color w:val="auto"/>
          <w:sz w:val="28"/>
          <w:szCs w:val="28"/>
        </w:rPr>
        <w:t xml:space="preserve"> E.g., Nebraska allows </w:t>
      </w:r>
      <w:r>
        <w:rPr>
          <w:rFonts w:ascii="Times New Roman" w:hAnsi="Times New Roman" w:cs="Times New Roman"/>
          <w:color w:val="auto"/>
          <w:sz w:val="28"/>
          <w:szCs w:val="28"/>
        </w:rPr>
        <w:t>Certified</w:t>
      </w:r>
      <w:r w:rsidR="00B6269E">
        <w:rPr>
          <w:rFonts w:ascii="Times New Roman" w:hAnsi="Times New Roman" w:cs="Times New Roman"/>
          <w:color w:val="auto"/>
          <w:sz w:val="28"/>
          <w:szCs w:val="28"/>
        </w:rPr>
        <w:t>-</w:t>
      </w:r>
      <w:r>
        <w:rPr>
          <w:rFonts w:ascii="Times New Roman" w:hAnsi="Times New Roman" w:cs="Times New Roman"/>
          <w:color w:val="auto"/>
          <w:sz w:val="28"/>
          <w:szCs w:val="28"/>
        </w:rPr>
        <w:t>Mail service in some cases</w:t>
      </w:r>
      <w:r w:rsidRPr="000519D7">
        <w:rPr>
          <w:rFonts w:ascii="Times New Roman" w:hAnsi="Times New Roman" w:cs="Times New Roman"/>
          <w:color w:val="auto"/>
          <w:sz w:val="28"/>
          <w:szCs w:val="28"/>
        </w:rPr>
        <w:t xml:space="preserve">. </w:t>
      </w:r>
      <w:hyperlink r:id="rId3" w:history="1">
        <w:r w:rsidRPr="000519D7">
          <w:rPr>
            <w:rStyle w:val="Hyperlink"/>
            <w:rFonts w:ascii="Times New Roman" w:hAnsi="Times New Roman" w:cs="Times New Roman"/>
            <w:sz w:val="28"/>
            <w:szCs w:val="28"/>
          </w:rPr>
          <w:t>NRS § 25-505.01(1)(c)</w:t>
        </w:r>
      </w:hyperlink>
      <w:r w:rsidRPr="000519D7">
        <w:rPr>
          <w:rFonts w:ascii="Times New Roman" w:hAnsi="Times New Roman" w:cs="Times New Roman"/>
          <w:color w:val="auto"/>
          <w:sz w:val="28"/>
          <w:szCs w:val="28"/>
        </w:rPr>
        <w:t>.</w:t>
      </w:r>
    </w:p>
    <w:p w14:paraId="7F768C5C" w14:textId="77777777" w:rsidR="0047061E" w:rsidRDefault="0047061E" w:rsidP="0047061E">
      <w:pPr>
        <w:pStyle w:val="FootnoteText"/>
      </w:pPr>
    </w:p>
  </w:footnote>
  <w:footnote w:id="4">
    <w:p w14:paraId="3F9FEEDD" w14:textId="5196B561" w:rsidR="00312B18" w:rsidRPr="003709CA" w:rsidRDefault="00312B18">
      <w:pPr>
        <w:pStyle w:val="FootnoteText"/>
        <w:rPr>
          <w:color w:val="FF0000"/>
          <w:sz w:val="28"/>
          <w:szCs w:val="28"/>
        </w:rPr>
      </w:pPr>
      <w:r w:rsidRPr="00A31872">
        <w:rPr>
          <w:rStyle w:val="FootnoteReference"/>
          <w:sz w:val="28"/>
          <w:szCs w:val="28"/>
        </w:rPr>
        <w:footnoteRef/>
      </w:r>
      <w:r w:rsidRPr="00A31872">
        <w:rPr>
          <w:sz w:val="28"/>
          <w:szCs w:val="28"/>
        </w:rPr>
        <w:t xml:space="preserve"> Codified at Rev. Laws</w:t>
      </w:r>
      <w:r w:rsidR="00040378">
        <w:rPr>
          <w:sz w:val="28"/>
          <w:szCs w:val="28"/>
        </w:rPr>
        <w:t xml:space="preserve"> 1905</w:t>
      </w:r>
      <w:r w:rsidRPr="00A31872">
        <w:rPr>
          <w:sz w:val="28"/>
          <w:szCs w:val="28"/>
        </w:rPr>
        <w:t xml:space="preserve"> §</w:t>
      </w:r>
      <w:r w:rsidR="00A31872" w:rsidRPr="00A31872">
        <w:rPr>
          <w:sz w:val="28"/>
          <w:szCs w:val="28"/>
        </w:rPr>
        <w:t xml:space="preserve"> </w:t>
      </w:r>
      <w:r w:rsidR="00CC0C4F">
        <w:rPr>
          <w:sz w:val="28"/>
          <w:szCs w:val="28"/>
        </w:rPr>
        <w:t>4041</w:t>
      </w:r>
      <w:r w:rsidR="00EB39C0">
        <w:rPr>
          <w:sz w:val="28"/>
          <w:szCs w:val="28"/>
        </w:rPr>
        <w:t>,</w:t>
      </w:r>
      <w:r w:rsidR="00295A69">
        <w:rPr>
          <w:sz w:val="28"/>
          <w:szCs w:val="28"/>
        </w:rPr>
        <w:t xml:space="preserve"> available in</w:t>
      </w:r>
      <w:r w:rsidR="00EB39C0">
        <w:rPr>
          <w:sz w:val="28"/>
          <w:szCs w:val="28"/>
        </w:rPr>
        <w:t xml:space="preserve"> </w:t>
      </w:r>
      <w:hyperlink r:id="rId4" w:history="1">
        <w:r w:rsidR="00295A69" w:rsidRPr="007218EA">
          <w:rPr>
            <w:rStyle w:val="Hyperlink"/>
            <w:sz w:val="28"/>
            <w:szCs w:val="28"/>
          </w:rPr>
          <w:t>Appendix 1</w:t>
        </w:r>
      </w:hyperlink>
      <w:r w:rsidR="00295A69" w:rsidRPr="003709CA">
        <w:rPr>
          <w:color w:val="FF0000"/>
          <w:sz w:val="28"/>
          <w:szCs w:val="28"/>
        </w:rPr>
        <w:t xml:space="preserve"> </w:t>
      </w:r>
      <w:r w:rsidR="00295A69" w:rsidRPr="00D11C4E">
        <w:rPr>
          <w:sz w:val="28"/>
          <w:szCs w:val="28"/>
        </w:rPr>
        <w:t>on page 21.</w:t>
      </w:r>
    </w:p>
    <w:p w14:paraId="227D1AF7" w14:textId="77777777" w:rsidR="00026F79" w:rsidRPr="003709CA" w:rsidRDefault="00026F79">
      <w:pPr>
        <w:pStyle w:val="FootnoteText"/>
        <w:rPr>
          <w:color w:val="FF0000"/>
          <w:sz w:val="28"/>
          <w:szCs w:val="28"/>
        </w:rPr>
      </w:pPr>
    </w:p>
  </w:footnote>
  <w:footnote w:id="5">
    <w:p w14:paraId="7DACF759" w14:textId="1B1C41BD" w:rsidR="004C6110" w:rsidRDefault="004C6110" w:rsidP="004C6110">
      <w:pPr>
        <w:pStyle w:val="FootnoteText"/>
        <w:rPr>
          <w:sz w:val="28"/>
          <w:szCs w:val="28"/>
        </w:rPr>
      </w:pPr>
      <w:r w:rsidRPr="009C41D6">
        <w:rPr>
          <w:rStyle w:val="FootnoteReference"/>
          <w:sz w:val="28"/>
          <w:szCs w:val="28"/>
        </w:rPr>
        <w:footnoteRef/>
      </w:r>
      <w:r w:rsidRPr="009C41D6">
        <w:rPr>
          <w:sz w:val="28"/>
          <w:szCs w:val="28"/>
        </w:rPr>
        <w:t xml:space="preserve"> 19</w:t>
      </w:r>
      <w:r>
        <w:rPr>
          <w:sz w:val="28"/>
          <w:szCs w:val="28"/>
        </w:rPr>
        <w:t>76</w:t>
      </w:r>
      <w:r w:rsidRPr="009C41D6">
        <w:rPr>
          <w:sz w:val="28"/>
          <w:szCs w:val="28"/>
        </w:rPr>
        <w:t xml:space="preserve"> Minn. Laws. Ch. </w:t>
      </w:r>
      <w:r>
        <w:rPr>
          <w:sz w:val="28"/>
          <w:szCs w:val="28"/>
        </w:rPr>
        <w:t>123, s. 1</w:t>
      </w:r>
      <w:r w:rsidR="00EB39C0">
        <w:rPr>
          <w:sz w:val="28"/>
          <w:szCs w:val="28"/>
        </w:rPr>
        <w:t xml:space="preserve">, </w:t>
      </w:r>
      <w:r w:rsidR="00295A69">
        <w:rPr>
          <w:sz w:val="28"/>
          <w:szCs w:val="28"/>
        </w:rPr>
        <w:t xml:space="preserve">available in </w:t>
      </w:r>
      <w:hyperlink r:id="rId5" w:history="1">
        <w:r w:rsidR="00295A69" w:rsidRPr="007218EA">
          <w:rPr>
            <w:rStyle w:val="Hyperlink"/>
            <w:sz w:val="28"/>
            <w:szCs w:val="28"/>
          </w:rPr>
          <w:t>Appendix 1</w:t>
        </w:r>
      </w:hyperlink>
      <w:r w:rsidR="00295A69" w:rsidRPr="003709CA">
        <w:rPr>
          <w:color w:val="FF0000"/>
          <w:sz w:val="28"/>
          <w:szCs w:val="28"/>
        </w:rPr>
        <w:t xml:space="preserve"> </w:t>
      </w:r>
      <w:r w:rsidR="00295A69" w:rsidRPr="00D11C4E">
        <w:rPr>
          <w:sz w:val="28"/>
          <w:szCs w:val="28"/>
        </w:rPr>
        <w:t>on pages 11-12.</w:t>
      </w:r>
    </w:p>
    <w:p w14:paraId="6F9A0B3D" w14:textId="77777777" w:rsidR="004C6110" w:rsidRPr="009C41D6" w:rsidRDefault="004C6110" w:rsidP="004C6110">
      <w:pPr>
        <w:pStyle w:val="FootnoteText"/>
        <w:rPr>
          <w:sz w:val="28"/>
          <w:szCs w:val="28"/>
        </w:rPr>
      </w:pPr>
    </w:p>
  </w:footnote>
  <w:footnote w:id="6">
    <w:p w14:paraId="5D080A71" w14:textId="77777777" w:rsidR="00F8064A" w:rsidRPr="001C3335" w:rsidRDefault="00F8064A" w:rsidP="00F8064A">
      <w:pPr>
        <w:pStyle w:val="FootnoteText"/>
        <w:rPr>
          <w:sz w:val="28"/>
          <w:szCs w:val="28"/>
        </w:rPr>
      </w:pPr>
      <w:r w:rsidRPr="001C3335">
        <w:rPr>
          <w:rStyle w:val="FootnoteReference"/>
          <w:sz w:val="28"/>
          <w:szCs w:val="28"/>
        </w:rPr>
        <w:footnoteRef/>
      </w:r>
      <w:r w:rsidRPr="001C3335">
        <w:rPr>
          <w:sz w:val="28"/>
          <w:szCs w:val="28"/>
        </w:rPr>
        <w:t xml:space="preserve"> </w:t>
      </w:r>
      <w:r>
        <w:rPr>
          <w:sz w:val="28"/>
          <w:szCs w:val="28"/>
        </w:rPr>
        <w:t>1981 Minn. Laws ch. 168, s. 4. In Revisor’s font</w:t>
      </w:r>
      <w:r w:rsidRPr="001C3335">
        <w:rPr>
          <w:sz w:val="28"/>
          <w:szCs w:val="28"/>
        </w:rPr>
        <w:t xml:space="preserve"> </w:t>
      </w:r>
      <w:r>
        <w:rPr>
          <w:sz w:val="28"/>
          <w:szCs w:val="28"/>
        </w:rPr>
        <w:t xml:space="preserve">here </w:t>
      </w:r>
      <w:r w:rsidRPr="001C3335">
        <w:rPr>
          <w:sz w:val="28"/>
          <w:szCs w:val="28"/>
        </w:rPr>
        <w:t xml:space="preserve">is </w:t>
      </w:r>
      <w:r>
        <w:rPr>
          <w:sz w:val="28"/>
          <w:szCs w:val="28"/>
        </w:rPr>
        <w:t>that</w:t>
      </w:r>
      <w:r w:rsidRPr="001C3335">
        <w:rPr>
          <w:sz w:val="28"/>
          <w:szCs w:val="28"/>
        </w:rPr>
        <w:t xml:space="preserve"> part of the law</w:t>
      </w:r>
      <w:r>
        <w:rPr>
          <w:sz w:val="28"/>
          <w:szCs w:val="28"/>
        </w:rPr>
        <w:t xml:space="preserve"> (the last part of 1981 Minn. Laws ch. 168, s. 4):</w:t>
      </w:r>
    </w:p>
    <w:p w14:paraId="1885663F" w14:textId="77777777" w:rsidR="00F8064A" w:rsidRDefault="00F8064A" w:rsidP="00F8064A">
      <w:pPr>
        <w:pStyle w:val="FootnoteText"/>
        <w:ind w:left="720"/>
        <w:rPr>
          <w:sz w:val="28"/>
          <w:szCs w:val="28"/>
        </w:rPr>
      </w:pPr>
      <w:r w:rsidRPr="00D07AF9">
        <w:rPr>
          <w:strike/>
          <w:sz w:val="28"/>
          <w:szCs w:val="28"/>
        </w:rPr>
        <w:t>In case</w:t>
      </w:r>
      <w:r w:rsidRPr="00D07AF9">
        <w:rPr>
          <w:sz w:val="28"/>
          <w:szCs w:val="28"/>
        </w:rPr>
        <w:t xml:space="preserve"> </w:t>
      </w:r>
      <w:r w:rsidRPr="00D07AF9">
        <w:rPr>
          <w:sz w:val="28"/>
          <w:szCs w:val="28"/>
          <w:u w:val="single"/>
        </w:rPr>
        <w:t>If</w:t>
      </w:r>
      <w:r w:rsidRPr="00D07AF9">
        <w:rPr>
          <w:sz w:val="28"/>
          <w:szCs w:val="28"/>
        </w:rPr>
        <w:t xml:space="preserve"> the defendant cannot be found in the county, of which the return of the sheriff or constable, shall be prima facie proof, and </w:t>
      </w:r>
      <w:r w:rsidRPr="00D07AF9">
        <w:rPr>
          <w:strike/>
          <w:sz w:val="28"/>
          <w:szCs w:val="28"/>
        </w:rPr>
        <w:t>further that there is</w:t>
      </w:r>
      <w:r w:rsidRPr="00D07AF9">
        <w:rPr>
          <w:sz w:val="28"/>
          <w:szCs w:val="28"/>
        </w:rPr>
        <w:t xml:space="preserve"> no person actually </w:t>
      </w:r>
      <w:r>
        <w:rPr>
          <w:strike/>
          <w:sz w:val="28"/>
          <w:szCs w:val="28"/>
        </w:rPr>
        <w:t xml:space="preserve">occupying </w:t>
      </w:r>
      <w:r w:rsidRPr="00D07AF9">
        <w:rPr>
          <w:sz w:val="28"/>
          <w:szCs w:val="28"/>
          <w:u w:val="single"/>
        </w:rPr>
        <w:t>occupies</w:t>
      </w:r>
      <w:r w:rsidRPr="00D07AF9">
        <w:rPr>
          <w:sz w:val="28"/>
          <w:szCs w:val="28"/>
        </w:rPr>
        <w:t xml:space="preserve"> the premises described in the complaint, </w:t>
      </w:r>
      <w:r w:rsidRPr="00D07AF9">
        <w:rPr>
          <w:strike/>
          <w:sz w:val="28"/>
          <w:szCs w:val="28"/>
        </w:rPr>
        <w:t>then</w:t>
      </w:r>
      <w:r w:rsidRPr="00D07AF9">
        <w:rPr>
          <w:sz w:val="28"/>
          <w:szCs w:val="28"/>
        </w:rPr>
        <w:t xml:space="preserve"> upon the filing of an affidavit </w:t>
      </w:r>
      <w:r>
        <w:rPr>
          <w:strike/>
          <w:sz w:val="28"/>
          <w:szCs w:val="28"/>
        </w:rPr>
        <w:t>by</w:t>
      </w:r>
      <w:r w:rsidRPr="00D07AF9">
        <w:rPr>
          <w:sz w:val="28"/>
          <w:szCs w:val="28"/>
        </w:rPr>
        <w:t xml:space="preserve"> </w:t>
      </w:r>
      <w:r w:rsidRPr="00D07AF9">
        <w:rPr>
          <w:sz w:val="28"/>
          <w:szCs w:val="28"/>
          <w:u w:val="single"/>
        </w:rPr>
        <w:t>of</w:t>
      </w:r>
      <w:r w:rsidRPr="00D07AF9">
        <w:rPr>
          <w:sz w:val="28"/>
          <w:szCs w:val="28"/>
        </w:rPr>
        <w:t xml:space="preserve"> the plaintiff; or his attorney</w:t>
      </w:r>
      <w:r>
        <w:rPr>
          <w:sz w:val="28"/>
          <w:szCs w:val="28"/>
        </w:rPr>
        <w:t xml:space="preserve"> </w:t>
      </w:r>
      <w:r w:rsidRPr="00202AD7">
        <w:rPr>
          <w:strike/>
          <w:sz w:val="28"/>
          <w:szCs w:val="28"/>
        </w:rPr>
        <w:t>in the court m which the action is brought</w:t>
      </w:r>
      <w:r w:rsidRPr="00D07AF9">
        <w:rPr>
          <w:sz w:val="28"/>
          <w:szCs w:val="28"/>
        </w:rPr>
        <w:t xml:space="preserve"> stating that </w:t>
      </w:r>
      <w:r w:rsidRPr="00202AD7">
        <w:rPr>
          <w:strike/>
          <w:sz w:val="28"/>
          <w:szCs w:val="28"/>
        </w:rPr>
        <w:t>he believes</w:t>
      </w:r>
      <w:r w:rsidRPr="00D07AF9">
        <w:rPr>
          <w:sz w:val="28"/>
          <w:szCs w:val="28"/>
        </w:rPr>
        <w:t xml:space="preserve"> </w:t>
      </w:r>
      <w:r w:rsidRPr="00202AD7">
        <w:rPr>
          <w:sz w:val="28"/>
          <w:szCs w:val="28"/>
          <w:u w:val="single"/>
        </w:rPr>
        <w:t>(1)</w:t>
      </w:r>
      <w:r w:rsidRPr="00D07AF9">
        <w:rPr>
          <w:sz w:val="28"/>
          <w:szCs w:val="28"/>
        </w:rPr>
        <w:t xml:space="preserve"> the defendant </w:t>
      </w:r>
      <w:r w:rsidRPr="00202AD7">
        <w:rPr>
          <w:strike/>
          <w:sz w:val="28"/>
          <w:szCs w:val="28"/>
        </w:rPr>
        <w:t>is not in this state</w:t>
      </w:r>
      <w:r w:rsidRPr="00D07AF9">
        <w:rPr>
          <w:sz w:val="28"/>
          <w:szCs w:val="28"/>
        </w:rPr>
        <w:t xml:space="preserve">, </w:t>
      </w:r>
      <w:r w:rsidRPr="00202AD7">
        <w:rPr>
          <w:strike/>
          <w:sz w:val="28"/>
          <w:szCs w:val="28"/>
        </w:rPr>
        <w:t>or</w:t>
      </w:r>
      <w:r w:rsidRPr="00D07AF9">
        <w:rPr>
          <w:sz w:val="28"/>
          <w:szCs w:val="28"/>
        </w:rPr>
        <w:t xml:space="preserve"> cannot be found </w:t>
      </w:r>
      <w:r w:rsidRPr="00202AD7">
        <w:rPr>
          <w:strike/>
          <w:sz w:val="28"/>
          <w:szCs w:val="28"/>
        </w:rPr>
        <w:t>therein</w:t>
      </w:r>
      <w:r w:rsidRPr="00D07AF9">
        <w:rPr>
          <w:sz w:val="28"/>
          <w:szCs w:val="28"/>
        </w:rPr>
        <w:t xml:space="preserve"> </w:t>
      </w:r>
      <w:r w:rsidRPr="00202AD7">
        <w:rPr>
          <w:sz w:val="28"/>
          <w:szCs w:val="28"/>
          <w:u w:val="single"/>
        </w:rPr>
        <w:t>or on belief that the defendant is not in this state</w:t>
      </w:r>
      <w:r w:rsidRPr="00D07AF9">
        <w:rPr>
          <w:sz w:val="28"/>
          <w:szCs w:val="28"/>
        </w:rPr>
        <w:t xml:space="preserve">, and </w:t>
      </w:r>
      <w:r w:rsidRPr="005F3CAE">
        <w:rPr>
          <w:strike/>
          <w:sz w:val="28"/>
          <w:szCs w:val="28"/>
        </w:rPr>
        <w:t>either that he has mailed</w:t>
      </w:r>
      <w:r w:rsidRPr="00D07AF9">
        <w:rPr>
          <w:sz w:val="28"/>
          <w:szCs w:val="28"/>
        </w:rPr>
        <w:t xml:space="preserve"> </w:t>
      </w:r>
      <w:r w:rsidRPr="005F3CAE">
        <w:rPr>
          <w:sz w:val="28"/>
          <w:szCs w:val="28"/>
          <w:u w:val="single"/>
        </w:rPr>
        <w:t>(2)</w:t>
      </w:r>
      <w:r w:rsidRPr="00D07AF9">
        <w:rPr>
          <w:sz w:val="28"/>
          <w:szCs w:val="28"/>
        </w:rPr>
        <w:t xml:space="preserve"> a copy of the summons </w:t>
      </w:r>
      <w:r w:rsidRPr="005F3CAE">
        <w:rPr>
          <w:sz w:val="28"/>
          <w:szCs w:val="28"/>
          <w:u w:val="single"/>
        </w:rPr>
        <w:t>has been mailed</w:t>
      </w:r>
      <w:r w:rsidRPr="00D07AF9">
        <w:rPr>
          <w:sz w:val="28"/>
          <w:szCs w:val="28"/>
        </w:rPr>
        <w:t xml:space="preserve"> to the defendant at his last known address, </w:t>
      </w:r>
      <w:r w:rsidRPr="001C3335">
        <w:rPr>
          <w:strike/>
          <w:sz w:val="28"/>
          <w:szCs w:val="28"/>
        </w:rPr>
        <w:t>or that such address is not</w:t>
      </w:r>
      <w:r w:rsidRPr="00D07AF9">
        <w:rPr>
          <w:sz w:val="28"/>
          <w:szCs w:val="28"/>
        </w:rPr>
        <w:t xml:space="preserve"> </w:t>
      </w:r>
      <w:r w:rsidRPr="001C3335">
        <w:rPr>
          <w:sz w:val="28"/>
          <w:szCs w:val="28"/>
          <w:u w:val="single"/>
        </w:rPr>
        <w:t>if any is</w:t>
      </w:r>
      <w:r w:rsidRPr="00D07AF9">
        <w:rPr>
          <w:sz w:val="28"/>
          <w:szCs w:val="28"/>
        </w:rPr>
        <w:t xml:space="preserve"> known to </w:t>
      </w:r>
      <w:r w:rsidRPr="001C3335">
        <w:rPr>
          <w:strike/>
          <w:sz w:val="28"/>
          <w:szCs w:val="28"/>
        </w:rPr>
        <w:t>him</w:t>
      </w:r>
      <w:r w:rsidRPr="00D07AF9">
        <w:rPr>
          <w:sz w:val="28"/>
          <w:szCs w:val="28"/>
        </w:rPr>
        <w:t xml:space="preserve"> </w:t>
      </w:r>
      <w:r w:rsidRPr="001C3335">
        <w:rPr>
          <w:sz w:val="28"/>
          <w:szCs w:val="28"/>
          <w:u w:val="single"/>
        </w:rPr>
        <w:t>the plaintiff</w:t>
      </w:r>
      <w:r w:rsidRPr="00D07AF9">
        <w:rPr>
          <w:sz w:val="28"/>
          <w:szCs w:val="28"/>
        </w:rPr>
        <w:t xml:space="preserve">, service of the summons may be made upon </w:t>
      </w:r>
      <w:r w:rsidRPr="001C3335">
        <w:rPr>
          <w:strike/>
          <w:sz w:val="28"/>
          <w:szCs w:val="28"/>
        </w:rPr>
        <w:t>such</w:t>
      </w:r>
      <w:r w:rsidRPr="00D07AF9">
        <w:rPr>
          <w:sz w:val="28"/>
          <w:szCs w:val="28"/>
        </w:rPr>
        <w:t xml:space="preserve"> </w:t>
      </w:r>
      <w:r w:rsidRPr="001C3335">
        <w:rPr>
          <w:sz w:val="28"/>
          <w:szCs w:val="28"/>
          <w:u w:val="single"/>
        </w:rPr>
        <w:t>the</w:t>
      </w:r>
      <w:r w:rsidRPr="00D07AF9">
        <w:rPr>
          <w:sz w:val="28"/>
          <w:szCs w:val="28"/>
        </w:rPr>
        <w:t xml:space="preserve"> defendant by posting the summons in a conspicuous place on the premises for not less than one week </w:t>
      </w:r>
      <w:r w:rsidRPr="001C3335">
        <w:rPr>
          <w:sz w:val="28"/>
          <w:szCs w:val="28"/>
          <w:u w:val="single"/>
        </w:rPr>
        <w:t>and</w:t>
      </w:r>
      <w:r w:rsidRPr="00D07AF9">
        <w:rPr>
          <w:sz w:val="28"/>
          <w:szCs w:val="28"/>
        </w:rPr>
        <w:t xml:space="preserve">. If </w:t>
      </w:r>
      <w:r w:rsidRPr="001C3335">
        <w:rPr>
          <w:strike/>
          <w:sz w:val="28"/>
          <w:szCs w:val="28"/>
        </w:rPr>
        <w:t>upon the return day</w:t>
      </w:r>
      <w:r w:rsidRPr="00D07AF9">
        <w:rPr>
          <w:sz w:val="28"/>
          <w:szCs w:val="28"/>
        </w:rPr>
        <w:t xml:space="preserve"> the defendant</w:t>
      </w:r>
      <w:r>
        <w:rPr>
          <w:sz w:val="28"/>
          <w:szCs w:val="28"/>
        </w:rPr>
        <w:t>,</w:t>
      </w:r>
      <w:r w:rsidRPr="00D07AF9">
        <w:rPr>
          <w:sz w:val="28"/>
          <w:szCs w:val="28"/>
        </w:rPr>
        <w:t xml:space="preserve"> or his attorney, does not appear in court </w:t>
      </w:r>
      <w:r w:rsidRPr="001C3335">
        <w:rPr>
          <w:strike/>
          <w:sz w:val="28"/>
          <w:szCs w:val="28"/>
        </w:rPr>
        <w:t>upon the return day</w:t>
      </w:r>
      <w:r w:rsidRPr="00D07AF9">
        <w:rPr>
          <w:sz w:val="28"/>
          <w:szCs w:val="28"/>
        </w:rPr>
        <w:t xml:space="preserve"> in the action </w:t>
      </w:r>
      <w:r w:rsidRPr="001C3335">
        <w:rPr>
          <w:strike/>
          <w:sz w:val="28"/>
          <w:szCs w:val="28"/>
        </w:rPr>
        <w:t>then,</w:t>
      </w:r>
      <w:r w:rsidRPr="00D07AF9">
        <w:rPr>
          <w:sz w:val="28"/>
          <w:szCs w:val="28"/>
        </w:rPr>
        <w:t xml:space="preserve"> the trial thereof shall proceed.</w:t>
      </w:r>
    </w:p>
    <w:p w14:paraId="50B04684" w14:textId="77777777" w:rsidR="00F8064A" w:rsidRPr="003709CA" w:rsidRDefault="00F8064A" w:rsidP="00F8064A">
      <w:pPr>
        <w:pStyle w:val="FootnoteText"/>
        <w:rPr>
          <w:color w:val="FF0000"/>
          <w:sz w:val="28"/>
          <w:szCs w:val="28"/>
        </w:rPr>
      </w:pPr>
      <w:r>
        <w:rPr>
          <w:sz w:val="28"/>
          <w:szCs w:val="28"/>
        </w:rPr>
        <w:t xml:space="preserve">Another part of the session law was substantial. It changed the timeline for serving by personal service or substitute service, making the notice period 7 days for all methods of service. </w:t>
      </w:r>
      <w:r w:rsidRPr="00295A69">
        <w:rPr>
          <w:sz w:val="28"/>
          <w:szCs w:val="28"/>
        </w:rPr>
        <w:t xml:space="preserve">The session law is </w:t>
      </w:r>
      <w:r>
        <w:rPr>
          <w:sz w:val="28"/>
          <w:szCs w:val="28"/>
        </w:rPr>
        <w:t xml:space="preserve">available in </w:t>
      </w:r>
      <w:hyperlink r:id="rId6" w:history="1">
        <w:r w:rsidRPr="007218EA">
          <w:rPr>
            <w:rStyle w:val="Hyperlink"/>
            <w:sz w:val="28"/>
            <w:szCs w:val="28"/>
          </w:rPr>
          <w:t>Appendix 1</w:t>
        </w:r>
      </w:hyperlink>
      <w:r w:rsidRPr="003709CA">
        <w:rPr>
          <w:color w:val="FF0000"/>
          <w:sz w:val="28"/>
          <w:szCs w:val="28"/>
        </w:rPr>
        <w:t xml:space="preserve"> </w:t>
      </w:r>
      <w:r w:rsidRPr="00D11C4E">
        <w:rPr>
          <w:sz w:val="28"/>
          <w:szCs w:val="28"/>
        </w:rPr>
        <w:t>on page 9-10.</w:t>
      </w:r>
    </w:p>
    <w:p w14:paraId="158E28AC" w14:textId="77777777" w:rsidR="00F8064A" w:rsidRPr="003709CA" w:rsidRDefault="00F8064A" w:rsidP="00F8064A">
      <w:pPr>
        <w:pStyle w:val="FootnoteText"/>
        <w:rPr>
          <w:color w:val="FF0000"/>
          <w:sz w:val="28"/>
          <w:szCs w:val="28"/>
        </w:rPr>
      </w:pPr>
    </w:p>
  </w:footnote>
  <w:footnote w:id="7">
    <w:p w14:paraId="4A8491E3" w14:textId="3D08BF41" w:rsidR="000F082D" w:rsidRPr="00117AC1" w:rsidRDefault="000F082D" w:rsidP="000F082D">
      <w:pPr>
        <w:pStyle w:val="FootnoteText"/>
        <w:rPr>
          <w:sz w:val="28"/>
          <w:szCs w:val="28"/>
        </w:rPr>
      </w:pPr>
      <w:r w:rsidRPr="009C41D6">
        <w:rPr>
          <w:rStyle w:val="FootnoteReference"/>
          <w:sz w:val="28"/>
          <w:szCs w:val="28"/>
        </w:rPr>
        <w:footnoteRef/>
      </w:r>
      <w:r w:rsidRPr="009C41D6">
        <w:rPr>
          <w:sz w:val="28"/>
          <w:szCs w:val="28"/>
        </w:rPr>
        <w:t xml:space="preserve"> 1985 Minn. Laws. Ch. 214</w:t>
      </w:r>
      <w:r w:rsidR="0083517B">
        <w:rPr>
          <w:sz w:val="28"/>
          <w:szCs w:val="28"/>
        </w:rPr>
        <w:t>, s. 1</w:t>
      </w:r>
      <w:r w:rsidR="00EB39C0">
        <w:rPr>
          <w:sz w:val="28"/>
          <w:szCs w:val="28"/>
        </w:rPr>
        <w:t xml:space="preserve">, </w:t>
      </w:r>
      <w:r w:rsidR="00295A69">
        <w:rPr>
          <w:sz w:val="28"/>
          <w:szCs w:val="28"/>
        </w:rPr>
        <w:t xml:space="preserve">available in </w:t>
      </w:r>
      <w:hyperlink r:id="rId7" w:history="1">
        <w:r w:rsidR="00295A69" w:rsidRPr="007218EA">
          <w:rPr>
            <w:rStyle w:val="Hyperlink"/>
            <w:sz w:val="28"/>
            <w:szCs w:val="28"/>
          </w:rPr>
          <w:t>Appendix 1</w:t>
        </w:r>
      </w:hyperlink>
      <w:r w:rsidR="00295A69" w:rsidRPr="003709CA">
        <w:rPr>
          <w:color w:val="FF0000"/>
          <w:sz w:val="28"/>
          <w:szCs w:val="28"/>
        </w:rPr>
        <w:t xml:space="preserve"> </w:t>
      </w:r>
      <w:r w:rsidR="00295A69" w:rsidRPr="00117AC1">
        <w:rPr>
          <w:sz w:val="28"/>
          <w:szCs w:val="28"/>
        </w:rPr>
        <w:t>on page 7-8.</w:t>
      </w:r>
    </w:p>
    <w:p w14:paraId="5D95985C" w14:textId="77777777" w:rsidR="0083517B" w:rsidRPr="00117AC1" w:rsidRDefault="0083517B" w:rsidP="000F082D">
      <w:pPr>
        <w:pStyle w:val="FootnoteText"/>
        <w:rPr>
          <w:sz w:val="28"/>
          <w:szCs w:val="28"/>
        </w:rPr>
      </w:pPr>
    </w:p>
  </w:footnote>
  <w:footnote w:id="8">
    <w:p w14:paraId="772CB4CB" w14:textId="3A453741" w:rsidR="0002716B" w:rsidRDefault="0002716B">
      <w:pPr>
        <w:pStyle w:val="FootnoteText"/>
      </w:pPr>
      <w:r>
        <w:rPr>
          <w:rStyle w:val="FootnoteReference"/>
        </w:rPr>
        <w:footnoteRef/>
      </w:r>
      <w:r>
        <w:t xml:space="preserve"> </w:t>
      </w:r>
      <w:r w:rsidRPr="006B0952">
        <w:rPr>
          <w:i/>
          <w:iCs/>
          <w:sz w:val="28"/>
          <w:szCs w:val="28"/>
        </w:rPr>
        <w:t>See</w:t>
      </w:r>
      <w:r w:rsidRPr="006B0952">
        <w:rPr>
          <w:i/>
          <w:iCs/>
          <w:sz w:val="28"/>
          <w:szCs w:val="28"/>
          <w:u w:val="single"/>
        </w:rPr>
        <w:t xml:space="preserve"> </w:t>
      </w:r>
      <w:hyperlink r:id="rId8" w:history="1">
        <w:r w:rsidRPr="00504F05">
          <w:rPr>
            <w:rStyle w:val="Hyperlink"/>
            <w:i/>
            <w:iCs/>
            <w:sz w:val="28"/>
            <w:szCs w:val="28"/>
          </w:rPr>
          <w:t xml:space="preserve">Easton v. </w:t>
        </w:r>
        <w:r w:rsidRPr="00504F05">
          <w:rPr>
            <w:rStyle w:val="Hyperlink"/>
            <w:i/>
            <w:iCs/>
            <w:sz w:val="28"/>
            <w:szCs w:val="28"/>
          </w:rPr>
          <w:t>Childs</w:t>
        </w:r>
        <w:r w:rsidRPr="00504F05">
          <w:rPr>
            <w:rStyle w:val="Hyperlink"/>
            <w:sz w:val="28"/>
            <w:szCs w:val="28"/>
          </w:rPr>
          <w:t>, 67 Minn. 242 (1897)</w:t>
        </w:r>
      </w:hyperlink>
      <w:r w:rsidRPr="00A36944">
        <w:rPr>
          <w:sz w:val="28"/>
          <w:szCs w:val="28"/>
        </w:rPr>
        <w:t xml:space="preserve"> for a good history of service by publication.</w:t>
      </w:r>
    </w:p>
  </w:footnote>
  <w:footnote w:id="9">
    <w:p w14:paraId="6097C744" w14:textId="59CD2DC7" w:rsidR="00193F1E" w:rsidRPr="003709CA" w:rsidRDefault="00774065" w:rsidP="00193F1E">
      <w:pPr>
        <w:pStyle w:val="ListParagraph"/>
        <w:shd w:val="clear" w:color="auto" w:fill="FFFFFF"/>
        <w:ind w:left="0"/>
        <w:rPr>
          <w:color w:val="FF0000"/>
          <w:sz w:val="28"/>
          <w:szCs w:val="28"/>
        </w:rPr>
      </w:pPr>
      <w:r w:rsidRPr="005B3EDA">
        <w:rPr>
          <w:rStyle w:val="FootnoteReference"/>
          <w:sz w:val="28"/>
          <w:szCs w:val="28"/>
        </w:rPr>
        <w:footnoteRef/>
      </w:r>
      <w:r w:rsidRPr="005B3EDA">
        <w:rPr>
          <w:sz w:val="28"/>
          <w:szCs w:val="28"/>
        </w:rPr>
        <w:t xml:space="preserve"> </w:t>
      </w:r>
      <w:r w:rsidR="00193F1E" w:rsidRPr="00193F1E">
        <w:rPr>
          <w:sz w:val="28"/>
          <w:szCs w:val="28"/>
        </w:rPr>
        <w:t xml:space="preserve">A detailed legislative history of 1909 Minn. Laws ch. 496 is set out </w:t>
      </w:r>
      <w:r w:rsidR="000C2C94">
        <w:rPr>
          <w:sz w:val="28"/>
          <w:szCs w:val="28"/>
        </w:rPr>
        <w:t xml:space="preserve">in </w:t>
      </w:r>
      <w:hyperlink r:id="rId9" w:history="1">
        <w:r w:rsidR="000C2C94" w:rsidRPr="000C2C94">
          <w:rPr>
            <w:rStyle w:val="Hyperlink"/>
            <w:sz w:val="28"/>
            <w:szCs w:val="28"/>
          </w:rPr>
          <w:t>Appendix 2</w:t>
        </w:r>
      </w:hyperlink>
      <w:r w:rsidR="000C2C94">
        <w:rPr>
          <w:color w:val="FF0000"/>
          <w:sz w:val="28"/>
          <w:szCs w:val="28"/>
        </w:rPr>
        <w:t>.</w:t>
      </w:r>
    </w:p>
    <w:p w14:paraId="03F5CEF6" w14:textId="77777777" w:rsidR="00193F1E" w:rsidRPr="00193F1E" w:rsidRDefault="00193F1E" w:rsidP="00193F1E">
      <w:pPr>
        <w:pStyle w:val="ListParagraph"/>
        <w:shd w:val="clear" w:color="auto" w:fill="FFFFFF"/>
        <w:ind w:left="0"/>
        <w:rPr>
          <w:sz w:val="28"/>
          <w:szCs w:val="28"/>
        </w:rPr>
      </w:pPr>
    </w:p>
    <w:p w14:paraId="5DF7E1EC" w14:textId="5FCD6C4B" w:rsidR="00774065" w:rsidRPr="005B3EDA" w:rsidRDefault="00784079" w:rsidP="00774065">
      <w:pPr>
        <w:pStyle w:val="FootnoteText"/>
        <w:rPr>
          <w:color w:val="FF0000"/>
          <w:sz w:val="28"/>
          <w:szCs w:val="28"/>
          <w:shd w:val="clear" w:color="auto" w:fill="FFFFFF"/>
        </w:rPr>
      </w:pPr>
      <w:r>
        <w:rPr>
          <w:sz w:val="28"/>
          <w:szCs w:val="28"/>
        </w:rPr>
        <w:t>A</w:t>
      </w:r>
      <w:r w:rsidR="00774065" w:rsidRPr="005B3EDA">
        <w:rPr>
          <w:sz w:val="28"/>
          <w:szCs w:val="28"/>
        </w:rPr>
        <w:t xml:space="preserve"> “</w:t>
      </w:r>
      <w:r w:rsidR="00774065" w:rsidRPr="005B3EDA">
        <w:rPr>
          <w:color w:val="222222"/>
          <w:sz w:val="28"/>
          <w:szCs w:val="28"/>
          <w:shd w:val="clear" w:color="auto" w:fill="FFFFFF"/>
        </w:rPr>
        <w:t>court is not permitted to consider the caption as part of the statute — Minn.</w:t>
      </w:r>
      <w:r w:rsidR="00774065">
        <w:rPr>
          <w:color w:val="222222"/>
          <w:sz w:val="28"/>
          <w:szCs w:val="28"/>
          <w:shd w:val="clear" w:color="auto" w:fill="FFFFFF"/>
        </w:rPr>
        <w:t xml:space="preserve"> </w:t>
      </w:r>
      <w:r w:rsidR="00774065" w:rsidRPr="005B3EDA">
        <w:rPr>
          <w:color w:val="222222"/>
          <w:sz w:val="28"/>
          <w:szCs w:val="28"/>
          <w:shd w:val="clear" w:color="auto" w:fill="FFFFFF"/>
        </w:rPr>
        <w:t>Stat. § 648.36 (1982) — [but] the headings are relevant to legislative intent where they were present in the bill during the legislative process.</w:t>
      </w:r>
      <w:r w:rsidR="00774065">
        <w:rPr>
          <w:color w:val="222222"/>
          <w:sz w:val="28"/>
          <w:szCs w:val="28"/>
          <w:shd w:val="clear" w:color="auto" w:fill="FFFFFF"/>
        </w:rPr>
        <w:t xml:space="preserve">” </w:t>
      </w:r>
      <w:hyperlink r:id="rId10" w:history="1">
        <w:r w:rsidR="00774065" w:rsidRPr="005B3EDA">
          <w:rPr>
            <w:rStyle w:val="Hyperlink"/>
            <w:i/>
            <w:iCs/>
            <w:color w:val="1A0DAB"/>
            <w:sz w:val="28"/>
            <w:szCs w:val="28"/>
            <w:shd w:val="clear" w:color="auto" w:fill="FFFFFF"/>
          </w:rPr>
          <w:t>Minnesota Exp. Inc. v. Travelers Ins. Co.,</w:t>
        </w:r>
        <w:r w:rsidR="00774065" w:rsidRPr="005B3EDA">
          <w:rPr>
            <w:rStyle w:val="Hyperlink"/>
            <w:color w:val="1A0DAB"/>
            <w:sz w:val="28"/>
            <w:szCs w:val="28"/>
            <w:shd w:val="clear" w:color="auto" w:fill="FFFFFF"/>
          </w:rPr>
          <w:t> 333 N.W.2d 871, 873 (Minn.1983)</w:t>
        </w:r>
      </w:hyperlink>
      <w:r w:rsidR="00774065" w:rsidRPr="005B3EDA">
        <w:rPr>
          <w:color w:val="222222"/>
          <w:sz w:val="28"/>
          <w:szCs w:val="28"/>
          <w:shd w:val="clear" w:color="auto" w:fill="FFFFFF"/>
        </w:rPr>
        <w:t>.</w:t>
      </w:r>
      <w:r w:rsidR="00774065">
        <w:rPr>
          <w:color w:val="222222"/>
          <w:sz w:val="28"/>
          <w:szCs w:val="28"/>
          <w:shd w:val="clear" w:color="auto" w:fill="FFFFFF"/>
        </w:rPr>
        <w:t xml:space="preserve"> </w:t>
      </w:r>
      <w:r w:rsidR="001C0D7C">
        <w:rPr>
          <w:color w:val="222222"/>
          <w:sz w:val="28"/>
          <w:szCs w:val="28"/>
          <w:shd w:val="clear" w:color="auto" w:fill="FFFFFF"/>
        </w:rPr>
        <w:t xml:space="preserve">As indicated in </w:t>
      </w:r>
      <w:hyperlink r:id="rId11" w:history="1">
        <w:r w:rsidR="00762CC0" w:rsidRPr="000C2C94">
          <w:rPr>
            <w:rStyle w:val="Hyperlink"/>
            <w:sz w:val="28"/>
            <w:szCs w:val="28"/>
          </w:rPr>
          <w:t>Appendix 2</w:t>
        </w:r>
      </w:hyperlink>
      <w:r w:rsidR="001C0D7C">
        <w:rPr>
          <w:color w:val="222222"/>
          <w:sz w:val="28"/>
          <w:szCs w:val="28"/>
          <w:shd w:val="clear" w:color="auto" w:fill="FFFFFF"/>
        </w:rPr>
        <w:t xml:space="preserve">, there appear to be no extant copies of the original bill. The engrossed copy, </w:t>
      </w:r>
      <w:r w:rsidR="001C0D7C" w:rsidRPr="00762CC0">
        <w:rPr>
          <w:sz w:val="28"/>
          <w:szCs w:val="28"/>
          <w:shd w:val="clear" w:color="auto" w:fill="FFFFFF"/>
        </w:rPr>
        <w:t xml:space="preserve">Endnote </w:t>
      </w:r>
      <w:r w:rsidR="0079508C" w:rsidRPr="00762CC0">
        <w:rPr>
          <w:sz w:val="28"/>
          <w:szCs w:val="28"/>
          <w:shd w:val="clear" w:color="auto" w:fill="FFFFFF"/>
        </w:rPr>
        <w:t>5</w:t>
      </w:r>
      <w:r w:rsidR="001C0D7C" w:rsidRPr="00762CC0">
        <w:rPr>
          <w:sz w:val="28"/>
          <w:szCs w:val="28"/>
          <w:shd w:val="clear" w:color="auto" w:fill="FFFFFF"/>
        </w:rPr>
        <w:t xml:space="preserve"> </w:t>
      </w:r>
      <w:r w:rsidR="001C0D7C">
        <w:rPr>
          <w:color w:val="222222"/>
          <w:sz w:val="28"/>
          <w:szCs w:val="28"/>
          <w:shd w:val="clear" w:color="auto" w:fill="FFFFFF"/>
        </w:rPr>
        <w:t xml:space="preserve">in this appendix, doesn’t have the heading </w:t>
      </w:r>
      <w:r w:rsidR="001C0D7C">
        <w:rPr>
          <w:sz w:val="28"/>
          <w:szCs w:val="28"/>
        </w:rPr>
        <w:t>“Service of summons by publication”. Therefore</w:t>
      </w:r>
      <w:r w:rsidR="00193F1E">
        <w:rPr>
          <w:sz w:val="28"/>
          <w:szCs w:val="28"/>
        </w:rPr>
        <w:t xml:space="preserve">, </w:t>
      </w:r>
      <w:r w:rsidR="001C0D7C">
        <w:rPr>
          <w:sz w:val="28"/>
          <w:szCs w:val="28"/>
        </w:rPr>
        <w:t xml:space="preserve">I guess this </w:t>
      </w:r>
      <w:r w:rsidR="00193F1E">
        <w:rPr>
          <w:sz w:val="28"/>
          <w:szCs w:val="28"/>
        </w:rPr>
        <w:t xml:space="preserve">heading </w:t>
      </w:r>
      <w:r w:rsidR="001C0D7C">
        <w:rPr>
          <w:sz w:val="28"/>
          <w:szCs w:val="28"/>
        </w:rPr>
        <w:t>was added by the Revisor. Nevertheless, the thrust of the bill, as obviously evident to the Revisor (</w:t>
      </w:r>
      <w:r w:rsidR="00193F1E">
        <w:rPr>
          <w:sz w:val="28"/>
          <w:szCs w:val="28"/>
        </w:rPr>
        <w:t xml:space="preserve">and the bill’s </w:t>
      </w:r>
      <w:r w:rsidR="001C0D7C">
        <w:rPr>
          <w:sz w:val="28"/>
          <w:szCs w:val="28"/>
        </w:rPr>
        <w:t>author</w:t>
      </w:r>
      <w:r w:rsidR="00193F1E">
        <w:rPr>
          <w:sz w:val="28"/>
          <w:szCs w:val="28"/>
        </w:rPr>
        <w:t>,</w:t>
      </w:r>
      <w:r w:rsidR="001C0D7C">
        <w:rPr>
          <w:sz w:val="28"/>
          <w:szCs w:val="28"/>
        </w:rPr>
        <w:t xml:space="preserve"> Rep. Sawye</w:t>
      </w:r>
      <w:r w:rsidR="00193F1E">
        <w:rPr>
          <w:sz w:val="28"/>
          <w:szCs w:val="28"/>
        </w:rPr>
        <w:t>r</w:t>
      </w:r>
      <w:r w:rsidR="001C0D7C">
        <w:rPr>
          <w:sz w:val="28"/>
          <w:szCs w:val="28"/>
        </w:rPr>
        <w:t xml:space="preserve">) was that </w:t>
      </w:r>
      <w:r w:rsidR="00193F1E">
        <w:rPr>
          <w:sz w:val="28"/>
          <w:szCs w:val="28"/>
        </w:rPr>
        <w:t>the bill</w:t>
      </w:r>
      <w:r w:rsidR="001C0D7C">
        <w:rPr>
          <w:sz w:val="28"/>
          <w:szCs w:val="28"/>
        </w:rPr>
        <w:t xml:space="preserve"> was about service by publication.</w:t>
      </w:r>
    </w:p>
    <w:p w14:paraId="09A30E81" w14:textId="77777777" w:rsidR="00774065" w:rsidRDefault="00774065" w:rsidP="00774065">
      <w:pPr>
        <w:pStyle w:val="FootnoteText"/>
      </w:pPr>
      <w:r>
        <w:rPr>
          <w:rFonts w:ascii="Arial" w:hAnsi="Arial" w:cs="Arial"/>
          <w:color w:val="222222"/>
          <w:sz w:val="17"/>
          <w:szCs w:val="17"/>
          <w:shd w:val="clear" w:color="auto" w:fill="FFFFFF"/>
        </w:rPr>
        <w:t> </w:t>
      </w:r>
    </w:p>
  </w:footnote>
  <w:footnote w:id="10">
    <w:p w14:paraId="6465BDC0" w14:textId="77777777" w:rsidR="002F3BE9" w:rsidRPr="006F2500" w:rsidRDefault="002F3BE9" w:rsidP="002F3BE9">
      <w:pPr>
        <w:pStyle w:val="FootnoteText"/>
        <w:rPr>
          <w:sz w:val="28"/>
          <w:szCs w:val="28"/>
        </w:rPr>
      </w:pPr>
      <w:r w:rsidRPr="006F2500">
        <w:rPr>
          <w:rStyle w:val="FootnoteReference"/>
          <w:sz w:val="28"/>
          <w:szCs w:val="28"/>
        </w:rPr>
        <w:footnoteRef/>
      </w:r>
      <w:r w:rsidRPr="006F2500">
        <w:rPr>
          <w:sz w:val="28"/>
          <w:szCs w:val="28"/>
        </w:rPr>
        <w:t xml:space="preserve"> The entire set of citations in question is available at </w:t>
      </w:r>
      <w:hyperlink r:id="rId12" w:anchor="search=%22has%20departed%20therefrom%20with%20intent%20to%20defraud%20his%20creditors%22" w:history="1">
        <w:r w:rsidRPr="00517611">
          <w:rPr>
            <w:rStyle w:val="Hyperlink"/>
            <w:color w:val="0070C0"/>
            <w:sz w:val="28"/>
            <w:szCs w:val="28"/>
          </w:rPr>
          <w:t>https://www.revisor.mn.gov/statutes/1905/cite/77/pdf#search=%22has%20departed%20therefrom%20with%20intent%20to%20defraud%20his%20creditors%22</w:t>
        </w:r>
      </w:hyperlink>
      <w:r w:rsidRPr="006F2500">
        <w:rPr>
          <w:sz w:val="28"/>
          <w:szCs w:val="28"/>
        </w:rPr>
        <w:t xml:space="preserve"> on PDF pages 20-21. This webpage is the entire Chapter 77 of the </w:t>
      </w:r>
      <w:r w:rsidRPr="006F2500">
        <w:rPr>
          <w:smallCaps/>
          <w:sz w:val="28"/>
          <w:szCs w:val="28"/>
        </w:rPr>
        <w:t>Revised Laws of Minnesota, 1905</w:t>
      </w:r>
      <w:r w:rsidRPr="006F2500">
        <w:rPr>
          <w:sz w:val="28"/>
          <w:szCs w:val="28"/>
        </w:rPr>
        <w:t>.</w:t>
      </w:r>
    </w:p>
    <w:p w14:paraId="2E2D4D16" w14:textId="77777777" w:rsidR="002F3BE9" w:rsidRPr="00A427EB" w:rsidRDefault="002F3BE9" w:rsidP="002F3BE9">
      <w:pPr>
        <w:pStyle w:val="FootnoteText"/>
        <w:rPr>
          <w:sz w:val="28"/>
          <w:szCs w:val="28"/>
        </w:rPr>
      </w:pPr>
    </w:p>
  </w:footnote>
  <w:footnote w:id="11">
    <w:p w14:paraId="440AD3DE" w14:textId="76D50807" w:rsidR="00CC0C4F" w:rsidRDefault="00CC0C4F">
      <w:pPr>
        <w:pStyle w:val="FootnoteText"/>
        <w:rPr>
          <w:sz w:val="28"/>
          <w:szCs w:val="28"/>
        </w:rPr>
      </w:pPr>
      <w:r w:rsidRPr="00CC0C4F">
        <w:rPr>
          <w:rStyle w:val="FootnoteReference"/>
          <w:sz w:val="28"/>
          <w:szCs w:val="28"/>
        </w:rPr>
        <w:footnoteRef/>
      </w:r>
      <w:r w:rsidRPr="00CC0C4F">
        <w:rPr>
          <w:sz w:val="28"/>
          <w:szCs w:val="28"/>
        </w:rPr>
        <w:t xml:space="preserve"> The </w:t>
      </w:r>
      <w:hyperlink r:id="rId13" w:history="1">
        <w:r w:rsidRPr="006B0952">
          <w:rPr>
            <w:rStyle w:val="Hyperlink"/>
            <w:i/>
            <w:iCs/>
            <w:sz w:val="28"/>
            <w:szCs w:val="28"/>
          </w:rPr>
          <w:t>East</w:t>
        </w:r>
        <w:r w:rsidRPr="006B0952">
          <w:rPr>
            <w:rStyle w:val="Hyperlink"/>
            <w:i/>
            <w:iCs/>
            <w:sz w:val="28"/>
            <w:szCs w:val="28"/>
          </w:rPr>
          <w:t>o</w:t>
        </w:r>
        <w:r w:rsidRPr="006B0952">
          <w:rPr>
            <w:rStyle w:val="Hyperlink"/>
            <w:i/>
            <w:iCs/>
            <w:sz w:val="28"/>
            <w:szCs w:val="28"/>
          </w:rPr>
          <w:t>n v. Childs</w:t>
        </w:r>
      </w:hyperlink>
      <w:r w:rsidRPr="00CC0C4F">
        <w:rPr>
          <w:sz w:val="28"/>
          <w:szCs w:val="28"/>
        </w:rPr>
        <w:t xml:space="preserve"> c</w:t>
      </w:r>
      <w:r>
        <w:rPr>
          <w:sz w:val="28"/>
          <w:szCs w:val="28"/>
        </w:rPr>
        <w:t>a</w:t>
      </w:r>
      <w:r w:rsidRPr="00CC0C4F">
        <w:rPr>
          <w:sz w:val="28"/>
          <w:szCs w:val="28"/>
        </w:rPr>
        <w:t xml:space="preserve">se cited above held that while the filing of the affidavit of not found </w:t>
      </w:r>
      <w:r w:rsidR="00D8597A">
        <w:rPr>
          <w:sz w:val="28"/>
          <w:szCs w:val="28"/>
        </w:rPr>
        <w:t>&amp;</w:t>
      </w:r>
      <w:r w:rsidRPr="00CC0C4F">
        <w:rPr>
          <w:sz w:val="28"/>
          <w:szCs w:val="28"/>
        </w:rPr>
        <w:t xml:space="preserve"> mailing </w:t>
      </w:r>
      <w:r w:rsidR="006B0952">
        <w:rPr>
          <w:sz w:val="28"/>
          <w:szCs w:val="28"/>
        </w:rPr>
        <w:t>wa</w:t>
      </w:r>
      <w:r w:rsidRPr="00CC0C4F">
        <w:rPr>
          <w:sz w:val="28"/>
          <w:szCs w:val="28"/>
        </w:rPr>
        <w:t>s jurisdictional</w:t>
      </w:r>
      <w:r w:rsidR="006B0952">
        <w:rPr>
          <w:sz w:val="28"/>
          <w:szCs w:val="28"/>
        </w:rPr>
        <w:t xml:space="preserve">, </w:t>
      </w:r>
      <w:r w:rsidRPr="00CC0C4F">
        <w:rPr>
          <w:sz w:val="28"/>
          <w:szCs w:val="28"/>
        </w:rPr>
        <w:t xml:space="preserve">the sheriff’s return of service </w:t>
      </w:r>
      <w:r w:rsidR="006B0952">
        <w:rPr>
          <w:sz w:val="28"/>
          <w:szCs w:val="28"/>
        </w:rPr>
        <w:t>wa</w:t>
      </w:r>
      <w:r w:rsidRPr="00CC0C4F">
        <w:rPr>
          <w:sz w:val="28"/>
          <w:szCs w:val="28"/>
        </w:rPr>
        <w:t>s not.</w:t>
      </w:r>
    </w:p>
    <w:p w14:paraId="050241C6" w14:textId="77777777" w:rsidR="00240EB3" w:rsidRPr="00CC0C4F" w:rsidRDefault="00240EB3">
      <w:pPr>
        <w:pStyle w:val="FootnoteText"/>
        <w:rPr>
          <w:sz w:val="28"/>
          <w:szCs w:val="28"/>
        </w:rPr>
      </w:pPr>
    </w:p>
  </w:footnote>
  <w:footnote w:id="12">
    <w:p w14:paraId="7810EED4" w14:textId="7C4BD5F9" w:rsidR="00A427EB" w:rsidRDefault="00A427EB" w:rsidP="00FC310A">
      <w:pPr>
        <w:pStyle w:val="Heading1"/>
        <w:shd w:val="clear" w:color="auto" w:fill="FFFFFF"/>
        <w:spacing w:before="0" w:line="336" w:lineRule="atLeast"/>
        <w:rPr>
          <w:rFonts w:ascii="Times New Roman" w:hAnsi="Times New Roman" w:cs="Times New Roman"/>
          <w:color w:val="auto"/>
          <w:spacing w:val="3"/>
          <w:sz w:val="28"/>
          <w:szCs w:val="28"/>
        </w:rPr>
      </w:pPr>
      <w:r w:rsidRPr="00FC310A">
        <w:rPr>
          <w:rStyle w:val="FootnoteReference"/>
          <w:rFonts w:ascii="Times New Roman" w:hAnsi="Times New Roman" w:cs="Times New Roman"/>
          <w:sz w:val="28"/>
          <w:szCs w:val="28"/>
        </w:rPr>
        <w:footnoteRef/>
      </w:r>
      <w:r w:rsidRPr="00FC310A">
        <w:rPr>
          <w:rFonts w:ascii="Times New Roman" w:hAnsi="Times New Roman" w:cs="Times New Roman"/>
          <w:sz w:val="28"/>
          <w:szCs w:val="28"/>
        </w:rPr>
        <w:t xml:space="preserve"> </w:t>
      </w:r>
      <w:hyperlink r:id="rId14" w:history="1">
        <w:r w:rsidRPr="00FC310A">
          <w:rPr>
            <w:rStyle w:val="Hyperlink"/>
            <w:rFonts w:ascii="Times New Roman" w:hAnsi="Times New Roman" w:cs="Times New Roman"/>
            <w:sz w:val="28"/>
            <w:szCs w:val="28"/>
          </w:rPr>
          <w:t>Minn. Stat. §645.17(4)</w:t>
        </w:r>
      </w:hyperlink>
      <w:r w:rsidRPr="00FC310A">
        <w:rPr>
          <w:rFonts w:ascii="Times New Roman" w:hAnsi="Times New Roman" w:cs="Times New Roman"/>
          <w:sz w:val="28"/>
          <w:szCs w:val="28"/>
        </w:rPr>
        <w:t xml:space="preserve"> (“</w:t>
      </w:r>
      <w:r w:rsidRPr="00FC310A">
        <w:rPr>
          <w:rFonts w:ascii="Times New Roman" w:hAnsi="Times New Roman" w:cs="Times New Roman"/>
          <w:color w:val="000000"/>
          <w:sz w:val="28"/>
          <w:szCs w:val="28"/>
          <w:shd w:val="clear" w:color="auto" w:fill="FFFFFF"/>
        </w:rPr>
        <w:t>when a court of last resort has construed the language of a law, the legislature in subsequent laws on the same subject matter intends the same construction to be placed upon such language</w:t>
      </w:r>
      <w:r w:rsidRPr="00FC310A">
        <w:rPr>
          <w:rFonts w:ascii="Times New Roman" w:hAnsi="Times New Roman" w:cs="Times New Roman"/>
          <w:sz w:val="28"/>
          <w:szCs w:val="28"/>
        </w:rPr>
        <w:t>”)</w:t>
      </w:r>
      <w:r w:rsidR="00FC310A" w:rsidRPr="00FC310A">
        <w:rPr>
          <w:rFonts w:ascii="Times New Roman" w:hAnsi="Times New Roman" w:cs="Times New Roman"/>
          <w:sz w:val="28"/>
          <w:szCs w:val="28"/>
        </w:rPr>
        <w:t xml:space="preserve">; </w:t>
      </w:r>
      <w:r w:rsidR="00FC310A" w:rsidRPr="00FC310A">
        <w:rPr>
          <w:rFonts w:ascii="Times New Roman" w:hAnsi="Times New Roman" w:cs="Times New Roman"/>
          <w:color w:val="auto"/>
          <w:sz w:val="28"/>
          <w:szCs w:val="28"/>
        </w:rPr>
        <w:t xml:space="preserve">statutes </w:t>
      </w:r>
      <w:r w:rsidR="00FC310A" w:rsidRPr="008C454E">
        <w:rPr>
          <w:rFonts w:ascii="Times New Roman" w:hAnsi="Times New Roman" w:cs="Times New Roman"/>
          <w:color w:val="auto"/>
          <w:sz w:val="28"/>
          <w:szCs w:val="28"/>
        </w:rPr>
        <w:t>in</w:t>
      </w:r>
      <w:r w:rsidR="00FC310A" w:rsidRPr="00FC310A">
        <w:rPr>
          <w:rFonts w:ascii="Times New Roman" w:hAnsi="Times New Roman" w:cs="Times New Roman"/>
          <w:color w:val="auto"/>
          <w:sz w:val="28"/>
          <w:szCs w:val="28"/>
        </w:rPr>
        <w:t xml:space="preserve"> </w:t>
      </w:r>
      <w:r w:rsidR="00FC310A" w:rsidRPr="00DC47F7">
        <w:rPr>
          <w:rFonts w:ascii="Times New Roman" w:hAnsi="Times New Roman" w:cs="Times New Roman"/>
          <w:i/>
          <w:iCs/>
          <w:color w:val="auto"/>
          <w:sz w:val="28"/>
          <w:szCs w:val="28"/>
        </w:rPr>
        <w:t>pari</w:t>
      </w:r>
      <w:r w:rsidR="00FC310A" w:rsidRPr="00FC310A">
        <w:rPr>
          <w:rFonts w:ascii="Times New Roman" w:hAnsi="Times New Roman" w:cs="Times New Roman"/>
          <w:color w:val="auto"/>
          <w:sz w:val="28"/>
          <w:szCs w:val="28"/>
        </w:rPr>
        <w:t xml:space="preserve"> </w:t>
      </w:r>
      <w:r w:rsidR="00FC310A" w:rsidRPr="00DC47F7">
        <w:rPr>
          <w:rFonts w:ascii="Times New Roman" w:hAnsi="Times New Roman" w:cs="Times New Roman"/>
          <w:i/>
          <w:iCs/>
          <w:color w:val="auto"/>
          <w:sz w:val="28"/>
          <w:szCs w:val="28"/>
        </w:rPr>
        <w:t>materia</w:t>
      </w:r>
      <w:r w:rsidR="00FC310A" w:rsidRPr="00FC310A">
        <w:rPr>
          <w:rFonts w:ascii="Times New Roman" w:hAnsi="Times New Roman" w:cs="Times New Roman"/>
          <w:color w:val="auto"/>
          <w:sz w:val="28"/>
          <w:szCs w:val="28"/>
        </w:rPr>
        <w:t xml:space="preserve"> are to be construed together</w:t>
      </w:r>
      <w:r w:rsidR="00DC47F7">
        <w:rPr>
          <w:rFonts w:ascii="Times New Roman" w:hAnsi="Times New Roman" w:cs="Times New Roman"/>
          <w:color w:val="auto"/>
          <w:sz w:val="28"/>
          <w:szCs w:val="28"/>
        </w:rPr>
        <w:t xml:space="preserve">, </w:t>
      </w:r>
      <w:hyperlink r:id="rId15" w:history="1">
        <w:r w:rsidR="00FC310A" w:rsidRPr="00FC310A">
          <w:rPr>
            <w:rStyle w:val="Hyperlink"/>
            <w:rFonts w:ascii="Times New Roman" w:hAnsi="Times New Roman" w:cs="Times New Roman"/>
            <w:i/>
            <w:iCs/>
            <w:spacing w:val="3"/>
            <w:sz w:val="28"/>
            <w:szCs w:val="28"/>
          </w:rPr>
          <w:t>State v. Stroschein</w:t>
        </w:r>
        <w:r w:rsidR="00FC310A" w:rsidRPr="00FC310A">
          <w:rPr>
            <w:rStyle w:val="Hyperlink"/>
            <w:rFonts w:ascii="Times New Roman" w:hAnsi="Times New Roman" w:cs="Times New Roman"/>
            <w:spacing w:val="3"/>
            <w:sz w:val="28"/>
            <w:szCs w:val="28"/>
          </w:rPr>
          <w:t>, 99 Minn. 248, 252 (1906)</w:t>
        </w:r>
      </w:hyperlink>
      <w:r w:rsidR="00FC310A" w:rsidRPr="00FC310A">
        <w:rPr>
          <w:rFonts w:ascii="Times New Roman" w:hAnsi="Times New Roman" w:cs="Times New Roman"/>
          <w:color w:val="auto"/>
          <w:spacing w:val="3"/>
          <w:sz w:val="28"/>
          <w:szCs w:val="28"/>
        </w:rPr>
        <w:t>.</w:t>
      </w:r>
    </w:p>
    <w:p w14:paraId="18AC6A42" w14:textId="77777777" w:rsidR="0002716B" w:rsidRPr="0002716B" w:rsidRDefault="0002716B" w:rsidP="0002716B"/>
  </w:footnote>
  <w:footnote w:id="13">
    <w:p w14:paraId="31E3D76B" w14:textId="5FD8E8E0" w:rsidR="00DD5C6B" w:rsidRPr="00DD5C6B" w:rsidRDefault="00DD5C6B" w:rsidP="00DD5C6B">
      <w:pPr>
        <w:pStyle w:val="NormalWeb"/>
        <w:shd w:val="clear" w:color="auto" w:fill="FFFFFF"/>
        <w:spacing w:before="48" w:beforeAutospacing="0" w:after="120" w:afterAutospacing="0"/>
        <w:rPr>
          <w:color w:val="000000"/>
          <w:sz w:val="28"/>
          <w:szCs w:val="28"/>
        </w:rPr>
      </w:pPr>
      <w:r w:rsidRPr="00DD5C6B">
        <w:rPr>
          <w:rStyle w:val="FootnoteReference"/>
          <w:sz w:val="28"/>
          <w:szCs w:val="28"/>
        </w:rPr>
        <w:footnoteRef/>
      </w:r>
      <w:r w:rsidRPr="00DD5C6B">
        <w:rPr>
          <w:sz w:val="28"/>
          <w:szCs w:val="28"/>
        </w:rPr>
        <w:t xml:space="preserve"> </w:t>
      </w:r>
      <w:hyperlink r:id="rId16" w:anchor="laws.19.106.0" w:history="1">
        <w:r w:rsidRPr="00DD5C6B">
          <w:rPr>
            <w:rStyle w:val="Hyperlink"/>
            <w:sz w:val="28"/>
            <w:szCs w:val="28"/>
          </w:rPr>
          <w:t>2023 Minn. Laws ch. 52, art. 19, s. 106</w:t>
        </w:r>
      </w:hyperlink>
    </w:p>
  </w:footnote>
  <w:footnote w:id="14">
    <w:p w14:paraId="6570EB97" w14:textId="0F1EFD5C" w:rsidR="001F7E7B" w:rsidRDefault="001F7E7B">
      <w:pPr>
        <w:pStyle w:val="FootnoteText"/>
        <w:rPr>
          <w:sz w:val="28"/>
          <w:szCs w:val="28"/>
        </w:rPr>
      </w:pPr>
      <w:r w:rsidRPr="001F7E7B">
        <w:rPr>
          <w:rStyle w:val="FootnoteReference"/>
          <w:sz w:val="28"/>
          <w:szCs w:val="28"/>
        </w:rPr>
        <w:footnoteRef/>
      </w:r>
      <w:r w:rsidRPr="001F7E7B">
        <w:rPr>
          <w:sz w:val="28"/>
          <w:szCs w:val="28"/>
        </w:rPr>
        <w:t xml:space="preserve"> I watched and listened to </w:t>
      </w:r>
      <w:r w:rsidR="00444F3E">
        <w:rPr>
          <w:sz w:val="28"/>
          <w:szCs w:val="28"/>
        </w:rPr>
        <w:t xml:space="preserve">the landlord-tenant parts </w:t>
      </w:r>
      <w:r w:rsidRPr="001F7E7B">
        <w:rPr>
          <w:sz w:val="28"/>
          <w:szCs w:val="28"/>
        </w:rPr>
        <w:t>the</w:t>
      </w:r>
      <w:r w:rsidR="004965D9">
        <w:rPr>
          <w:sz w:val="28"/>
          <w:szCs w:val="28"/>
        </w:rPr>
        <w:t>se</w:t>
      </w:r>
      <w:r w:rsidRPr="001F7E7B">
        <w:rPr>
          <w:sz w:val="28"/>
          <w:szCs w:val="28"/>
        </w:rPr>
        <w:t xml:space="preserve"> entire hearings</w:t>
      </w:r>
      <w:r w:rsidR="008A228A">
        <w:rPr>
          <w:sz w:val="28"/>
          <w:szCs w:val="28"/>
        </w:rPr>
        <w:t xml:space="preserve">: House Committee on Housing Finance and Policy, 2/14/23 (HF 917); House Committee on Judiciary Finance and Civil Law, 3/23/23 (HF 917); Senate Committee on Housing and Homelessness Prevention, 2/14/23 (SF 1298); </w:t>
      </w:r>
      <w:r w:rsidR="00444F3E">
        <w:rPr>
          <w:sz w:val="28"/>
          <w:szCs w:val="28"/>
        </w:rPr>
        <w:t>Senate Committee on Housing and Homelessness Prevention, 3/9/23 (SF 1298); Senate Committee on Judiciary and Public Safety, 3/24/23 (SF 1298</w:t>
      </w:r>
      <w:r w:rsidR="00323F38">
        <w:rPr>
          <w:sz w:val="28"/>
          <w:szCs w:val="28"/>
        </w:rPr>
        <w:t>)</w:t>
      </w:r>
      <w:r w:rsidRPr="001F7E7B">
        <w:rPr>
          <w:sz w:val="28"/>
          <w:szCs w:val="28"/>
        </w:rPr>
        <w:t>.</w:t>
      </w:r>
      <w:r w:rsidR="00444F3E">
        <w:rPr>
          <w:sz w:val="28"/>
          <w:szCs w:val="28"/>
        </w:rPr>
        <w:t xml:space="preserve"> Audio and video recordings are available at </w:t>
      </w:r>
      <w:hyperlink r:id="rId17" w:history="1">
        <w:r w:rsidR="00444F3E" w:rsidRPr="0038492B">
          <w:rPr>
            <w:rStyle w:val="Hyperlink"/>
            <w:sz w:val="28"/>
            <w:szCs w:val="28"/>
          </w:rPr>
          <w:t>https://www.lrl.mn.gov/media/</w:t>
        </w:r>
      </w:hyperlink>
      <w:r w:rsidR="00444F3E">
        <w:rPr>
          <w:sz w:val="28"/>
          <w:szCs w:val="28"/>
        </w:rPr>
        <w:t xml:space="preserve"> </w:t>
      </w:r>
    </w:p>
    <w:p w14:paraId="1B52525B" w14:textId="77777777" w:rsidR="00CF20F8" w:rsidRPr="001F7E7B" w:rsidRDefault="00CF20F8">
      <w:pPr>
        <w:pStyle w:val="FootnoteText"/>
        <w:rPr>
          <w:sz w:val="28"/>
          <w:szCs w:val="28"/>
        </w:rPr>
      </w:pPr>
    </w:p>
  </w:footnote>
  <w:footnote w:id="15">
    <w:p w14:paraId="3358D0B8" w14:textId="5276004D" w:rsidR="00CF20F8" w:rsidRPr="00CF20F8" w:rsidRDefault="00CF20F8">
      <w:pPr>
        <w:pStyle w:val="FootnoteText"/>
        <w:rPr>
          <w:sz w:val="28"/>
          <w:szCs w:val="28"/>
        </w:rPr>
      </w:pPr>
      <w:r w:rsidRPr="00CF20F8">
        <w:rPr>
          <w:rStyle w:val="FootnoteReference"/>
          <w:sz w:val="28"/>
          <w:szCs w:val="28"/>
        </w:rPr>
        <w:footnoteRef/>
      </w:r>
      <w:r w:rsidRPr="00CF20F8">
        <w:rPr>
          <w:sz w:val="28"/>
          <w:szCs w:val="28"/>
        </w:rPr>
        <w:t xml:space="preserve"> Here is the passage from the treatise:</w:t>
      </w:r>
    </w:p>
    <w:p w14:paraId="7C042985" w14:textId="5D19C134" w:rsidR="00242C18" w:rsidRDefault="00CF20F8" w:rsidP="00242C18">
      <w:pPr>
        <w:pStyle w:val="FootnoteText"/>
        <w:ind w:left="720"/>
        <w:rPr>
          <w:color w:val="000000"/>
          <w:sz w:val="28"/>
          <w:szCs w:val="28"/>
        </w:rPr>
      </w:pPr>
      <w:r w:rsidRPr="00CF20F8">
        <w:rPr>
          <w:i/>
          <w:iCs/>
          <w:color w:val="000000"/>
          <w:sz w:val="28"/>
          <w:szCs w:val="28"/>
        </w:rPr>
        <w:t xml:space="preserve">       </w:t>
      </w:r>
      <w:r w:rsidR="001A5E14">
        <w:rPr>
          <w:i/>
          <w:iCs/>
          <w:color w:val="000000"/>
          <w:sz w:val="28"/>
          <w:szCs w:val="28"/>
        </w:rPr>
        <w:t xml:space="preserve"> </w:t>
      </w:r>
      <w:r w:rsidRPr="00CF20F8">
        <w:rPr>
          <w:i/>
          <w:iCs/>
          <w:color w:val="000000"/>
          <w:sz w:val="28"/>
          <w:szCs w:val="28"/>
        </w:rPr>
        <w:t>See Renne v. _____, </w:t>
      </w:r>
      <w:r w:rsidRPr="00CF20F8">
        <w:rPr>
          <w:color w:val="000000"/>
          <w:sz w:val="28"/>
          <w:szCs w:val="28"/>
        </w:rPr>
        <w:t>No. 27-CV-HC-14-5385 (Minn. Dist. Ct. 4th Dist. Oct. 17, 2014) (Appendix 767) (dismissal where summons and complaint were posted before mailing); </w:t>
      </w:r>
      <w:r w:rsidRPr="00CF20F8">
        <w:rPr>
          <w:i/>
          <w:iCs/>
          <w:color w:val="000000"/>
          <w:sz w:val="28"/>
          <w:szCs w:val="28"/>
        </w:rPr>
        <w:t>TCF National Bank v. Meldahl, </w:t>
      </w:r>
      <w:r w:rsidRPr="00CF20F8">
        <w:rPr>
          <w:color w:val="000000"/>
          <w:sz w:val="28"/>
          <w:szCs w:val="28"/>
        </w:rPr>
        <w:t>No. 27-CV-HC-14-2308 (Minn. Dist. Ct. 4th Dist. May 21, 2014) (Appendix 769) (dismissal where all affidavits were filed at the same time, rather than following the statutory sequence of filing affidavits before posting); </w:t>
      </w:r>
      <w:r w:rsidRPr="00CF20F8">
        <w:rPr>
          <w:i/>
          <w:iCs/>
          <w:color w:val="000000"/>
          <w:sz w:val="28"/>
          <w:szCs w:val="28"/>
        </w:rPr>
        <w:t>Howard v._____, </w:t>
      </w:r>
      <w:r w:rsidRPr="00CF20F8">
        <w:rPr>
          <w:color w:val="000000"/>
          <w:sz w:val="28"/>
          <w:szCs w:val="28"/>
        </w:rPr>
        <w:t>No. 62-HG-CV-13-469 (Minn. Dist. Ct. 2nd Dist. June 21, 2013) (Judge Van de North) (Appendix 765) (dismissal where summons and complaint were posted before filing affidavits of not found and mailing); </w:t>
      </w:r>
      <w:r w:rsidRPr="00CF20F8">
        <w:rPr>
          <w:i/>
          <w:iCs/>
          <w:sz w:val="28"/>
          <w:szCs w:val="28"/>
        </w:rPr>
        <w:t>****</w:t>
      </w:r>
      <w:r w:rsidRPr="00CF20F8">
        <w:rPr>
          <w:i/>
          <w:iCs/>
          <w:color w:val="FF0000"/>
          <w:sz w:val="28"/>
          <w:szCs w:val="28"/>
        </w:rPr>
        <w:t xml:space="preserve"> </w:t>
      </w:r>
      <w:r w:rsidRPr="00CF20F8">
        <w:rPr>
          <w:i/>
          <w:iCs/>
          <w:color w:val="000000"/>
          <w:sz w:val="28"/>
          <w:szCs w:val="28"/>
        </w:rPr>
        <w:t>Ali v. _____</w:t>
      </w:r>
      <w:r w:rsidRPr="00CF20F8">
        <w:rPr>
          <w:color w:val="000000"/>
          <w:sz w:val="28"/>
          <w:szCs w:val="28"/>
        </w:rPr>
        <w:t>, No. HC 040213545 (Minn. Dist.</w:t>
      </w:r>
      <w:r w:rsidR="004965D9">
        <w:rPr>
          <w:color w:val="000000"/>
          <w:sz w:val="28"/>
          <w:szCs w:val="28"/>
        </w:rPr>
        <w:t xml:space="preserve"> </w:t>
      </w:r>
      <w:r w:rsidRPr="00CF20F8">
        <w:rPr>
          <w:color w:val="000000"/>
          <w:sz w:val="28"/>
          <w:szCs w:val="28"/>
        </w:rPr>
        <w:t>Ct. 4</w:t>
      </w:r>
      <w:r w:rsidRPr="00CF20F8">
        <w:rPr>
          <w:color w:val="000000"/>
          <w:sz w:val="28"/>
          <w:szCs w:val="28"/>
          <w:vertAlign w:val="superscript"/>
        </w:rPr>
        <w:t>th</w:t>
      </w:r>
      <w:r w:rsidRPr="00CF20F8">
        <w:rPr>
          <w:color w:val="000000"/>
          <w:sz w:val="28"/>
          <w:szCs w:val="28"/>
        </w:rPr>
        <w:t> Dist. Feb. 27, 2004) (Appendix 463) (dismissal for posting before filing affidavits); </w:t>
      </w:r>
      <w:r w:rsidRPr="00CF20F8">
        <w:rPr>
          <w:i/>
          <w:iCs/>
          <w:color w:val="000000"/>
          <w:sz w:val="28"/>
          <w:szCs w:val="28"/>
        </w:rPr>
        <w:t>Plymouth Avenue Townhomes and Apartments v. Hollie</w:t>
      </w:r>
      <w:r w:rsidRPr="00CF20F8">
        <w:rPr>
          <w:color w:val="000000"/>
          <w:sz w:val="28"/>
          <w:szCs w:val="28"/>
        </w:rPr>
        <w:t>, No. UD-1950912555 (Minn. Dist. Ct. 4th Dist. Sept. 26, 1995) (Appendix 96); </w:t>
      </w:r>
      <w:r w:rsidRPr="00CF20F8">
        <w:rPr>
          <w:i/>
          <w:iCs/>
          <w:color w:val="000000"/>
          <w:sz w:val="28"/>
          <w:szCs w:val="28"/>
        </w:rPr>
        <w:t>Blackmon v. Johnson</w:t>
      </w:r>
      <w:r w:rsidRPr="00CF20F8">
        <w:rPr>
          <w:color w:val="000000"/>
          <w:sz w:val="28"/>
          <w:szCs w:val="28"/>
        </w:rPr>
        <w:t>, No. UD-1950516515 (Minn. Dist. Ct. 4th Dist. June 2, 1995) (Appendix 97); </w:t>
      </w:r>
      <w:r w:rsidRPr="00CF20F8">
        <w:rPr>
          <w:i/>
          <w:iCs/>
          <w:color w:val="000000"/>
          <w:sz w:val="28"/>
          <w:szCs w:val="28"/>
        </w:rPr>
        <w:t>Gasparre v. Acres</w:t>
      </w:r>
      <w:r w:rsidRPr="00CF20F8">
        <w:rPr>
          <w:color w:val="000000"/>
          <w:sz w:val="28"/>
          <w:szCs w:val="28"/>
        </w:rPr>
        <w:t>, No. UD-2940715809 (Minn. Dist. Ct. 4th Dist. July 28, 1994) (dismissal) (Appendix 41); </w:t>
      </w:r>
      <w:r w:rsidRPr="00CF20F8">
        <w:rPr>
          <w:i/>
          <w:iCs/>
          <w:color w:val="000000"/>
          <w:sz w:val="28"/>
          <w:szCs w:val="28"/>
        </w:rPr>
        <w:t>Minneapolis Public Housing Authority v. McKinley</w:t>
      </w:r>
      <w:r w:rsidRPr="00CF20F8">
        <w:rPr>
          <w:color w:val="000000"/>
          <w:sz w:val="28"/>
          <w:szCs w:val="28"/>
        </w:rPr>
        <w:t>, No. UD-98-0305507 (Minn. Dist. Ct. 4th Dist. Mar. 27, 1998) (Appendix 348A) (Posting of summons before mailing of summons did not comply with statute and rule, requiring dismissal).</w:t>
      </w:r>
    </w:p>
    <w:p w14:paraId="115F1AE8" w14:textId="77777777" w:rsidR="00C20EAE" w:rsidRDefault="00C20EAE" w:rsidP="00242C18">
      <w:pPr>
        <w:pStyle w:val="FootnoteText"/>
        <w:ind w:left="720"/>
        <w:rPr>
          <w:sz w:val="28"/>
          <w:szCs w:val="28"/>
        </w:rPr>
      </w:pPr>
    </w:p>
    <w:p w14:paraId="1BF9EC58" w14:textId="37563BC2" w:rsidR="00C20EAE" w:rsidRPr="00242C18" w:rsidRDefault="00C20EAE" w:rsidP="00242C18">
      <w:pPr>
        <w:pStyle w:val="FootnoteText"/>
        <w:ind w:left="720"/>
        <w:rPr>
          <w:color w:val="000000"/>
          <w:sz w:val="28"/>
          <w:szCs w:val="28"/>
        </w:rPr>
      </w:pPr>
    </w:p>
  </w:footnote>
  <w:footnote w:id="16">
    <w:p w14:paraId="3D9A4A67" w14:textId="09E07EB0" w:rsidR="0015128C" w:rsidRDefault="0015128C" w:rsidP="0015128C">
      <w:pPr>
        <w:pStyle w:val="FootnoteText"/>
        <w:rPr>
          <w:sz w:val="28"/>
          <w:szCs w:val="28"/>
        </w:rPr>
      </w:pPr>
      <w:r w:rsidRPr="00CC0C4F">
        <w:rPr>
          <w:rStyle w:val="FootnoteReference"/>
          <w:sz w:val="28"/>
          <w:szCs w:val="28"/>
        </w:rPr>
        <w:footnoteRef/>
      </w:r>
      <w:r w:rsidRPr="00CC0C4F">
        <w:rPr>
          <w:sz w:val="28"/>
          <w:szCs w:val="28"/>
        </w:rPr>
        <w:t xml:space="preserve"> </w:t>
      </w:r>
      <w:r>
        <w:rPr>
          <w:sz w:val="28"/>
          <w:szCs w:val="28"/>
        </w:rPr>
        <w:t>As indicated in footnote 11, under</w:t>
      </w:r>
      <w:r w:rsidRPr="00CC0C4F">
        <w:rPr>
          <w:sz w:val="28"/>
          <w:szCs w:val="28"/>
        </w:rPr>
        <w:t xml:space="preserve"> </w:t>
      </w:r>
      <w:r w:rsidRPr="00CC0C4F">
        <w:rPr>
          <w:i/>
          <w:iCs/>
          <w:sz w:val="28"/>
          <w:szCs w:val="28"/>
        </w:rPr>
        <w:t>Easton v. Childs</w:t>
      </w:r>
      <w:r w:rsidRPr="00CC0C4F">
        <w:rPr>
          <w:sz w:val="28"/>
          <w:szCs w:val="28"/>
        </w:rPr>
        <w:t xml:space="preserve"> </w:t>
      </w:r>
      <w:r>
        <w:rPr>
          <w:sz w:val="28"/>
          <w:szCs w:val="28"/>
        </w:rPr>
        <w:t xml:space="preserve">the </w:t>
      </w:r>
      <w:r w:rsidR="00F34D55">
        <w:rPr>
          <w:sz w:val="28"/>
          <w:szCs w:val="28"/>
        </w:rPr>
        <w:t xml:space="preserve">affidavit of the </w:t>
      </w:r>
      <w:r>
        <w:rPr>
          <w:sz w:val="28"/>
          <w:szCs w:val="28"/>
        </w:rPr>
        <w:t>process server (then a sheriff or his deputy, now any adult</w:t>
      </w:r>
      <w:r w:rsidR="00F34D55">
        <w:rPr>
          <w:sz w:val="28"/>
          <w:szCs w:val="28"/>
        </w:rPr>
        <w:t>)</w:t>
      </w:r>
      <w:r>
        <w:rPr>
          <w:sz w:val="28"/>
          <w:szCs w:val="28"/>
        </w:rPr>
        <w:t xml:space="preserve"> of his being unable to locate the defendant is not jurisdictional. Therefore, the process server could wait a bit to file his affidavit of trying twice (and eventually his affidavit of posting). The plaintiff or his attorney could file his affidavit of not found &amp; mailing based on what the process server told him by phone or radio.</w:t>
      </w:r>
    </w:p>
    <w:p w14:paraId="0B3764F5" w14:textId="77777777" w:rsidR="00C47D65" w:rsidRPr="00CC0C4F" w:rsidRDefault="00C47D65" w:rsidP="0015128C">
      <w:pPr>
        <w:pStyle w:val="FootnoteText"/>
        <w:rPr>
          <w:sz w:val="28"/>
          <w:szCs w:val="28"/>
        </w:rPr>
      </w:pPr>
    </w:p>
  </w:footnote>
  <w:footnote w:id="17">
    <w:p w14:paraId="1A0A24EB" w14:textId="1F8818B9" w:rsidR="0015128C" w:rsidRDefault="0015128C">
      <w:pPr>
        <w:pStyle w:val="FootnoteText"/>
        <w:rPr>
          <w:sz w:val="28"/>
          <w:szCs w:val="28"/>
        </w:rPr>
      </w:pPr>
      <w:r w:rsidRPr="00C47D65">
        <w:rPr>
          <w:rStyle w:val="FootnoteReference"/>
          <w:sz w:val="28"/>
          <w:szCs w:val="28"/>
        </w:rPr>
        <w:footnoteRef/>
      </w:r>
      <w:r w:rsidRPr="00C47D65">
        <w:rPr>
          <w:sz w:val="28"/>
          <w:szCs w:val="28"/>
        </w:rPr>
        <w:t xml:space="preserve"> Under</w:t>
      </w:r>
      <w:r w:rsidRPr="00C47D65">
        <w:rPr>
          <w:color w:val="333333"/>
          <w:sz w:val="28"/>
          <w:szCs w:val="28"/>
          <w:shd w:val="clear" w:color="auto" w:fill="FFFFFF"/>
        </w:rPr>
        <w:t> </w:t>
      </w:r>
      <w:hyperlink r:id="rId18" w:tgtFrame="_blank" w:history="1">
        <w:r w:rsidRPr="00065344">
          <w:rPr>
            <w:rStyle w:val="Hyperlink"/>
            <w:i/>
            <w:iCs/>
            <w:color w:val="003865"/>
            <w:sz w:val="28"/>
            <w:szCs w:val="28"/>
            <w:shd w:val="clear" w:color="auto" w:fill="FFFFFF"/>
          </w:rPr>
          <w:t>Central Internal Medicine Assoc. P.A. v</w:t>
        </w:r>
        <w:r w:rsidR="00C47D65" w:rsidRPr="00065344">
          <w:rPr>
            <w:rStyle w:val="Hyperlink"/>
            <w:i/>
            <w:iCs/>
            <w:color w:val="003865"/>
            <w:sz w:val="28"/>
            <w:szCs w:val="28"/>
            <w:shd w:val="clear" w:color="auto" w:fill="FFFFFF"/>
          </w:rPr>
          <w:t xml:space="preserve">. </w:t>
        </w:r>
        <w:r w:rsidRPr="00065344">
          <w:rPr>
            <w:rStyle w:val="Hyperlink"/>
            <w:i/>
            <w:iCs/>
            <w:color w:val="003865"/>
            <w:sz w:val="28"/>
            <w:szCs w:val="28"/>
            <w:shd w:val="clear" w:color="auto" w:fill="FFFFFF"/>
          </w:rPr>
          <w:t>Chilgren</w:t>
        </w:r>
        <w:r w:rsidR="00C47D65" w:rsidRPr="00C47D65">
          <w:rPr>
            <w:rStyle w:val="Hyperlink"/>
            <w:color w:val="003865"/>
            <w:sz w:val="28"/>
            <w:szCs w:val="28"/>
            <w:shd w:val="clear" w:color="auto" w:fill="FFFFFF"/>
          </w:rPr>
          <w:t>, File No.</w:t>
        </w:r>
        <w:r w:rsidRPr="00C47D65">
          <w:rPr>
            <w:rStyle w:val="Hyperlink"/>
            <w:color w:val="003865"/>
            <w:sz w:val="28"/>
            <w:szCs w:val="28"/>
            <w:shd w:val="clear" w:color="auto" w:fill="FFFFFF"/>
          </w:rPr>
          <w:t xml:space="preserve"> C2-00-36</w:t>
        </w:r>
        <w:r w:rsidR="00C47D65" w:rsidRPr="00C47D65">
          <w:rPr>
            <w:rStyle w:val="Hyperlink"/>
            <w:color w:val="003865"/>
            <w:sz w:val="28"/>
            <w:szCs w:val="28"/>
            <w:shd w:val="clear" w:color="auto" w:fill="FFFFFF"/>
          </w:rPr>
          <w:t xml:space="preserve"> (Minn. Ct. App. 7/18/2000</w:t>
        </w:r>
        <w:r w:rsidR="00C47D65">
          <w:rPr>
            <w:rStyle w:val="Hyperlink"/>
            <w:color w:val="003865"/>
            <w:sz w:val="28"/>
            <w:szCs w:val="28"/>
            <w:shd w:val="clear" w:color="auto" w:fill="FFFFFF"/>
          </w:rPr>
          <w:t>)</w:t>
        </w:r>
        <w:r w:rsidR="00C47D65" w:rsidRPr="00C47D65">
          <w:rPr>
            <w:rStyle w:val="Hyperlink"/>
            <w:color w:val="003865"/>
            <w:sz w:val="28"/>
            <w:szCs w:val="28"/>
            <w:shd w:val="clear" w:color="auto" w:fill="FFFFFF"/>
          </w:rPr>
          <w:t xml:space="preserve"> (non precedential)</w:t>
        </w:r>
      </w:hyperlink>
      <w:r w:rsidR="00C47D65" w:rsidRPr="00C47D65">
        <w:rPr>
          <w:sz w:val="28"/>
          <w:szCs w:val="28"/>
        </w:rPr>
        <w:t xml:space="preserve"> the seven-days-of-service rule is vindicated if the process server serves the summons some time on the seventh day before the hearing. E.g., if the case is set for a Wednesday, the deadline to serve is 11:59 pm on the previous Wednesday. “Seven days” does not mean 7 x 24 hours.</w:t>
      </w:r>
    </w:p>
    <w:p w14:paraId="75C80BE6" w14:textId="77777777" w:rsidR="0002716B" w:rsidRPr="00C47D65" w:rsidRDefault="0002716B">
      <w:pPr>
        <w:pStyle w:val="FootnoteText"/>
        <w:rPr>
          <w:sz w:val="28"/>
          <w:szCs w:val="28"/>
        </w:rPr>
      </w:pPr>
    </w:p>
  </w:footnote>
  <w:footnote w:id="18">
    <w:p w14:paraId="0EEAF5F3" w14:textId="51F3F222" w:rsidR="00A80DB2" w:rsidRPr="00A80DB2" w:rsidRDefault="00A80DB2">
      <w:pPr>
        <w:pStyle w:val="FootnoteText"/>
        <w:rPr>
          <w:sz w:val="28"/>
          <w:szCs w:val="28"/>
        </w:rPr>
      </w:pPr>
      <w:r w:rsidRPr="00A80DB2">
        <w:rPr>
          <w:rStyle w:val="FootnoteReference"/>
          <w:sz w:val="28"/>
          <w:szCs w:val="28"/>
        </w:rPr>
        <w:footnoteRef/>
      </w:r>
      <w:r w:rsidRPr="00A80DB2">
        <w:rPr>
          <w:sz w:val="28"/>
          <w:szCs w:val="28"/>
        </w:rPr>
        <w:t xml:space="preserve"> </w:t>
      </w:r>
      <w:hyperlink r:id="rId19" w:history="1">
        <w:r w:rsidRPr="00A80DB2">
          <w:rPr>
            <w:rStyle w:val="Hyperlink"/>
            <w:color w:val="2B6DAD"/>
            <w:sz w:val="28"/>
            <w:szCs w:val="28"/>
            <w:shd w:val="clear" w:color="auto" w:fill="FFFFFF"/>
          </w:rPr>
          <w:t>2005 Minn. Laws ch. 136 art. 14 s. 21</w:t>
        </w:r>
      </w:hyperlink>
      <w:r w:rsidRPr="00A80DB2">
        <w:rPr>
          <w:color w:val="000000"/>
          <w:sz w:val="28"/>
          <w:szCs w:val="28"/>
          <w:shd w:val="clear" w:color="auto" w:fill="FFFFFF"/>
        </w:rPr>
        <w:t xml:space="preserve"> abolished the statute that had prohibit</w:t>
      </w:r>
      <w:r w:rsidR="006538AD">
        <w:rPr>
          <w:color w:val="000000"/>
          <w:sz w:val="28"/>
          <w:szCs w:val="28"/>
          <w:shd w:val="clear" w:color="auto" w:fill="FFFFFF"/>
        </w:rPr>
        <w:t>ed</w:t>
      </w:r>
      <w:r w:rsidRPr="00A80DB2">
        <w:rPr>
          <w:color w:val="000000"/>
          <w:sz w:val="28"/>
          <w:szCs w:val="28"/>
          <w:shd w:val="clear" w:color="auto" w:fill="FFFFFF"/>
        </w:rPr>
        <w:t xml:space="preserve"> service of process on Sundays.</w:t>
      </w:r>
      <w:r w:rsidR="006538AD">
        <w:rPr>
          <w:color w:val="000000"/>
          <w:sz w:val="28"/>
          <w:szCs w:val="28"/>
          <w:shd w:val="clear" w:color="auto" w:fill="FFFFFF"/>
        </w:rPr>
        <w:t xml:space="preserve"> As footnote 17 indicates, evening service was </w:t>
      </w:r>
      <w:r w:rsidR="00BD3BD0">
        <w:rPr>
          <w:color w:val="000000"/>
          <w:sz w:val="28"/>
          <w:szCs w:val="28"/>
          <w:shd w:val="clear" w:color="auto" w:fill="FFFFFF"/>
        </w:rPr>
        <w:t xml:space="preserve">already </w:t>
      </w:r>
      <w:r w:rsidR="006538AD">
        <w:rPr>
          <w:color w:val="000000"/>
          <w:sz w:val="28"/>
          <w:szCs w:val="28"/>
          <w:shd w:val="clear" w:color="auto" w:fill="FFFFFF"/>
        </w:rPr>
        <w:t>okay.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30082"/>
    <w:multiLevelType w:val="hybridMultilevel"/>
    <w:tmpl w:val="121AAF74"/>
    <w:lvl w:ilvl="0" w:tplc="F06C22F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0A559B"/>
    <w:multiLevelType w:val="hybridMultilevel"/>
    <w:tmpl w:val="7780C89A"/>
    <w:lvl w:ilvl="0" w:tplc="62B676C8">
      <w:start w:val="2"/>
      <w:numFmt w:val="bullet"/>
      <w:lvlText w:val=""/>
      <w:lvlJc w:val="left"/>
      <w:pPr>
        <w:ind w:left="720" w:hanging="360"/>
      </w:pPr>
      <w:rPr>
        <w:rFonts w:ascii="Symbol" w:eastAsia="Times New Roman" w:hAnsi="Symbol" w:cs="Times New Roman" w:hint="default"/>
        <w:color w:val="2222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3715CB"/>
    <w:multiLevelType w:val="hybridMultilevel"/>
    <w:tmpl w:val="40A6AFC4"/>
    <w:lvl w:ilvl="0" w:tplc="D0D2BB9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8E2554"/>
    <w:multiLevelType w:val="hybridMultilevel"/>
    <w:tmpl w:val="B65C8D9E"/>
    <w:lvl w:ilvl="0" w:tplc="0F14E5B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40837474">
    <w:abstractNumId w:val="1"/>
  </w:num>
  <w:num w:numId="2" w16cid:durableId="97650107">
    <w:abstractNumId w:val="3"/>
  </w:num>
  <w:num w:numId="3" w16cid:durableId="457650392">
    <w:abstractNumId w:val="0"/>
  </w:num>
  <w:num w:numId="4" w16cid:durableId="3905399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6D3"/>
    <w:rsid w:val="000019B1"/>
    <w:rsid w:val="00002D0B"/>
    <w:rsid w:val="0000773B"/>
    <w:rsid w:val="000106C2"/>
    <w:rsid w:val="00026F79"/>
    <w:rsid w:val="0002716B"/>
    <w:rsid w:val="000367FA"/>
    <w:rsid w:val="00040378"/>
    <w:rsid w:val="0004499E"/>
    <w:rsid w:val="000519D7"/>
    <w:rsid w:val="00065344"/>
    <w:rsid w:val="000B5DDA"/>
    <w:rsid w:val="000B6FB3"/>
    <w:rsid w:val="000B750C"/>
    <w:rsid w:val="000C2C94"/>
    <w:rsid w:val="000D7CD3"/>
    <w:rsid w:val="000F082D"/>
    <w:rsid w:val="000F7D52"/>
    <w:rsid w:val="00116F2C"/>
    <w:rsid w:val="00117AC1"/>
    <w:rsid w:val="00124F65"/>
    <w:rsid w:val="00133780"/>
    <w:rsid w:val="001362C8"/>
    <w:rsid w:val="0015128C"/>
    <w:rsid w:val="001533A2"/>
    <w:rsid w:val="00163305"/>
    <w:rsid w:val="00193F1E"/>
    <w:rsid w:val="001A5E14"/>
    <w:rsid w:val="001B4089"/>
    <w:rsid w:val="001C0D7C"/>
    <w:rsid w:val="001C3335"/>
    <w:rsid w:val="001C5476"/>
    <w:rsid w:val="001D22A9"/>
    <w:rsid w:val="001E2A40"/>
    <w:rsid w:val="001F4778"/>
    <w:rsid w:val="001F7E7B"/>
    <w:rsid w:val="00202AD7"/>
    <w:rsid w:val="00240EB3"/>
    <w:rsid w:val="00242C18"/>
    <w:rsid w:val="00281C0F"/>
    <w:rsid w:val="00283367"/>
    <w:rsid w:val="00294960"/>
    <w:rsid w:val="00295A69"/>
    <w:rsid w:val="002B5FEE"/>
    <w:rsid w:val="002C5C23"/>
    <w:rsid w:val="002F3BE9"/>
    <w:rsid w:val="00300E4E"/>
    <w:rsid w:val="00301725"/>
    <w:rsid w:val="00302908"/>
    <w:rsid w:val="00312B18"/>
    <w:rsid w:val="00323F38"/>
    <w:rsid w:val="00350916"/>
    <w:rsid w:val="00357AA1"/>
    <w:rsid w:val="003709CA"/>
    <w:rsid w:val="00383199"/>
    <w:rsid w:val="003840AC"/>
    <w:rsid w:val="003864F5"/>
    <w:rsid w:val="00392A8D"/>
    <w:rsid w:val="003E6738"/>
    <w:rsid w:val="003F5B3C"/>
    <w:rsid w:val="0041533B"/>
    <w:rsid w:val="0042224B"/>
    <w:rsid w:val="00427711"/>
    <w:rsid w:val="00444F3E"/>
    <w:rsid w:val="0045792D"/>
    <w:rsid w:val="0047061E"/>
    <w:rsid w:val="0048756E"/>
    <w:rsid w:val="00493425"/>
    <w:rsid w:val="004965D9"/>
    <w:rsid w:val="004C6110"/>
    <w:rsid w:val="004E7B7A"/>
    <w:rsid w:val="004F1A18"/>
    <w:rsid w:val="00504F05"/>
    <w:rsid w:val="00517611"/>
    <w:rsid w:val="00521C20"/>
    <w:rsid w:val="00551400"/>
    <w:rsid w:val="00586487"/>
    <w:rsid w:val="0059666A"/>
    <w:rsid w:val="005A4CFD"/>
    <w:rsid w:val="005B3EDA"/>
    <w:rsid w:val="005E30A7"/>
    <w:rsid w:val="005F38B5"/>
    <w:rsid w:val="005F3CAE"/>
    <w:rsid w:val="00634CA6"/>
    <w:rsid w:val="006538AD"/>
    <w:rsid w:val="00654CB8"/>
    <w:rsid w:val="0067592C"/>
    <w:rsid w:val="00687704"/>
    <w:rsid w:val="006A7400"/>
    <w:rsid w:val="006B0952"/>
    <w:rsid w:val="006B10F3"/>
    <w:rsid w:val="006B1E65"/>
    <w:rsid w:val="006B2F54"/>
    <w:rsid w:val="006D1C7A"/>
    <w:rsid w:val="006E2BB6"/>
    <w:rsid w:val="006F2500"/>
    <w:rsid w:val="007073EB"/>
    <w:rsid w:val="007218EA"/>
    <w:rsid w:val="00724D5C"/>
    <w:rsid w:val="00762CC0"/>
    <w:rsid w:val="00774065"/>
    <w:rsid w:val="0077502F"/>
    <w:rsid w:val="00784079"/>
    <w:rsid w:val="0079508C"/>
    <w:rsid w:val="00795B9B"/>
    <w:rsid w:val="00797613"/>
    <w:rsid w:val="007C607E"/>
    <w:rsid w:val="007D7BFA"/>
    <w:rsid w:val="007F743D"/>
    <w:rsid w:val="008047ED"/>
    <w:rsid w:val="008240F4"/>
    <w:rsid w:val="0083517B"/>
    <w:rsid w:val="0083643B"/>
    <w:rsid w:val="00850B03"/>
    <w:rsid w:val="008747F7"/>
    <w:rsid w:val="008A228A"/>
    <w:rsid w:val="008C454E"/>
    <w:rsid w:val="008D1223"/>
    <w:rsid w:val="00946588"/>
    <w:rsid w:val="00947CFB"/>
    <w:rsid w:val="009856D3"/>
    <w:rsid w:val="009B5565"/>
    <w:rsid w:val="009C41D6"/>
    <w:rsid w:val="009C55B1"/>
    <w:rsid w:val="009C5ACC"/>
    <w:rsid w:val="009D1ACA"/>
    <w:rsid w:val="009E257E"/>
    <w:rsid w:val="00A00034"/>
    <w:rsid w:val="00A008ED"/>
    <w:rsid w:val="00A20DEB"/>
    <w:rsid w:val="00A2496C"/>
    <w:rsid w:val="00A31872"/>
    <w:rsid w:val="00A36944"/>
    <w:rsid w:val="00A427EB"/>
    <w:rsid w:val="00A55976"/>
    <w:rsid w:val="00A61C9B"/>
    <w:rsid w:val="00A732C7"/>
    <w:rsid w:val="00A80DB2"/>
    <w:rsid w:val="00AA54D2"/>
    <w:rsid w:val="00AA7383"/>
    <w:rsid w:val="00AD4250"/>
    <w:rsid w:val="00AE31AD"/>
    <w:rsid w:val="00B00644"/>
    <w:rsid w:val="00B47E6A"/>
    <w:rsid w:val="00B51E40"/>
    <w:rsid w:val="00B55F5E"/>
    <w:rsid w:val="00B56689"/>
    <w:rsid w:val="00B6269E"/>
    <w:rsid w:val="00B6540B"/>
    <w:rsid w:val="00B851CB"/>
    <w:rsid w:val="00B8676B"/>
    <w:rsid w:val="00BA2D50"/>
    <w:rsid w:val="00BA699E"/>
    <w:rsid w:val="00BD3BD0"/>
    <w:rsid w:val="00BE4726"/>
    <w:rsid w:val="00BF3DCC"/>
    <w:rsid w:val="00C02E49"/>
    <w:rsid w:val="00C07591"/>
    <w:rsid w:val="00C1171C"/>
    <w:rsid w:val="00C20EAE"/>
    <w:rsid w:val="00C3291E"/>
    <w:rsid w:val="00C3396E"/>
    <w:rsid w:val="00C47D65"/>
    <w:rsid w:val="00C77023"/>
    <w:rsid w:val="00C95EF4"/>
    <w:rsid w:val="00CC0C4F"/>
    <w:rsid w:val="00CF20F8"/>
    <w:rsid w:val="00D0392E"/>
    <w:rsid w:val="00D07AF9"/>
    <w:rsid w:val="00D11C4E"/>
    <w:rsid w:val="00D11D9E"/>
    <w:rsid w:val="00D2036B"/>
    <w:rsid w:val="00D20A6B"/>
    <w:rsid w:val="00D6066C"/>
    <w:rsid w:val="00D67A0D"/>
    <w:rsid w:val="00D8597A"/>
    <w:rsid w:val="00DC47F7"/>
    <w:rsid w:val="00DD5C6B"/>
    <w:rsid w:val="00DF5CB0"/>
    <w:rsid w:val="00E23365"/>
    <w:rsid w:val="00E51D4D"/>
    <w:rsid w:val="00E56277"/>
    <w:rsid w:val="00E56DA5"/>
    <w:rsid w:val="00E9213D"/>
    <w:rsid w:val="00EA2D0B"/>
    <w:rsid w:val="00EA789B"/>
    <w:rsid w:val="00EB39C0"/>
    <w:rsid w:val="00EC073D"/>
    <w:rsid w:val="00EE578E"/>
    <w:rsid w:val="00EE65CA"/>
    <w:rsid w:val="00F0092C"/>
    <w:rsid w:val="00F33045"/>
    <w:rsid w:val="00F34D55"/>
    <w:rsid w:val="00F4163C"/>
    <w:rsid w:val="00F8064A"/>
    <w:rsid w:val="00F857DB"/>
    <w:rsid w:val="00F95FF1"/>
    <w:rsid w:val="00F96344"/>
    <w:rsid w:val="00FA4FBB"/>
    <w:rsid w:val="00FB509E"/>
    <w:rsid w:val="00FC310A"/>
    <w:rsid w:val="00FC4815"/>
    <w:rsid w:val="00FF57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AFACC"/>
  <w15:chartTrackingRefBased/>
  <w15:docId w15:val="{16BB0B90-2B43-40E5-97DF-008D8675D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56D3"/>
    <w:pPr>
      <w:spacing w:after="0" w:line="240" w:lineRule="auto"/>
    </w:pPr>
    <w:rPr>
      <w:rFonts w:ascii="Times New Roman" w:eastAsia="Times New Roman" w:hAnsi="Times New Roman" w:cs="Times New Roman"/>
      <w:kern w:val="0"/>
      <w:sz w:val="24"/>
      <w:szCs w:val="20"/>
      <w14:ligatures w14:val="none"/>
    </w:rPr>
  </w:style>
  <w:style w:type="paragraph" w:styleId="Heading1">
    <w:name w:val="heading 1"/>
    <w:basedOn w:val="Normal"/>
    <w:next w:val="Normal"/>
    <w:link w:val="Heading1Char"/>
    <w:uiPriority w:val="9"/>
    <w:qFormat/>
    <w:rsid w:val="000519D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9856D3"/>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856D3"/>
    <w:rPr>
      <w:rFonts w:ascii="Times New Roman" w:eastAsia="Times New Roman" w:hAnsi="Times New Roman" w:cs="Times New Roman"/>
      <w:b/>
      <w:bCs/>
      <w:kern w:val="0"/>
      <w:sz w:val="27"/>
      <w:szCs w:val="27"/>
      <w14:ligatures w14:val="none"/>
    </w:rPr>
  </w:style>
  <w:style w:type="character" w:styleId="Hyperlink">
    <w:name w:val="Hyperlink"/>
    <w:basedOn w:val="DefaultParagraphFont"/>
    <w:uiPriority w:val="99"/>
    <w:unhideWhenUsed/>
    <w:rsid w:val="009856D3"/>
    <w:rPr>
      <w:color w:val="0563C1" w:themeColor="hyperlink"/>
      <w:u w:val="single"/>
    </w:rPr>
  </w:style>
  <w:style w:type="character" w:styleId="UnresolvedMention">
    <w:name w:val="Unresolved Mention"/>
    <w:basedOn w:val="DefaultParagraphFont"/>
    <w:uiPriority w:val="99"/>
    <w:semiHidden/>
    <w:unhideWhenUsed/>
    <w:rsid w:val="009856D3"/>
    <w:rPr>
      <w:color w:val="605E5C"/>
      <w:shd w:val="clear" w:color="auto" w:fill="E1DFDD"/>
    </w:rPr>
  </w:style>
  <w:style w:type="paragraph" w:styleId="NormalWeb">
    <w:name w:val="Normal (Web)"/>
    <w:basedOn w:val="Normal"/>
    <w:uiPriority w:val="99"/>
    <w:unhideWhenUsed/>
    <w:rsid w:val="000F7D52"/>
    <w:pPr>
      <w:spacing w:before="100" w:beforeAutospacing="1" w:after="100" w:afterAutospacing="1"/>
    </w:pPr>
    <w:rPr>
      <w:szCs w:val="24"/>
    </w:rPr>
  </w:style>
  <w:style w:type="paragraph" w:styleId="ListParagraph">
    <w:name w:val="List Paragraph"/>
    <w:basedOn w:val="Normal"/>
    <w:uiPriority w:val="34"/>
    <w:qFormat/>
    <w:rsid w:val="000F7D52"/>
    <w:pPr>
      <w:ind w:left="720"/>
      <w:contextualSpacing/>
    </w:pPr>
  </w:style>
  <w:style w:type="paragraph" w:styleId="FootnoteText">
    <w:name w:val="footnote text"/>
    <w:basedOn w:val="Normal"/>
    <w:link w:val="FootnoteTextChar"/>
    <w:uiPriority w:val="99"/>
    <w:unhideWhenUsed/>
    <w:rsid w:val="00AA7383"/>
    <w:rPr>
      <w:sz w:val="20"/>
    </w:rPr>
  </w:style>
  <w:style w:type="character" w:customStyle="1" w:styleId="FootnoteTextChar">
    <w:name w:val="Footnote Text Char"/>
    <w:basedOn w:val="DefaultParagraphFont"/>
    <w:link w:val="FootnoteText"/>
    <w:uiPriority w:val="99"/>
    <w:rsid w:val="00AA7383"/>
    <w:rPr>
      <w:rFonts w:ascii="Times New Roman" w:eastAsia="Times New Roman" w:hAnsi="Times New Roman" w:cs="Times New Roman"/>
      <w:kern w:val="0"/>
      <w:sz w:val="20"/>
      <w:szCs w:val="20"/>
      <w14:ligatures w14:val="none"/>
    </w:rPr>
  </w:style>
  <w:style w:type="character" w:styleId="FootnoteReference">
    <w:name w:val="footnote reference"/>
    <w:basedOn w:val="DefaultParagraphFont"/>
    <w:uiPriority w:val="99"/>
    <w:semiHidden/>
    <w:unhideWhenUsed/>
    <w:rsid w:val="00AA7383"/>
    <w:rPr>
      <w:vertAlign w:val="superscript"/>
    </w:rPr>
  </w:style>
  <w:style w:type="character" w:customStyle="1" w:styleId="Heading1Char">
    <w:name w:val="Heading 1 Char"/>
    <w:basedOn w:val="DefaultParagraphFont"/>
    <w:link w:val="Heading1"/>
    <w:uiPriority w:val="9"/>
    <w:rsid w:val="000519D7"/>
    <w:rPr>
      <w:rFonts w:asciiTheme="majorHAnsi" w:eastAsiaTheme="majorEastAsia" w:hAnsiTheme="majorHAnsi" w:cstheme="majorBidi"/>
      <w:color w:val="2F5496" w:themeColor="accent1" w:themeShade="BF"/>
      <w:kern w:val="0"/>
      <w:sz w:val="32"/>
      <w:szCs w:val="32"/>
      <w14:ligatures w14:val="none"/>
    </w:rPr>
  </w:style>
  <w:style w:type="character" w:styleId="FollowedHyperlink">
    <w:name w:val="FollowedHyperlink"/>
    <w:basedOn w:val="DefaultParagraphFont"/>
    <w:uiPriority w:val="99"/>
    <w:semiHidden/>
    <w:unhideWhenUsed/>
    <w:rsid w:val="00F96344"/>
    <w:rPr>
      <w:color w:val="954F72" w:themeColor="followedHyperlink"/>
      <w:u w:val="single"/>
    </w:rPr>
  </w:style>
  <w:style w:type="character" w:customStyle="1" w:styleId="del">
    <w:name w:val="del"/>
    <w:basedOn w:val="DefaultParagraphFont"/>
    <w:rsid w:val="00DD5C6B"/>
  </w:style>
  <w:style w:type="paragraph" w:styleId="Header">
    <w:name w:val="header"/>
    <w:basedOn w:val="Normal"/>
    <w:link w:val="HeaderChar"/>
    <w:uiPriority w:val="99"/>
    <w:unhideWhenUsed/>
    <w:rsid w:val="00BE4726"/>
    <w:pPr>
      <w:tabs>
        <w:tab w:val="center" w:pos="4680"/>
        <w:tab w:val="right" w:pos="9360"/>
      </w:tabs>
    </w:pPr>
  </w:style>
  <w:style w:type="character" w:customStyle="1" w:styleId="HeaderChar">
    <w:name w:val="Header Char"/>
    <w:basedOn w:val="DefaultParagraphFont"/>
    <w:link w:val="Header"/>
    <w:uiPriority w:val="99"/>
    <w:rsid w:val="00BE4726"/>
    <w:rPr>
      <w:rFonts w:ascii="Times New Roman" w:eastAsia="Times New Roman" w:hAnsi="Times New Roman" w:cs="Times New Roman"/>
      <w:kern w:val="0"/>
      <w:sz w:val="24"/>
      <w:szCs w:val="20"/>
      <w14:ligatures w14:val="none"/>
    </w:rPr>
  </w:style>
  <w:style w:type="paragraph" w:styleId="Footer">
    <w:name w:val="footer"/>
    <w:basedOn w:val="Normal"/>
    <w:link w:val="FooterChar"/>
    <w:uiPriority w:val="99"/>
    <w:unhideWhenUsed/>
    <w:rsid w:val="00BE4726"/>
    <w:pPr>
      <w:tabs>
        <w:tab w:val="center" w:pos="4680"/>
        <w:tab w:val="right" w:pos="9360"/>
      </w:tabs>
    </w:pPr>
  </w:style>
  <w:style w:type="character" w:customStyle="1" w:styleId="FooterChar">
    <w:name w:val="Footer Char"/>
    <w:basedOn w:val="DefaultParagraphFont"/>
    <w:link w:val="Footer"/>
    <w:uiPriority w:val="99"/>
    <w:rsid w:val="00BE4726"/>
    <w:rPr>
      <w:rFonts w:ascii="Times New Roman" w:eastAsia="Times New Roman" w:hAnsi="Times New Roman" w:cs="Times New Roman"/>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6974679">
      <w:bodyDiv w:val="1"/>
      <w:marLeft w:val="0"/>
      <w:marRight w:val="0"/>
      <w:marTop w:val="0"/>
      <w:marBottom w:val="0"/>
      <w:divBdr>
        <w:top w:val="none" w:sz="0" w:space="0" w:color="auto"/>
        <w:left w:val="none" w:sz="0" w:space="0" w:color="auto"/>
        <w:bottom w:val="none" w:sz="0" w:space="0" w:color="auto"/>
        <w:right w:val="none" w:sz="0" w:space="0" w:color="auto"/>
      </w:divBdr>
    </w:div>
    <w:div w:id="364720578">
      <w:bodyDiv w:val="1"/>
      <w:marLeft w:val="0"/>
      <w:marRight w:val="0"/>
      <w:marTop w:val="0"/>
      <w:marBottom w:val="0"/>
      <w:divBdr>
        <w:top w:val="none" w:sz="0" w:space="0" w:color="auto"/>
        <w:left w:val="none" w:sz="0" w:space="0" w:color="auto"/>
        <w:bottom w:val="none" w:sz="0" w:space="0" w:color="auto"/>
        <w:right w:val="none" w:sz="0" w:space="0" w:color="auto"/>
      </w:divBdr>
    </w:div>
    <w:div w:id="484469056">
      <w:bodyDiv w:val="1"/>
      <w:marLeft w:val="0"/>
      <w:marRight w:val="0"/>
      <w:marTop w:val="0"/>
      <w:marBottom w:val="0"/>
      <w:divBdr>
        <w:top w:val="none" w:sz="0" w:space="0" w:color="auto"/>
        <w:left w:val="none" w:sz="0" w:space="0" w:color="auto"/>
        <w:bottom w:val="none" w:sz="0" w:space="0" w:color="auto"/>
        <w:right w:val="none" w:sz="0" w:space="0" w:color="auto"/>
      </w:divBdr>
    </w:div>
    <w:div w:id="860973080">
      <w:bodyDiv w:val="1"/>
      <w:marLeft w:val="0"/>
      <w:marRight w:val="0"/>
      <w:marTop w:val="0"/>
      <w:marBottom w:val="0"/>
      <w:divBdr>
        <w:top w:val="none" w:sz="0" w:space="0" w:color="auto"/>
        <w:left w:val="none" w:sz="0" w:space="0" w:color="auto"/>
        <w:bottom w:val="none" w:sz="0" w:space="0" w:color="auto"/>
        <w:right w:val="none" w:sz="0" w:space="0" w:color="auto"/>
      </w:divBdr>
    </w:div>
    <w:div w:id="2044750345">
      <w:bodyDiv w:val="1"/>
      <w:marLeft w:val="0"/>
      <w:marRight w:val="0"/>
      <w:marTop w:val="0"/>
      <w:marBottom w:val="0"/>
      <w:divBdr>
        <w:top w:val="none" w:sz="0" w:space="0" w:color="auto"/>
        <w:left w:val="none" w:sz="0" w:space="0" w:color="auto"/>
        <w:bottom w:val="none" w:sz="0" w:space="0" w:color="auto"/>
        <w:right w:val="none" w:sz="0" w:space="0" w:color="auto"/>
      </w:divBdr>
    </w:div>
    <w:div w:id="205654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scholar_case?case=11141531080270826549&amp;hl=en&amp;as_sdt=6,24" TargetMode="External"/><Relationship Id="rId13" Type="http://schemas.openxmlformats.org/officeDocument/2006/relationships/hyperlink" Target="https://www.google.com/books/edition/The_Northwestern_Reporter/ph8ZAiFaMHEC?hl=en&amp;gbpv=1&amp;dq=Barber+Morris+1887+court+minnesota+%22july+8%22&amp;pg=PA559&amp;printsec=frontcover" TargetMode="External"/><Relationship Id="rId18" Type="http://schemas.openxmlformats.org/officeDocument/2006/relationships/hyperlink" Target="https://scholar.google.com/scholar_case?case=15029502805854969531&amp;q=ram+insurance&amp;hl=en&amp;as_sdt=4,24"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revisor.mn.gov/statutes/1905/cite/77/pdf" TargetMode="External"/><Relationship Id="rId17" Type="http://schemas.openxmlformats.org/officeDocument/2006/relationships/hyperlink" Target="https://scholar.google.com/scholar_case?case=17766173628259015259&amp;q=ram+insurance&amp;hl=en&amp;as_sdt=4,24" TargetMode="External"/><Relationship Id="rId2" Type="http://schemas.openxmlformats.org/officeDocument/2006/relationships/numbering" Target="numbering.xml"/><Relationship Id="rId16" Type="http://schemas.openxmlformats.org/officeDocument/2006/relationships/hyperlink" Target="https://mnsenate.granicus.com/player/clip/10317?view_id=1&amp;redirect=true&amp;h=9c41284fd8ad28a8d362b864ebfe7af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holar.google.com/scholar_case?case=7995007659523373036&amp;hl=en&amp;as_sdt=6,24" TargetMode="External"/><Relationship Id="rId5" Type="http://schemas.openxmlformats.org/officeDocument/2006/relationships/webSettings" Target="webSettings.xml"/><Relationship Id="rId15" Type="http://schemas.openxmlformats.org/officeDocument/2006/relationships/hyperlink" Target="https://www.revisor.mn.gov/laws/2023/0/52/laws.19.106.0" TargetMode="External"/><Relationship Id="rId10" Type="http://schemas.openxmlformats.org/officeDocument/2006/relationships/hyperlink" Target="https://birnberglegalwebsite.files.wordpress.com/2023/10/royston-appendix-1.pdf"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cholar.google.com/scholar_case?case=4155075993418056986&amp;hl=en&amp;as_sdt=6,24" TargetMode="External"/><Relationship Id="rId14" Type="http://schemas.openxmlformats.org/officeDocument/2006/relationships/hyperlink" Target="https://www.google.com/books/edition/Minnesota_Reports/xssUAAAAYAAJ?hl=en&amp;gbpv=1&amp;dq=Barber+Morris+1887+court+minnesota&amp;pg=PA506&amp;printsec=frontcover"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google.com/books/edition/Minnesota_Reports/X2MtAQAAMAAJ?hl=en&amp;gbpv=1&amp;dq=easton+childs+minnesota+court+1897&amp;pg=PA242&amp;printsec=frontcover" TargetMode="External"/><Relationship Id="rId13" Type="http://schemas.openxmlformats.org/officeDocument/2006/relationships/hyperlink" Target="https://www.google.com/books/edition/Minnesota_Reports/X2MtAQAAMAAJ?hl=en&amp;gbpv=1&amp;dq=easton+childs+minnesota+court+1897&amp;pg=PA242&amp;printsec=frontcover" TargetMode="External"/><Relationship Id="rId18" Type="http://schemas.openxmlformats.org/officeDocument/2006/relationships/hyperlink" Target="https://mn.gov/law-library-stat/archive/ctapun/0007/36.htm" TargetMode="External"/><Relationship Id="rId3" Type="http://schemas.openxmlformats.org/officeDocument/2006/relationships/hyperlink" Target="https://nebraskalegislature.gov/laws/statutes.php?statute=25-505.01" TargetMode="External"/><Relationship Id="rId7" Type="http://schemas.openxmlformats.org/officeDocument/2006/relationships/hyperlink" Target="https://birnberglegalwebsite.files.wordpress.com/2023/10/royston-appendix-1.pdf" TargetMode="External"/><Relationship Id="rId12" Type="http://schemas.openxmlformats.org/officeDocument/2006/relationships/hyperlink" Target="https://www.revisor.mn.gov/statutes/1905/cite/77/pdf" TargetMode="External"/><Relationship Id="rId17" Type="http://schemas.openxmlformats.org/officeDocument/2006/relationships/hyperlink" Target="https://www.lrl.mn.gov/media/" TargetMode="External"/><Relationship Id="rId2" Type="http://schemas.openxmlformats.org/officeDocument/2006/relationships/hyperlink" Target="https://birnberglegalwebsite.files.wordpress.com/2023/10/royston-appendix-1.pdf" TargetMode="External"/><Relationship Id="rId16" Type="http://schemas.openxmlformats.org/officeDocument/2006/relationships/hyperlink" Target="https://www.revisor.mn.gov/laws/2023/0/52/laws.19.106.0" TargetMode="External"/><Relationship Id="rId1" Type="http://schemas.openxmlformats.org/officeDocument/2006/relationships/hyperlink" Target="https://birnberglegalwebsite.files.wordpress.com/2023/10/royston-appendix-1.pdf" TargetMode="External"/><Relationship Id="rId6" Type="http://schemas.openxmlformats.org/officeDocument/2006/relationships/hyperlink" Target="https://birnberglegalwebsite.files.wordpress.com/2023/10/royston-appendix-1.pdf" TargetMode="External"/><Relationship Id="rId11" Type="http://schemas.openxmlformats.org/officeDocument/2006/relationships/hyperlink" Target="https://birnberglegalwebsite.files.wordpress.com/2023/10/royston-appendix-2.pdf" TargetMode="External"/><Relationship Id="rId5" Type="http://schemas.openxmlformats.org/officeDocument/2006/relationships/hyperlink" Target="https://birnberglegalwebsite.files.wordpress.com/2023/10/royston-appendix-1.pdf" TargetMode="External"/><Relationship Id="rId15" Type="http://schemas.openxmlformats.org/officeDocument/2006/relationships/hyperlink" Target="https://www.google.com/books/edition/Minnesota_reports/dEZPAQAAIAAJ?hl=en&amp;gbpv=1&amp;dq=Stroschein+minnesota+court&amp;pg=PA554&amp;printsec=frontcover" TargetMode="External"/><Relationship Id="rId10" Type="http://schemas.openxmlformats.org/officeDocument/2006/relationships/hyperlink" Target="https://scholar.google.com/scholar_case?case=13195388755710182829&amp;q=headnotes&amp;hl=en&amp;as_sdt=4,24" TargetMode="External"/><Relationship Id="rId19" Type="http://schemas.openxmlformats.org/officeDocument/2006/relationships/hyperlink" Target="https://www.revisor.mn.gov/laws/?id=136&amp;year=2005&amp;type=0" TargetMode="External"/><Relationship Id="rId4" Type="http://schemas.openxmlformats.org/officeDocument/2006/relationships/hyperlink" Target="https://birnberglegalwebsite.files.wordpress.com/2023/10/royston-appendix-1.pdf" TargetMode="External"/><Relationship Id="rId9" Type="http://schemas.openxmlformats.org/officeDocument/2006/relationships/hyperlink" Target="https://birnberglegalwebsite.files.wordpress.com/2023/10/royston-appendix-2.pdf" TargetMode="External"/><Relationship Id="rId14" Type="http://schemas.openxmlformats.org/officeDocument/2006/relationships/hyperlink" Target="https://www.revisor.mn.gov/statutes/cite/645.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08FE3C-757B-47C8-9801-0E7295121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16</Pages>
  <Words>4375</Words>
  <Characters>24940</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2023-10-17T15:16:00Z</dcterms:created>
  <dcterms:modified xsi:type="dcterms:W3CDTF">2023-10-18T15:21:00Z</dcterms:modified>
</cp:coreProperties>
</file>