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979AD9" w14:textId="77777777" w:rsidR="002F0F33" w:rsidRPr="00247C0A" w:rsidRDefault="002F0F33" w:rsidP="005F496C">
      <w:pPr>
        <w:jc w:val="center"/>
        <w:rPr>
          <w:rFonts w:ascii="Times New Roman" w:hAnsi="Times New Roman" w:cs="Times New Roman"/>
          <w:b/>
          <w:smallCaps/>
          <w:sz w:val="28"/>
          <w:szCs w:val="28"/>
          <w:u w:val="single"/>
        </w:rPr>
      </w:pPr>
      <w:r w:rsidRPr="00247C0A">
        <w:rPr>
          <w:rFonts w:ascii="Times New Roman" w:hAnsi="Times New Roman" w:cs="Times New Roman"/>
          <w:b/>
          <w:smallCaps/>
          <w:sz w:val="28"/>
          <w:szCs w:val="28"/>
          <w:u w:val="single"/>
        </w:rPr>
        <w:t>Introduction</w:t>
      </w:r>
    </w:p>
    <w:p w14:paraId="7E1C4D4C" w14:textId="77777777" w:rsidR="00AF222E" w:rsidRPr="00247C0A" w:rsidRDefault="00C5526E">
      <w:pPr>
        <w:rPr>
          <w:rFonts w:ascii="Times New Roman" w:hAnsi="Times New Roman" w:cs="Times New Roman"/>
          <w:sz w:val="28"/>
          <w:szCs w:val="28"/>
        </w:rPr>
      </w:pPr>
      <w:r w:rsidRPr="00247C0A">
        <w:rPr>
          <w:rFonts w:ascii="Times New Roman" w:hAnsi="Times New Roman" w:cs="Times New Roman"/>
          <w:sz w:val="28"/>
          <w:szCs w:val="28"/>
        </w:rPr>
        <w:t xml:space="preserve">Security deposits paid by commercial tenants are governed by common law, primarily contract law. In contrast, deposits paid by residential tenants are largely governed </w:t>
      </w:r>
      <w:r w:rsidR="00BF7157" w:rsidRPr="00247C0A">
        <w:rPr>
          <w:rFonts w:ascii="Times New Roman" w:hAnsi="Times New Roman" w:cs="Times New Roman"/>
          <w:sz w:val="28"/>
          <w:szCs w:val="28"/>
        </w:rPr>
        <w:t xml:space="preserve">by Minn. Stat. § 504B.178. </w:t>
      </w:r>
      <w:r w:rsidRPr="00247C0A">
        <w:rPr>
          <w:rFonts w:ascii="Times New Roman" w:hAnsi="Times New Roman" w:cs="Times New Roman"/>
          <w:sz w:val="28"/>
          <w:szCs w:val="28"/>
        </w:rPr>
        <w:t xml:space="preserve"> </w:t>
      </w:r>
      <w:hyperlink r:id="rId8" w:history="1">
        <w:r w:rsidR="00BF7157" w:rsidRPr="00247C0A">
          <w:rPr>
            <w:rStyle w:val="Hyperlink"/>
            <w:rFonts w:ascii="Times New Roman" w:hAnsi="Times New Roman" w:cs="Times New Roman"/>
            <w:i/>
            <w:iCs/>
            <w:sz w:val="28"/>
            <w:szCs w:val="28"/>
          </w:rPr>
          <w:t>State v. Larson,</w:t>
        </w:r>
        <w:r w:rsidR="00BF7157" w:rsidRPr="00247C0A">
          <w:rPr>
            <w:rStyle w:val="Hyperlink"/>
            <w:rFonts w:ascii="Times New Roman" w:hAnsi="Times New Roman" w:cs="Times New Roman"/>
            <w:sz w:val="28"/>
            <w:szCs w:val="28"/>
          </w:rPr>
          <w:t xml:space="preserve"> 605 N.W.2d 706, 712-13 (Minn.2000)</w:t>
        </w:r>
      </w:hyperlink>
      <w:r w:rsidRPr="00247C0A">
        <w:rPr>
          <w:rFonts w:ascii="Times New Roman" w:hAnsi="Times New Roman" w:cs="Times New Roman"/>
          <w:sz w:val="28"/>
          <w:szCs w:val="28"/>
        </w:rPr>
        <w:t>. This essay is only about residential tenancies.</w:t>
      </w:r>
    </w:p>
    <w:p w14:paraId="1ECE4DFA" w14:textId="77777777" w:rsidR="00BB24D8" w:rsidRPr="00247C0A" w:rsidRDefault="00000000">
      <w:pPr>
        <w:rPr>
          <w:rFonts w:ascii="Times New Roman" w:hAnsi="Times New Roman" w:cs="Times New Roman"/>
          <w:sz w:val="28"/>
          <w:szCs w:val="28"/>
        </w:rPr>
      </w:pPr>
      <w:hyperlink r:id="rId9" w:history="1">
        <w:r w:rsidR="00BF7157" w:rsidRPr="00247C0A">
          <w:rPr>
            <w:rStyle w:val="Hyperlink"/>
            <w:rFonts w:ascii="Times New Roman" w:hAnsi="Times New Roman" w:cs="Times New Roman"/>
            <w:sz w:val="28"/>
            <w:szCs w:val="28"/>
          </w:rPr>
          <w:t>Minn. Stat. § 504B.178</w:t>
        </w:r>
      </w:hyperlink>
      <w:r w:rsidR="00BF7157" w:rsidRPr="00247C0A">
        <w:rPr>
          <w:rFonts w:ascii="Times New Roman" w:hAnsi="Times New Roman" w:cs="Times New Roman"/>
          <w:sz w:val="28"/>
          <w:szCs w:val="28"/>
        </w:rPr>
        <w:t xml:space="preserve"> w</w:t>
      </w:r>
      <w:r w:rsidR="00BB24D8" w:rsidRPr="00247C0A">
        <w:rPr>
          <w:rFonts w:ascii="Times New Roman" w:hAnsi="Times New Roman" w:cs="Times New Roman"/>
          <w:sz w:val="28"/>
          <w:szCs w:val="28"/>
        </w:rPr>
        <w:t>as originally enacted in 1973</w:t>
      </w:r>
      <w:r w:rsidR="002F0F33" w:rsidRPr="00247C0A">
        <w:rPr>
          <w:rFonts w:ascii="Times New Roman" w:hAnsi="Times New Roman" w:cs="Times New Roman"/>
          <w:sz w:val="28"/>
          <w:szCs w:val="28"/>
        </w:rPr>
        <w:t xml:space="preserve"> as </w:t>
      </w:r>
      <w:hyperlink r:id="rId10" w:history="1">
        <w:r w:rsidR="002F0F33" w:rsidRPr="00247C0A">
          <w:rPr>
            <w:rStyle w:val="Hyperlink"/>
            <w:rFonts w:ascii="Times New Roman" w:hAnsi="Times New Roman" w:cs="Times New Roman"/>
            <w:sz w:val="28"/>
            <w:szCs w:val="28"/>
          </w:rPr>
          <w:t xml:space="preserve">1973 Minn. Laws. </w:t>
        </w:r>
        <w:r w:rsidR="001815EE" w:rsidRPr="00247C0A">
          <w:rPr>
            <w:rStyle w:val="Hyperlink"/>
            <w:rFonts w:ascii="Times New Roman" w:hAnsi="Times New Roman" w:cs="Times New Roman"/>
            <w:sz w:val="28"/>
            <w:szCs w:val="28"/>
          </w:rPr>
          <w:t xml:space="preserve">c </w:t>
        </w:r>
        <w:r w:rsidR="002F0F33" w:rsidRPr="00247C0A">
          <w:rPr>
            <w:rStyle w:val="Hyperlink"/>
            <w:rFonts w:ascii="Times New Roman" w:hAnsi="Times New Roman" w:cs="Times New Roman"/>
            <w:sz w:val="28"/>
            <w:szCs w:val="28"/>
          </w:rPr>
          <w:t>561</w:t>
        </w:r>
      </w:hyperlink>
      <w:r w:rsidR="00BB24D8" w:rsidRPr="00247C0A">
        <w:rPr>
          <w:rFonts w:ascii="Times New Roman" w:hAnsi="Times New Roman" w:cs="Times New Roman"/>
          <w:sz w:val="28"/>
          <w:szCs w:val="28"/>
        </w:rPr>
        <w:t>. It has be</w:t>
      </w:r>
      <w:r w:rsidR="002F0F33" w:rsidRPr="00247C0A">
        <w:rPr>
          <w:rFonts w:ascii="Times New Roman" w:hAnsi="Times New Roman" w:cs="Times New Roman"/>
          <w:sz w:val="28"/>
          <w:szCs w:val="28"/>
        </w:rPr>
        <w:t>en</w:t>
      </w:r>
      <w:r w:rsidR="00BB24D8" w:rsidRPr="00247C0A">
        <w:rPr>
          <w:rFonts w:ascii="Times New Roman" w:hAnsi="Times New Roman" w:cs="Times New Roman"/>
          <w:sz w:val="28"/>
          <w:szCs w:val="28"/>
        </w:rPr>
        <w:t xml:space="preserve"> amended over time but its basic structure </w:t>
      </w:r>
      <w:r w:rsidR="00050961" w:rsidRPr="00247C0A">
        <w:rPr>
          <w:rFonts w:ascii="Times New Roman" w:hAnsi="Times New Roman" w:cs="Times New Roman"/>
          <w:sz w:val="28"/>
          <w:szCs w:val="28"/>
        </w:rPr>
        <w:t>remains</w:t>
      </w:r>
      <w:r w:rsidR="00BB24D8" w:rsidRPr="00247C0A">
        <w:rPr>
          <w:rFonts w:ascii="Times New Roman" w:hAnsi="Times New Roman" w:cs="Times New Roman"/>
          <w:sz w:val="28"/>
          <w:szCs w:val="28"/>
        </w:rPr>
        <w:t xml:space="preserve"> intact. </w:t>
      </w:r>
      <w:r w:rsidR="002F0F33" w:rsidRPr="00247C0A">
        <w:rPr>
          <w:rFonts w:ascii="Times New Roman" w:hAnsi="Times New Roman" w:cs="Times New Roman"/>
          <w:sz w:val="28"/>
          <w:szCs w:val="28"/>
        </w:rPr>
        <w:t xml:space="preserve">Copies of the original law and </w:t>
      </w:r>
      <w:r w:rsidR="00682939" w:rsidRPr="00247C0A">
        <w:rPr>
          <w:rFonts w:ascii="Times New Roman" w:hAnsi="Times New Roman" w:cs="Times New Roman"/>
          <w:sz w:val="28"/>
          <w:szCs w:val="28"/>
        </w:rPr>
        <w:t xml:space="preserve">of </w:t>
      </w:r>
      <w:r w:rsidR="002F0F33" w:rsidRPr="00247C0A">
        <w:rPr>
          <w:rFonts w:ascii="Times New Roman" w:hAnsi="Times New Roman" w:cs="Times New Roman"/>
          <w:sz w:val="28"/>
          <w:szCs w:val="28"/>
        </w:rPr>
        <w:t>each amending law are availabl</w:t>
      </w:r>
      <w:r w:rsidR="00CC06F4" w:rsidRPr="00247C0A">
        <w:rPr>
          <w:rFonts w:ascii="Times New Roman" w:hAnsi="Times New Roman" w:cs="Times New Roman"/>
          <w:sz w:val="28"/>
          <w:szCs w:val="28"/>
        </w:rPr>
        <w:t>e on HOME Line’s websit</w:t>
      </w:r>
      <w:r w:rsidR="000B355A" w:rsidRPr="00247C0A">
        <w:rPr>
          <w:rFonts w:ascii="Times New Roman" w:hAnsi="Times New Roman" w:cs="Times New Roman"/>
          <w:sz w:val="28"/>
          <w:szCs w:val="28"/>
        </w:rPr>
        <w:t>e.</w:t>
      </w:r>
      <w:r w:rsidR="00682939" w:rsidRPr="00247C0A">
        <w:rPr>
          <w:rStyle w:val="FootnoteReference"/>
          <w:rFonts w:ascii="Times New Roman" w:hAnsi="Times New Roman" w:cs="Times New Roman"/>
          <w:sz w:val="28"/>
          <w:szCs w:val="28"/>
        </w:rPr>
        <w:footnoteReference w:id="1"/>
      </w:r>
      <w:r w:rsidR="00682939" w:rsidRPr="00247C0A">
        <w:rPr>
          <w:rFonts w:ascii="Times New Roman" w:hAnsi="Times New Roman" w:cs="Times New Roman"/>
          <w:sz w:val="28"/>
          <w:szCs w:val="28"/>
        </w:rPr>
        <w:t xml:space="preserve"> Until 1999, it was codified as Minn. Stat. § 504.20.</w:t>
      </w:r>
      <w:r w:rsidR="00CC06F4" w:rsidRPr="00247C0A">
        <w:rPr>
          <w:rFonts w:ascii="Times New Roman" w:hAnsi="Times New Roman" w:cs="Times New Roman"/>
          <w:sz w:val="28"/>
          <w:szCs w:val="28"/>
        </w:rPr>
        <w:t xml:space="preserve"> </w:t>
      </w:r>
    </w:p>
    <w:p w14:paraId="6B9242EA" w14:textId="77777777" w:rsidR="00C5526E" w:rsidRPr="00247C0A" w:rsidRDefault="00047A8C">
      <w:pPr>
        <w:rPr>
          <w:rFonts w:ascii="Times New Roman" w:hAnsi="Times New Roman" w:cs="Times New Roman"/>
          <w:sz w:val="28"/>
          <w:szCs w:val="28"/>
        </w:rPr>
      </w:pPr>
      <w:r w:rsidRPr="00247C0A">
        <w:rPr>
          <w:rFonts w:ascii="Times New Roman" w:hAnsi="Times New Roman" w:cs="Times New Roman"/>
          <w:sz w:val="28"/>
          <w:szCs w:val="28"/>
        </w:rPr>
        <w:t xml:space="preserve">This essay discusses </w:t>
      </w:r>
      <w:r w:rsidR="000B355A" w:rsidRPr="00247C0A">
        <w:rPr>
          <w:rFonts w:ascii="Times New Roman" w:hAnsi="Times New Roman" w:cs="Times New Roman"/>
          <w:sz w:val="28"/>
          <w:szCs w:val="28"/>
        </w:rPr>
        <w:t xml:space="preserve">Minn. Stat. § </w:t>
      </w:r>
      <w:r w:rsidRPr="00247C0A">
        <w:rPr>
          <w:rFonts w:ascii="Times New Roman" w:hAnsi="Times New Roman" w:cs="Times New Roman"/>
          <w:sz w:val="28"/>
          <w:szCs w:val="28"/>
        </w:rPr>
        <w:t>504B.178 in detail</w:t>
      </w:r>
      <w:r w:rsidR="000B355A" w:rsidRPr="00247C0A">
        <w:rPr>
          <w:rFonts w:ascii="Times New Roman" w:hAnsi="Times New Roman" w:cs="Times New Roman"/>
          <w:sz w:val="28"/>
          <w:szCs w:val="28"/>
        </w:rPr>
        <w:t>. F</w:t>
      </w:r>
      <w:r w:rsidRPr="00247C0A">
        <w:rPr>
          <w:rFonts w:ascii="Times New Roman" w:hAnsi="Times New Roman" w:cs="Times New Roman"/>
          <w:sz w:val="28"/>
          <w:szCs w:val="28"/>
        </w:rPr>
        <w:t xml:space="preserve">or the most part </w:t>
      </w:r>
      <w:r w:rsidR="000B355A" w:rsidRPr="00247C0A">
        <w:rPr>
          <w:rFonts w:ascii="Times New Roman" w:hAnsi="Times New Roman" w:cs="Times New Roman"/>
          <w:sz w:val="28"/>
          <w:szCs w:val="28"/>
        </w:rPr>
        <w:t>the essay discusses</w:t>
      </w:r>
      <w:r w:rsidRPr="00247C0A">
        <w:rPr>
          <w:rFonts w:ascii="Times New Roman" w:hAnsi="Times New Roman" w:cs="Times New Roman"/>
          <w:sz w:val="28"/>
          <w:szCs w:val="28"/>
        </w:rPr>
        <w:t xml:space="preserve"> the subdivisions in the same order as in the statute. The end of the essay discusses some related issues.</w:t>
      </w:r>
    </w:p>
    <w:p w14:paraId="651DF5B4" w14:textId="77777777" w:rsidR="00800472" w:rsidRPr="00247C0A" w:rsidRDefault="00800472" w:rsidP="00800472">
      <w:pPr>
        <w:jc w:val="center"/>
        <w:rPr>
          <w:rFonts w:ascii="Times New Roman" w:hAnsi="Times New Roman" w:cs="Times New Roman"/>
          <w:b/>
          <w:smallCaps/>
          <w:sz w:val="28"/>
          <w:szCs w:val="28"/>
          <w:u w:val="single"/>
        </w:rPr>
      </w:pPr>
      <w:r w:rsidRPr="00247C0A">
        <w:rPr>
          <w:rFonts w:ascii="Times New Roman" w:hAnsi="Times New Roman" w:cs="Times New Roman"/>
          <w:b/>
          <w:smallCaps/>
          <w:sz w:val="28"/>
          <w:szCs w:val="28"/>
          <w:u w:val="single"/>
        </w:rPr>
        <w:t>Subdivision-by-subdivision discussion</w:t>
      </w:r>
    </w:p>
    <w:p w14:paraId="4967ED68" w14:textId="77777777" w:rsidR="003B4B2D" w:rsidRPr="00247C0A" w:rsidRDefault="003B4B2D">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Subdivisions 1 and 10</w:t>
      </w:r>
    </w:p>
    <w:p w14:paraId="330B81A7" w14:textId="77777777" w:rsidR="003B4B2D" w:rsidRPr="00247C0A" w:rsidRDefault="003B4B2D">
      <w:pPr>
        <w:rPr>
          <w:rFonts w:ascii="Times New Roman" w:hAnsi="Times New Roman" w:cs="Times New Roman"/>
          <w:sz w:val="28"/>
          <w:szCs w:val="28"/>
        </w:rPr>
      </w:pPr>
      <w:r w:rsidRPr="00247C0A">
        <w:rPr>
          <w:rFonts w:ascii="Times New Roman" w:hAnsi="Times New Roman" w:cs="Times New Roman"/>
          <w:sz w:val="28"/>
          <w:szCs w:val="28"/>
        </w:rPr>
        <w:t>Subdivision 1 is essentially a definition of “security deposit”. It reads in its entirety:</w:t>
      </w:r>
    </w:p>
    <w:p w14:paraId="5B79B976" w14:textId="77777777" w:rsidR="003B4B2D" w:rsidRPr="00247C0A" w:rsidRDefault="003B4B2D" w:rsidP="003B4B2D">
      <w:pPr>
        <w:spacing w:before="100" w:beforeAutospacing="1" w:after="100" w:afterAutospacing="1" w:line="240" w:lineRule="auto"/>
        <w:ind w:left="720"/>
        <w:outlineLvl w:val="1"/>
        <w:rPr>
          <w:rFonts w:ascii="Times New Roman" w:eastAsia="Times New Roman" w:hAnsi="Times New Roman" w:cs="Times New Roman"/>
          <w:sz w:val="28"/>
          <w:szCs w:val="28"/>
        </w:rPr>
      </w:pPr>
      <w:r w:rsidRPr="00247C0A">
        <w:rPr>
          <w:rFonts w:ascii="Times New Roman" w:eastAsia="Times New Roman" w:hAnsi="Times New Roman" w:cs="Times New Roman"/>
          <w:bCs/>
          <w:sz w:val="28"/>
          <w:szCs w:val="28"/>
        </w:rPr>
        <w:t>Subdivision 1.</w:t>
      </w:r>
      <w:r w:rsidRPr="00247C0A">
        <w:rPr>
          <w:rFonts w:ascii="Times New Roman" w:eastAsia="Times New Roman" w:hAnsi="Times New Roman" w:cs="Times New Roman"/>
          <w:b/>
          <w:bCs/>
          <w:sz w:val="28"/>
          <w:szCs w:val="28"/>
        </w:rPr>
        <w:t xml:space="preserve"> Applicability. </w:t>
      </w:r>
      <w:r w:rsidRPr="00247C0A">
        <w:rPr>
          <w:rFonts w:ascii="Times New Roman" w:eastAsia="Times New Roman" w:hAnsi="Times New Roman" w:cs="Times New Roman"/>
          <w:sz w:val="28"/>
          <w:szCs w:val="28"/>
        </w:rPr>
        <w:t>Any deposit of money, the function of which is to secure the performance of a residential rental agreement or any part of such an agreement, other than a deposit which is exclusively an advance payment of rent, shall be governed by the provisions of this section.</w:t>
      </w:r>
    </w:p>
    <w:p w14:paraId="67CCBCE1" w14:textId="77777777" w:rsidR="003B4B2D" w:rsidRPr="00247C0A" w:rsidRDefault="003B4B2D" w:rsidP="003B4B2D">
      <w:pPr>
        <w:spacing w:before="100" w:beforeAutospacing="1" w:after="100" w:afterAutospacing="1" w:line="240" w:lineRule="auto"/>
        <w:outlineLvl w:val="1"/>
        <w:rPr>
          <w:rFonts w:ascii="Times New Roman" w:hAnsi="Times New Roman" w:cs="Times New Roman"/>
          <w:sz w:val="28"/>
          <w:szCs w:val="28"/>
        </w:rPr>
      </w:pPr>
      <w:r w:rsidRPr="00247C0A">
        <w:rPr>
          <w:rFonts w:ascii="Times New Roman" w:eastAsia="Times New Roman" w:hAnsi="Times New Roman" w:cs="Times New Roman"/>
          <w:sz w:val="28"/>
          <w:szCs w:val="28"/>
        </w:rPr>
        <w:t>Subdivision 10 says that any “</w:t>
      </w:r>
      <w:r w:rsidRPr="00247C0A">
        <w:rPr>
          <w:rFonts w:ascii="Times New Roman" w:hAnsi="Times New Roman" w:cs="Times New Roman"/>
          <w:sz w:val="28"/>
          <w:szCs w:val="28"/>
        </w:rPr>
        <w:t xml:space="preserve">Any attempted waiver of this section by a landlord and tenant, by contract or otherwise, shall be void and unenforceable.” Putting these provisions together, along with the extensive nature of the statute, regardless </w:t>
      </w:r>
      <w:r w:rsidR="00DB09D6" w:rsidRPr="00247C0A">
        <w:rPr>
          <w:rFonts w:ascii="Times New Roman" w:hAnsi="Times New Roman" w:cs="Times New Roman"/>
          <w:sz w:val="28"/>
          <w:szCs w:val="28"/>
        </w:rPr>
        <w:t xml:space="preserve">of </w:t>
      </w:r>
      <w:r w:rsidRPr="00247C0A">
        <w:rPr>
          <w:rFonts w:ascii="Times New Roman" w:hAnsi="Times New Roman" w:cs="Times New Roman"/>
          <w:sz w:val="28"/>
          <w:szCs w:val="28"/>
        </w:rPr>
        <w:t>the residential landl</w:t>
      </w:r>
      <w:r w:rsidR="00DB09D6" w:rsidRPr="00247C0A">
        <w:rPr>
          <w:rFonts w:ascii="Times New Roman" w:hAnsi="Times New Roman" w:cs="Times New Roman"/>
          <w:sz w:val="28"/>
          <w:szCs w:val="28"/>
        </w:rPr>
        <w:t>ord</w:t>
      </w:r>
      <w:r w:rsidR="00AC4DFD" w:rsidRPr="00247C0A">
        <w:rPr>
          <w:rFonts w:ascii="Times New Roman" w:hAnsi="Times New Roman" w:cs="Times New Roman"/>
          <w:sz w:val="28"/>
          <w:szCs w:val="28"/>
        </w:rPr>
        <w:t>’s</w:t>
      </w:r>
      <w:r w:rsidR="00DB09D6" w:rsidRPr="00247C0A">
        <w:rPr>
          <w:rFonts w:ascii="Times New Roman" w:hAnsi="Times New Roman" w:cs="Times New Roman"/>
          <w:sz w:val="28"/>
          <w:szCs w:val="28"/>
        </w:rPr>
        <w:t xml:space="preserve"> or tenant</w:t>
      </w:r>
      <w:r w:rsidR="00AC4DFD" w:rsidRPr="00247C0A">
        <w:rPr>
          <w:rFonts w:ascii="Times New Roman" w:hAnsi="Times New Roman" w:cs="Times New Roman"/>
          <w:sz w:val="28"/>
          <w:szCs w:val="28"/>
        </w:rPr>
        <w:t>’s</w:t>
      </w:r>
      <w:r w:rsidR="00DB09D6" w:rsidRPr="00247C0A">
        <w:rPr>
          <w:rFonts w:ascii="Times New Roman" w:hAnsi="Times New Roman" w:cs="Times New Roman"/>
          <w:sz w:val="28"/>
          <w:szCs w:val="28"/>
        </w:rPr>
        <w:t xml:space="preserve"> desires </w:t>
      </w:r>
      <w:r w:rsidRPr="00247C0A">
        <w:rPr>
          <w:rFonts w:ascii="Times New Roman" w:hAnsi="Times New Roman" w:cs="Times New Roman"/>
          <w:sz w:val="28"/>
          <w:szCs w:val="28"/>
        </w:rPr>
        <w:t>the statute will provide the rule</w:t>
      </w:r>
      <w:r w:rsidR="005C7597" w:rsidRPr="00247C0A">
        <w:rPr>
          <w:rFonts w:ascii="Times New Roman" w:hAnsi="Times New Roman" w:cs="Times New Roman"/>
          <w:sz w:val="28"/>
          <w:szCs w:val="28"/>
        </w:rPr>
        <w:t xml:space="preserve"> of law for a “security deposit</w:t>
      </w:r>
      <w:r w:rsidRPr="00247C0A">
        <w:rPr>
          <w:rFonts w:ascii="Times New Roman" w:hAnsi="Times New Roman" w:cs="Times New Roman"/>
          <w:sz w:val="28"/>
          <w:szCs w:val="28"/>
        </w:rPr>
        <w:t>”</w:t>
      </w:r>
      <w:r w:rsidR="005C7597" w:rsidRPr="00247C0A">
        <w:rPr>
          <w:rFonts w:ascii="Times New Roman" w:hAnsi="Times New Roman" w:cs="Times New Roman"/>
          <w:sz w:val="28"/>
          <w:szCs w:val="28"/>
        </w:rPr>
        <w:t xml:space="preserve"> in virtually all situations.</w:t>
      </w:r>
      <w:r w:rsidR="00E346E2" w:rsidRPr="00247C0A">
        <w:rPr>
          <w:rStyle w:val="FootnoteReference"/>
          <w:rFonts w:ascii="Times New Roman" w:hAnsi="Times New Roman" w:cs="Times New Roman"/>
          <w:sz w:val="28"/>
          <w:szCs w:val="28"/>
        </w:rPr>
        <w:footnoteReference w:id="2"/>
      </w:r>
    </w:p>
    <w:p w14:paraId="3476FBD9" w14:textId="77777777" w:rsidR="00B45617" w:rsidRPr="00247C0A" w:rsidRDefault="00B45617" w:rsidP="00B45617">
      <w:pPr>
        <w:rPr>
          <w:rFonts w:ascii="Times New Roman" w:hAnsi="Times New Roman" w:cs="Times New Roman"/>
          <w:sz w:val="28"/>
          <w:szCs w:val="28"/>
        </w:rPr>
      </w:pPr>
      <w:r w:rsidRPr="00247C0A">
        <w:rPr>
          <w:rFonts w:ascii="Times New Roman" w:hAnsi="Times New Roman" w:cs="Times New Roman"/>
          <w:sz w:val="28"/>
          <w:szCs w:val="28"/>
        </w:rPr>
        <w:lastRenderedPageBreak/>
        <w:t>Subdivision 1 does not define “residential rental agreement” but with one fairly common exception, it should be obvious whether a lease is a “residential rental agreement”. The exception is owners of manufactured homes who live in the</w:t>
      </w:r>
      <w:r w:rsidR="005C7597" w:rsidRPr="00247C0A">
        <w:rPr>
          <w:rFonts w:ascii="Times New Roman" w:hAnsi="Times New Roman" w:cs="Times New Roman"/>
          <w:sz w:val="28"/>
          <w:szCs w:val="28"/>
        </w:rPr>
        <w:t>ir</w:t>
      </w:r>
      <w:r w:rsidRPr="00247C0A">
        <w:rPr>
          <w:rFonts w:ascii="Times New Roman" w:hAnsi="Times New Roman" w:cs="Times New Roman"/>
          <w:sz w:val="28"/>
          <w:szCs w:val="28"/>
        </w:rPr>
        <w:t xml:space="preserve"> homes but park their homes on a lot, a lot which they rent. </w:t>
      </w:r>
      <w:r w:rsidR="00682939" w:rsidRPr="00247C0A">
        <w:rPr>
          <w:rFonts w:ascii="Times New Roman" w:hAnsi="Times New Roman" w:cs="Times New Roman"/>
          <w:sz w:val="28"/>
          <w:szCs w:val="28"/>
        </w:rPr>
        <w:t>If the lot is in a manufactured-home park, then section 504B.178 applies because</w:t>
      </w:r>
      <w:r w:rsidRPr="00247C0A">
        <w:rPr>
          <w:rFonts w:ascii="Times New Roman" w:hAnsi="Times New Roman" w:cs="Times New Roman"/>
          <w:sz w:val="28"/>
          <w:szCs w:val="28"/>
        </w:rPr>
        <w:t xml:space="preserve"> </w:t>
      </w:r>
      <w:hyperlink r:id="rId11" w:history="1">
        <w:r w:rsidRPr="00247C0A">
          <w:rPr>
            <w:rStyle w:val="Hyperlink"/>
            <w:rFonts w:ascii="Times New Roman" w:hAnsi="Times New Roman" w:cs="Times New Roman"/>
            <w:sz w:val="28"/>
            <w:szCs w:val="28"/>
          </w:rPr>
          <w:t>Minn. Stat. §327C.03, subd. 4</w:t>
        </w:r>
      </w:hyperlink>
      <w:r w:rsidRPr="00247C0A">
        <w:rPr>
          <w:rFonts w:ascii="Times New Roman" w:hAnsi="Times New Roman" w:cs="Times New Roman"/>
          <w:sz w:val="28"/>
          <w:szCs w:val="28"/>
        </w:rPr>
        <w:t xml:space="preserve"> specifically states, “The provisions of section 504B.178 shall apply to any security deposit required by a park owner under this subdivision.” It is an open question whether section 504B.178 governs </w:t>
      </w:r>
      <w:r w:rsidR="00DB09D6" w:rsidRPr="00247C0A">
        <w:rPr>
          <w:rFonts w:ascii="Times New Roman" w:hAnsi="Times New Roman" w:cs="Times New Roman"/>
          <w:sz w:val="28"/>
          <w:szCs w:val="28"/>
        </w:rPr>
        <w:t xml:space="preserve">deposits paid by </w:t>
      </w:r>
      <w:r w:rsidRPr="00247C0A">
        <w:rPr>
          <w:rFonts w:ascii="Times New Roman" w:hAnsi="Times New Roman" w:cs="Times New Roman"/>
          <w:sz w:val="28"/>
          <w:szCs w:val="28"/>
        </w:rPr>
        <w:t>owners of man</w:t>
      </w:r>
      <w:r w:rsidR="000B355A" w:rsidRPr="00247C0A">
        <w:rPr>
          <w:rFonts w:ascii="Times New Roman" w:hAnsi="Times New Roman" w:cs="Times New Roman"/>
          <w:sz w:val="28"/>
          <w:szCs w:val="28"/>
        </w:rPr>
        <w:t xml:space="preserve">ufactured homes who live in their </w:t>
      </w:r>
      <w:r w:rsidRPr="00247C0A">
        <w:rPr>
          <w:rFonts w:ascii="Times New Roman" w:hAnsi="Times New Roman" w:cs="Times New Roman"/>
          <w:sz w:val="28"/>
          <w:szCs w:val="28"/>
        </w:rPr>
        <w:t>homes but park their homes on a rented</w:t>
      </w:r>
      <w:r w:rsidR="00682939" w:rsidRPr="00247C0A">
        <w:rPr>
          <w:rFonts w:ascii="Times New Roman" w:hAnsi="Times New Roman" w:cs="Times New Roman"/>
          <w:sz w:val="28"/>
          <w:szCs w:val="28"/>
        </w:rPr>
        <w:t xml:space="preserve"> lot</w:t>
      </w:r>
      <w:r w:rsidRPr="00247C0A">
        <w:rPr>
          <w:rFonts w:ascii="Times New Roman" w:hAnsi="Times New Roman" w:cs="Times New Roman"/>
          <w:sz w:val="28"/>
          <w:szCs w:val="28"/>
        </w:rPr>
        <w:t xml:space="preserve"> that is not in a manufactured-home park.</w:t>
      </w:r>
    </w:p>
    <w:p w14:paraId="53A89430" w14:textId="77777777" w:rsidR="003B4B2D" w:rsidRPr="00247C0A" w:rsidRDefault="007E160A">
      <w:pPr>
        <w:rPr>
          <w:rFonts w:ascii="Times New Roman" w:hAnsi="Times New Roman" w:cs="Times New Roman"/>
          <w:sz w:val="28"/>
          <w:szCs w:val="28"/>
        </w:rPr>
      </w:pPr>
      <w:r w:rsidRPr="00247C0A">
        <w:rPr>
          <w:rFonts w:ascii="Times New Roman" w:hAnsi="Times New Roman" w:cs="Times New Roman"/>
          <w:sz w:val="28"/>
          <w:szCs w:val="28"/>
        </w:rPr>
        <w:t>Subdivision 1 does require the deposit be “money”. “Money” means</w:t>
      </w:r>
      <w:r w:rsidR="004320BF" w:rsidRPr="00247C0A">
        <w:rPr>
          <w:rFonts w:ascii="Times New Roman" w:hAnsi="Times New Roman" w:cs="Times New Roman"/>
          <w:sz w:val="28"/>
          <w:szCs w:val="28"/>
        </w:rPr>
        <w:t xml:space="preserve"> </w:t>
      </w:r>
      <w:r w:rsidRPr="00247C0A">
        <w:rPr>
          <w:rFonts w:ascii="Times New Roman" w:hAnsi="Times New Roman" w:cs="Times New Roman"/>
          <w:sz w:val="28"/>
          <w:szCs w:val="28"/>
        </w:rPr>
        <w:t>“lawful money of the United States”. Minn. Stat. § 645.45(15).</w:t>
      </w:r>
      <w:r w:rsidR="00151C08" w:rsidRPr="00247C0A">
        <w:rPr>
          <w:rStyle w:val="FootnoteReference"/>
          <w:rFonts w:ascii="Times New Roman" w:hAnsi="Times New Roman" w:cs="Times New Roman"/>
          <w:sz w:val="28"/>
          <w:szCs w:val="28"/>
        </w:rPr>
        <w:footnoteReference w:id="3"/>
      </w:r>
      <w:r w:rsidR="0057719D" w:rsidRPr="00247C0A">
        <w:rPr>
          <w:rFonts w:ascii="Times New Roman" w:hAnsi="Times New Roman" w:cs="Times New Roman"/>
          <w:sz w:val="28"/>
          <w:szCs w:val="28"/>
        </w:rPr>
        <w:t xml:space="preserve"> There is little dispute that this includes not only paper and coin currency but also checks and money orders payable in U.S. dollars as well as </w:t>
      </w:r>
      <w:r w:rsidR="0051459C" w:rsidRPr="00247C0A">
        <w:rPr>
          <w:rFonts w:ascii="Times New Roman" w:hAnsi="Times New Roman" w:cs="Times New Roman"/>
          <w:sz w:val="28"/>
          <w:szCs w:val="28"/>
        </w:rPr>
        <w:t>wire</w:t>
      </w:r>
      <w:r w:rsidR="0057719D" w:rsidRPr="00247C0A">
        <w:rPr>
          <w:rFonts w:ascii="Times New Roman" w:hAnsi="Times New Roman" w:cs="Times New Roman"/>
          <w:sz w:val="28"/>
          <w:szCs w:val="28"/>
        </w:rPr>
        <w:t xml:space="preserve"> transfers of dollars, all of which were common methods of payment in 1973</w:t>
      </w:r>
      <w:r w:rsidR="0051459C" w:rsidRPr="00247C0A">
        <w:rPr>
          <w:rFonts w:ascii="Times New Roman" w:hAnsi="Times New Roman" w:cs="Times New Roman"/>
          <w:sz w:val="28"/>
          <w:szCs w:val="28"/>
        </w:rPr>
        <w:t xml:space="preserve">. Modern electronic payments in dollars via PayPal, Venmo and the like should be similarly covered. Since the payment must be in U.S. money, payment in foreign currency or </w:t>
      </w:r>
      <w:r w:rsidR="00CD4708" w:rsidRPr="00247C0A">
        <w:rPr>
          <w:rFonts w:ascii="Times New Roman" w:hAnsi="Times New Roman" w:cs="Times New Roman"/>
          <w:sz w:val="28"/>
          <w:szCs w:val="28"/>
        </w:rPr>
        <w:t>cryptocurrencies like Bitcoin</w:t>
      </w:r>
      <w:r w:rsidR="0051459C" w:rsidRPr="00247C0A">
        <w:rPr>
          <w:rFonts w:ascii="Times New Roman" w:hAnsi="Times New Roman" w:cs="Times New Roman"/>
          <w:sz w:val="28"/>
          <w:szCs w:val="28"/>
        </w:rPr>
        <w:t>, unless it is accepted as dollars (just as a PayPal payment is not really dollars but it is accepted and credited as such)</w:t>
      </w:r>
      <w:r w:rsidR="00CD4708" w:rsidRPr="00247C0A">
        <w:rPr>
          <w:rFonts w:ascii="Times New Roman" w:hAnsi="Times New Roman" w:cs="Times New Roman"/>
          <w:sz w:val="28"/>
          <w:szCs w:val="28"/>
        </w:rPr>
        <w:t>,</w:t>
      </w:r>
      <w:r w:rsidR="0051459C" w:rsidRPr="00247C0A">
        <w:rPr>
          <w:rFonts w:ascii="Times New Roman" w:hAnsi="Times New Roman" w:cs="Times New Roman"/>
          <w:sz w:val="28"/>
          <w:szCs w:val="28"/>
        </w:rPr>
        <w:t xml:space="preserve"> would not be covered.</w:t>
      </w:r>
    </w:p>
    <w:p w14:paraId="0549E5E9" w14:textId="77777777" w:rsidR="005A7D16" w:rsidRPr="00247C0A" w:rsidRDefault="005A7D16">
      <w:pPr>
        <w:rPr>
          <w:rFonts w:ascii="Times New Roman" w:hAnsi="Times New Roman" w:cs="Times New Roman"/>
          <w:sz w:val="28"/>
          <w:szCs w:val="28"/>
        </w:rPr>
      </w:pPr>
      <w:r w:rsidRPr="00247C0A">
        <w:rPr>
          <w:rFonts w:ascii="Times New Roman" w:hAnsi="Times New Roman" w:cs="Times New Roman"/>
          <w:sz w:val="28"/>
          <w:szCs w:val="28"/>
        </w:rPr>
        <w:t xml:space="preserve">There is one case construing </w:t>
      </w:r>
      <w:r w:rsidR="007B2094" w:rsidRPr="00247C0A">
        <w:rPr>
          <w:rFonts w:ascii="Times New Roman" w:hAnsi="Times New Roman" w:cs="Times New Roman"/>
          <w:sz w:val="28"/>
          <w:szCs w:val="28"/>
        </w:rPr>
        <w:t xml:space="preserve">Minn. Stat. § </w:t>
      </w:r>
      <w:r w:rsidRPr="00247C0A">
        <w:rPr>
          <w:rFonts w:ascii="Times New Roman" w:hAnsi="Times New Roman" w:cs="Times New Roman"/>
          <w:sz w:val="28"/>
          <w:szCs w:val="28"/>
        </w:rPr>
        <w:t xml:space="preserve">645.45, </w:t>
      </w:r>
      <w:hyperlink r:id="rId12" w:history="1">
        <w:r w:rsidRPr="00247C0A">
          <w:rPr>
            <w:rStyle w:val="Hyperlink"/>
            <w:rFonts w:ascii="Times New Roman" w:hAnsi="Times New Roman" w:cs="Times New Roman"/>
            <w:i/>
            <w:iCs/>
            <w:sz w:val="28"/>
            <w:szCs w:val="28"/>
          </w:rPr>
          <w:t>Rathbun v. W.T. Grant Co.,</w:t>
        </w:r>
        <w:r w:rsidRPr="00247C0A">
          <w:rPr>
            <w:rStyle w:val="Hyperlink"/>
            <w:rFonts w:ascii="Times New Roman" w:hAnsi="Times New Roman" w:cs="Times New Roman"/>
            <w:sz w:val="28"/>
            <w:szCs w:val="28"/>
          </w:rPr>
          <w:t xml:space="preserve"> 300 Minn. 223, 219 N.W.2d 641 (1974)</w:t>
        </w:r>
      </w:hyperlink>
      <w:r w:rsidR="007B2094" w:rsidRPr="00247C0A">
        <w:rPr>
          <w:rFonts w:ascii="Times New Roman" w:hAnsi="Times New Roman" w:cs="Times New Roman"/>
          <w:sz w:val="28"/>
          <w:szCs w:val="28"/>
        </w:rPr>
        <w:t xml:space="preserve">. </w:t>
      </w:r>
      <w:r w:rsidR="007B2094" w:rsidRPr="00247C0A">
        <w:rPr>
          <w:rFonts w:ascii="Times New Roman" w:hAnsi="Times New Roman" w:cs="Times New Roman"/>
          <w:i/>
          <w:sz w:val="28"/>
          <w:szCs w:val="28"/>
        </w:rPr>
        <w:t>Rathbun</w:t>
      </w:r>
      <w:r w:rsidRPr="00247C0A">
        <w:rPr>
          <w:rFonts w:ascii="Times New Roman" w:hAnsi="Times New Roman" w:cs="Times New Roman"/>
          <w:sz w:val="28"/>
          <w:szCs w:val="28"/>
        </w:rPr>
        <w:t xml:space="preserve"> was a usury case, which did influence the court, but the gravamen of its holding was that W.T. Grant coupons were “money”. These </w:t>
      </w:r>
      <w:r w:rsidR="001F2400" w:rsidRPr="00247C0A">
        <w:rPr>
          <w:rFonts w:ascii="Times New Roman" w:hAnsi="Times New Roman" w:cs="Times New Roman"/>
          <w:sz w:val="28"/>
          <w:szCs w:val="28"/>
        </w:rPr>
        <w:t xml:space="preserve">coupons were </w:t>
      </w:r>
      <w:r w:rsidR="007B2094" w:rsidRPr="00247C0A">
        <w:rPr>
          <w:rFonts w:ascii="Times New Roman" w:hAnsi="Times New Roman" w:cs="Times New Roman"/>
          <w:sz w:val="28"/>
          <w:szCs w:val="28"/>
        </w:rPr>
        <w:t>denominated in dollars but</w:t>
      </w:r>
      <w:r w:rsidRPr="00247C0A">
        <w:rPr>
          <w:rFonts w:ascii="Times New Roman" w:hAnsi="Times New Roman" w:cs="Times New Roman"/>
          <w:sz w:val="28"/>
          <w:szCs w:val="28"/>
        </w:rPr>
        <w:t xml:space="preserve"> good only at the W.T. Grant department stores. E.g. if a sweater cost $15, the buyer could pay for it with $15 in cash, with a $15 check, or with a $15 W.T. Grant coupon. This helps confirm the idea that a deposit payable with an instrument accepted and held as U.S. dollars is governed by Minn. Stat. § 504B.178 but otherwise is not</w:t>
      </w:r>
      <w:r w:rsidR="00D8532D" w:rsidRPr="00247C0A">
        <w:rPr>
          <w:rFonts w:ascii="Times New Roman" w:hAnsi="Times New Roman" w:cs="Times New Roman"/>
          <w:sz w:val="28"/>
          <w:szCs w:val="28"/>
        </w:rPr>
        <w:t xml:space="preserve"> so governed</w:t>
      </w:r>
      <w:r w:rsidRPr="00247C0A">
        <w:rPr>
          <w:rFonts w:ascii="Times New Roman" w:hAnsi="Times New Roman" w:cs="Times New Roman"/>
          <w:sz w:val="28"/>
          <w:szCs w:val="28"/>
        </w:rPr>
        <w:t xml:space="preserve"> (and is more akin to currency speculation.)</w:t>
      </w:r>
    </w:p>
    <w:p w14:paraId="7F05C168" w14:textId="77777777" w:rsidR="00D00577" w:rsidRPr="00247C0A" w:rsidRDefault="00D00577">
      <w:pPr>
        <w:rPr>
          <w:rFonts w:ascii="Times New Roman" w:hAnsi="Times New Roman" w:cs="Times New Roman"/>
          <w:sz w:val="28"/>
          <w:szCs w:val="28"/>
        </w:rPr>
      </w:pPr>
      <w:r w:rsidRPr="00247C0A">
        <w:rPr>
          <w:rFonts w:ascii="Times New Roman" w:hAnsi="Times New Roman" w:cs="Times New Roman"/>
          <w:sz w:val="28"/>
          <w:szCs w:val="28"/>
        </w:rPr>
        <w:lastRenderedPageBreak/>
        <w:t>Whether so-called “security deposit bonds” are governed by Minn. Stat. § 504B.178 is an open question</w:t>
      </w:r>
      <w:r w:rsidR="001F2400" w:rsidRPr="00247C0A">
        <w:rPr>
          <w:rFonts w:ascii="Times New Roman" w:hAnsi="Times New Roman" w:cs="Times New Roman"/>
          <w:sz w:val="28"/>
          <w:szCs w:val="28"/>
        </w:rPr>
        <w:t>, which</w:t>
      </w:r>
      <w:r w:rsidRPr="00247C0A">
        <w:rPr>
          <w:rFonts w:ascii="Times New Roman" w:hAnsi="Times New Roman" w:cs="Times New Roman"/>
          <w:sz w:val="28"/>
          <w:szCs w:val="28"/>
        </w:rPr>
        <w:t xml:space="preserve"> I </w:t>
      </w:r>
      <w:r w:rsidR="00586DD5" w:rsidRPr="00247C0A">
        <w:rPr>
          <w:rFonts w:ascii="Times New Roman" w:hAnsi="Times New Roman" w:cs="Times New Roman"/>
          <w:sz w:val="28"/>
          <w:szCs w:val="28"/>
        </w:rPr>
        <w:t xml:space="preserve">will </w:t>
      </w:r>
      <w:r w:rsidR="005F496C" w:rsidRPr="00247C0A">
        <w:rPr>
          <w:rFonts w:ascii="Times New Roman" w:hAnsi="Times New Roman" w:cs="Times New Roman"/>
          <w:sz w:val="28"/>
          <w:szCs w:val="28"/>
        </w:rPr>
        <w:t xml:space="preserve">discuss </w:t>
      </w:r>
      <w:r w:rsidRPr="00247C0A">
        <w:rPr>
          <w:rFonts w:ascii="Times New Roman" w:hAnsi="Times New Roman" w:cs="Times New Roman"/>
          <w:sz w:val="28"/>
          <w:szCs w:val="28"/>
        </w:rPr>
        <w:t>in a separate essay on my blog.</w:t>
      </w:r>
    </w:p>
    <w:p w14:paraId="1AD9A19A" w14:textId="77777777" w:rsidR="00854F7C" w:rsidRPr="00247C0A" w:rsidRDefault="007B2094" w:rsidP="007B2094">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2</w:t>
      </w:r>
    </w:p>
    <w:p w14:paraId="2A195D4D" w14:textId="77777777" w:rsidR="00854F7C" w:rsidRPr="00247C0A" w:rsidRDefault="0046148F" w:rsidP="007B2094">
      <w:pPr>
        <w:rPr>
          <w:rFonts w:ascii="Times New Roman" w:hAnsi="Times New Roman" w:cs="Times New Roman"/>
          <w:sz w:val="28"/>
          <w:szCs w:val="28"/>
        </w:rPr>
      </w:pPr>
      <w:r w:rsidRPr="00247C0A">
        <w:rPr>
          <w:rFonts w:ascii="Times New Roman" w:hAnsi="Times New Roman" w:cs="Times New Roman"/>
          <w:sz w:val="28"/>
          <w:szCs w:val="28"/>
        </w:rPr>
        <w:t>Per subdivision 3, once the tenancy is over the landlord owes the tenant interest on the deposit. Subdivision 2 states the interest rate and how it is calculated.</w:t>
      </w:r>
    </w:p>
    <w:p w14:paraId="2A1D09F9" w14:textId="77777777" w:rsidR="0046148F" w:rsidRPr="00247C0A" w:rsidRDefault="0046148F" w:rsidP="007B2094">
      <w:pPr>
        <w:rPr>
          <w:rFonts w:ascii="Times New Roman" w:hAnsi="Times New Roman" w:cs="Times New Roman"/>
          <w:sz w:val="28"/>
          <w:szCs w:val="28"/>
        </w:rPr>
      </w:pPr>
      <w:r w:rsidRPr="00247C0A">
        <w:rPr>
          <w:rFonts w:ascii="Times New Roman" w:hAnsi="Times New Roman" w:cs="Times New Roman"/>
          <w:sz w:val="28"/>
          <w:szCs w:val="28"/>
        </w:rPr>
        <w:t>Since August 1, 2003 the interest rate has been 1% per year, not compounded (simple interest). With one exception, interest is calculated by the full month so it is better to say that interest is 1/12</w:t>
      </w:r>
      <w:r w:rsidRPr="00247C0A">
        <w:rPr>
          <w:rFonts w:ascii="Times New Roman" w:hAnsi="Times New Roman" w:cs="Times New Roman"/>
          <w:sz w:val="28"/>
          <w:szCs w:val="28"/>
          <w:vertAlign w:val="superscript"/>
        </w:rPr>
        <w:t>th</w:t>
      </w:r>
      <w:r w:rsidRPr="00247C0A">
        <w:rPr>
          <w:rFonts w:ascii="Times New Roman" w:hAnsi="Times New Roman" w:cs="Times New Roman"/>
          <w:sz w:val="28"/>
          <w:szCs w:val="28"/>
        </w:rPr>
        <w:t xml:space="preserve"> of 1% per month. The month the deposit is made does not count at all. The month after the payment is made counts as a full month. The month the landlord properly pays or accounts for the deposit counts as full month even if this occurs mid-month (as it usually does). </w:t>
      </w:r>
    </w:p>
    <w:p w14:paraId="3714555F" w14:textId="77777777" w:rsidR="0046148F" w:rsidRPr="00247C0A" w:rsidRDefault="003156DE" w:rsidP="007B2094">
      <w:pPr>
        <w:rPr>
          <w:rFonts w:ascii="Times New Roman" w:hAnsi="Times New Roman" w:cs="Times New Roman"/>
          <w:sz w:val="28"/>
          <w:szCs w:val="28"/>
        </w:rPr>
      </w:pPr>
      <w:r w:rsidRPr="00247C0A">
        <w:rPr>
          <w:rFonts w:ascii="Times New Roman" w:hAnsi="Times New Roman" w:cs="Times New Roman"/>
          <w:sz w:val="28"/>
          <w:szCs w:val="28"/>
        </w:rPr>
        <w:t>The exception is that i</w:t>
      </w:r>
      <w:r w:rsidR="0046148F" w:rsidRPr="00247C0A">
        <w:rPr>
          <w:rFonts w:ascii="Times New Roman" w:hAnsi="Times New Roman" w:cs="Times New Roman"/>
          <w:sz w:val="28"/>
          <w:szCs w:val="28"/>
        </w:rPr>
        <w:t xml:space="preserve">f the landlord never </w:t>
      </w:r>
      <w:r w:rsidR="000E58CA" w:rsidRPr="00247C0A">
        <w:rPr>
          <w:rFonts w:ascii="Times New Roman" w:hAnsi="Times New Roman" w:cs="Times New Roman"/>
          <w:sz w:val="28"/>
          <w:szCs w:val="28"/>
        </w:rPr>
        <w:t>properly pays or accounts</w:t>
      </w:r>
      <w:r w:rsidR="0046148F" w:rsidRPr="00247C0A">
        <w:rPr>
          <w:rFonts w:ascii="Times New Roman" w:hAnsi="Times New Roman" w:cs="Times New Roman"/>
          <w:sz w:val="28"/>
          <w:szCs w:val="28"/>
        </w:rPr>
        <w:t xml:space="preserve"> and the tenant </w:t>
      </w:r>
      <w:proofErr w:type="gramStart"/>
      <w:r w:rsidR="0046148F" w:rsidRPr="00247C0A">
        <w:rPr>
          <w:rFonts w:ascii="Times New Roman" w:hAnsi="Times New Roman" w:cs="Times New Roman"/>
          <w:sz w:val="28"/>
          <w:szCs w:val="28"/>
        </w:rPr>
        <w:t>gets</w:t>
      </w:r>
      <w:proofErr w:type="gramEnd"/>
      <w:r w:rsidR="0046148F" w:rsidRPr="00247C0A">
        <w:rPr>
          <w:rFonts w:ascii="Times New Roman" w:hAnsi="Times New Roman" w:cs="Times New Roman"/>
          <w:sz w:val="28"/>
          <w:szCs w:val="28"/>
        </w:rPr>
        <w:t xml:space="preserve"> a judgment based on liability for the deposit, then interest is calculated to the day of entry of judgment.</w:t>
      </w:r>
    </w:p>
    <w:p w14:paraId="221BF508" w14:textId="77777777" w:rsidR="003156DE" w:rsidRPr="00247C0A" w:rsidRDefault="003156DE" w:rsidP="007B2094">
      <w:pPr>
        <w:rPr>
          <w:rFonts w:ascii="Times New Roman" w:hAnsi="Times New Roman" w:cs="Times New Roman"/>
          <w:sz w:val="28"/>
          <w:szCs w:val="28"/>
        </w:rPr>
      </w:pPr>
      <w:r w:rsidRPr="00247C0A">
        <w:rPr>
          <w:rFonts w:ascii="Times New Roman" w:hAnsi="Times New Roman" w:cs="Times New Roman"/>
          <w:sz w:val="28"/>
          <w:szCs w:val="28"/>
        </w:rPr>
        <w:t>If the interest would have been under $1, no interest is owed.</w:t>
      </w:r>
    </w:p>
    <w:p w14:paraId="2593ED61" w14:textId="1AABC3EE" w:rsidR="003156DE" w:rsidRPr="00247C0A" w:rsidRDefault="003156DE" w:rsidP="007B2094">
      <w:pPr>
        <w:rPr>
          <w:rFonts w:ascii="Times New Roman" w:hAnsi="Times New Roman" w:cs="Times New Roman"/>
          <w:sz w:val="28"/>
          <w:szCs w:val="28"/>
        </w:rPr>
      </w:pPr>
      <w:r w:rsidRPr="00247C0A">
        <w:rPr>
          <w:rFonts w:ascii="Times New Roman" w:hAnsi="Times New Roman" w:cs="Times New Roman"/>
          <w:sz w:val="28"/>
          <w:szCs w:val="28"/>
        </w:rPr>
        <w:t xml:space="preserve">The interest rate has not always been 1% per year. It has changed </w:t>
      </w:r>
      <w:r w:rsidR="00CE49B0" w:rsidRPr="00247C0A">
        <w:rPr>
          <w:rFonts w:ascii="Times New Roman" w:hAnsi="Times New Roman" w:cs="Times New Roman"/>
          <w:sz w:val="28"/>
          <w:szCs w:val="28"/>
        </w:rPr>
        <w:t>four</w:t>
      </w:r>
      <w:r w:rsidRPr="00247C0A">
        <w:rPr>
          <w:rFonts w:ascii="Times New Roman" w:hAnsi="Times New Roman" w:cs="Times New Roman"/>
          <w:sz w:val="28"/>
          <w:szCs w:val="28"/>
        </w:rPr>
        <w:t xml:space="preserve"> times. In each case, the change has been prospective only; the relevant session laws have always used the phrase “the deposit … </w:t>
      </w:r>
      <w:r w:rsidRPr="00247C0A">
        <w:rPr>
          <w:rFonts w:ascii="Times New Roman" w:hAnsi="Times New Roman" w:cs="Times New Roman"/>
          <w:sz w:val="28"/>
          <w:szCs w:val="28"/>
          <w:u w:val="single"/>
        </w:rPr>
        <w:t>shall</w:t>
      </w:r>
      <w:r w:rsidRPr="00247C0A">
        <w:rPr>
          <w:rFonts w:ascii="Times New Roman" w:hAnsi="Times New Roman" w:cs="Times New Roman"/>
          <w:sz w:val="28"/>
          <w:szCs w:val="28"/>
        </w:rPr>
        <w:t xml:space="preserve"> bear … interest at the rate of X%” and then state an effective date for the law. This is both fair (otherwise, an interest rate that changed retrospectively would in a single day be a sudden bonus for either the tenant or landlord and screw the other party) and constitutional (</w:t>
      </w:r>
      <w:r w:rsidR="005C7597" w:rsidRPr="00247C0A">
        <w:rPr>
          <w:rFonts w:ascii="Times New Roman" w:hAnsi="Times New Roman" w:cs="Times New Roman"/>
          <w:sz w:val="28"/>
          <w:szCs w:val="28"/>
        </w:rPr>
        <w:t>a</w:t>
      </w:r>
      <w:r w:rsidRPr="00247C0A">
        <w:rPr>
          <w:rFonts w:ascii="Times New Roman" w:hAnsi="Times New Roman" w:cs="Times New Roman"/>
          <w:sz w:val="28"/>
          <w:szCs w:val="28"/>
        </w:rPr>
        <w:t xml:space="preserve"> sudden change would be an unconstitutional Taking without compensation </w:t>
      </w:r>
      <w:r w:rsidR="00DB09D6" w:rsidRPr="00247C0A">
        <w:rPr>
          <w:rFonts w:ascii="Times New Roman" w:hAnsi="Times New Roman" w:cs="Times New Roman"/>
          <w:sz w:val="28"/>
          <w:szCs w:val="28"/>
        </w:rPr>
        <w:t>to</w:t>
      </w:r>
      <w:r w:rsidRPr="00247C0A">
        <w:rPr>
          <w:rFonts w:ascii="Times New Roman" w:hAnsi="Times New Roman" w:cs="Times New Roman"/>
          <w:sz w:val="28"/>
          <w:szCs w:val="28"/>
        </w:rPr>
        <w:t xml:space="preserve"> the loser of the exchange). For the few deposits made prior to August 2003, </w:t>
      </w:r>
      <w:r w:rsidR="00450CC4" w:rsidRPr="00247C0A">
        <w:rPr>
          <w:rFonts w:ascii="Times New Roman" w:hAnsi="Times New Roman" w:cs="Times New Roman"/>
          <w:sz w:val="28"/>
          <w:szCs w:val="28"/>
        </w:rPr>
        <w:t xml:space="preserve">Endnote 1 </w:t>
      </w:r>
      <w:r w:rsidRPr="00247C0A">
        <w:rPr>
          <w:rFonts w:ascii="Times New Roman" w:hAnsi="Times New Roman" w:cs="Times New Roman"/>
          <w:sz w:val="28"/>
          <w:szCs w:val="28"/>
        </w:rPr>
        <w:t>is a calculation worksheet for calculating the interest and also provides citations to the applicable session laws.</w:t>
      </w:r>
      <w:r w:rsidR="00D357FD" w:rsidRPr="00247C0A">
        <w:rPr>
          <w:rStyle w:val="FootnoteReference"/>
          <w:rFonts w:ascii="Times New Roman" w:hAnsi="Times New Roman" w:cs="Times New Roman"/>
          <w:sz w:val="28"/>
          <w:szCs w:val="28"/>
        </w:rPr>
        <w:footnoteReference w:id="4"/>
      </w:r>
    </w:p>
    <w:p w14:paraId="370661EE" w14:textId="4621E736" w:rsidR="003156DE" w:rsidRPr="00247C0A" w:rsidRDefault="003156DE" w:rsidP="007B2094">
      <w:pPr>
        <w:rPr>
          <w:rFonts w:ascii="Times New Roman" w:hAnsi="Times New Roman" w:cs="Times New Roman"/>
          <w:sz w:val="28"/>
          <w:szCs w:val="28"/>
        </w:rPr>
      </w:pPr>
      <w:r w:rsidRPr="00247C0A">
        <w:rPr>
          <w:rFonts w:ascii="Times New Roman" w:hAnsi="Times New Roman" w:cs="Times New Roman"/>
          <w:sz w:val="28"/>
          <w:szCs w:val="28"/>
        </w:rPr>
        <w:lastRenderedPageBreak/>
        <w:t>The first clause of subdivision 2 (“Any deposit … 82.55, subdivision 26”) is discussed near the end of this essay.</w:t>
      </w:r>
    </w:p>
    <w:p w14:paraId="0AE7AA13" w14:textId="77777777" w:rsidR="0046148F" w:rsidRPr="00247C0A" w:rsidRDefault="0046148F" w:rsidP="0046148F">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3</w:t>
      </w:r>
      <w:r w:rsidR="00E839B3" w:rsidRPr="00247C0A">
        <w:rPr>
          <w:rFonts w:ascii="Times New Roman" w:hAnsi="Times New Roman" w:cs="Times New Roman"/>
          <w:sz w:val="28"/>
          <w:szCs w:val="28"/>
          <w:u w:val="single"/>
        </w:rPr>
        <w:t>(a) – when to return or account for the deposit</w:t>
      </w:r>
    </w:p>
    <w:p w14:paraId="747460BC" w14:textId="77777777" w:rsidR="00E839B3" w:rsidRPr="00247C0A" w:rsidRDefault="00E839B3" w:rsidP="0046148F">
      <w:pPr>
        <w:rPr>
          <w:rFonts w:ascii="Times New Roman" w:hAnsi="Times New Roman" w:cs="Times New Roman"/>
          <w:sz w:val="28"/>
          <w:szCs w:val="28"/>
        </w:rPr>
      </w:pPr>
      <w:r w:rsidRPr="00247C0A">
        <w:rPr>
          <w:rFonts w:ascii="Times New Roman" w:hAnsi="Times New Roman" w:cs="Times New Roman"/>
          <w:sz w:val="28"/>
          <w:szCs w:val="28"/>
        </w:rPr>
        <w:t>The landlord normally has “three weeks” to either return the deposit with interest or to account for the reasons he is keeping all or part of it. The three-week clock is reduced to five days if the tenant was forced out due to the legal condemnation of the tenant’s dwelling unless the tenant’s own willful, malicious, or irresponsible conduct caused the condemnation.</w:t>
      </w:r>
    </w:p>
    <w:p w14:paraId="2FAFF13A" w14:textId="77777777" w:rsidR="00E839B3" w:rsidRPr="00247C0A" w:rsidRDefault="00E839B3" w:rsidP="0046148F">
      <w:pPr>
        <w:rPr>
          <w:rFonts w:ascii="Times New Roman" w:hAnsi="Times New Roman" w:cs="Times New Roman"/>
          <w:sz w:val="28"/>
          <w:szCs w:val="28"/>
        </w:rPr>
      </w:pPr>
      <w:r w:rsidRPr="00247C0A">
        <w:rPr>
          <w:rFonts w:ascii="Times New Roman" w:hAnsi="Times New Roman" w:cs="Times New Roman"/>
          <w:sz w:val="28"/>
          <w:szCs w:val="28"/>
        </w:rPr>
        <w:t xml:space="preserve">In </w:t>
      </w:r>
      <w:hyperlink r:id="rId13" w:history="1">
        <w:r w:rsidRPr="00247C0A">
          <w:rPr>
            <w:rStyle w:val="Hyperlink"/>
            <w:rFonts w:ascii="Times New Roman" w:hAnsi="Times New Roman" w:cs="Times New Roman"/>
            <w:i/>
            <w:iCs/>
            <w:sz w:val="28"/>
            <w:szCs w:val="28"/>
          </w:rPr>
          <w:t xml:space="preserve">Gallaher v. </w:t>
        </w:r>
        <w:proofErr w:type="spellStart"/>
        <w:r w:rsidRPr="00247C0A">
          <w:rPr>
            <w:rStyle w:val="Hyperlink"/>
            <w:rFonts w:ascii="Times New Roman" w:hAnsi="Times New Roman" w:cs="Times New Roman"/>
            <w:i/>
            <w:iCs/>
            <w:sz w:val="28"/>
            <w:szCs w:val="28"/>
          </w:rPr>
          <w:t>Titler</w:t>
        </w:r>
        <w:proofErr w:type="spellEnd"/>
        <w:r w:rsidRPr="00247C0A">
          <w:rPr>
            <w:rStyle w:val="Hyperlink"/>
            <w:rFonts w:ascii="Times New Roman" w:hAnsi="Times New Roman" w:cs="Times New Roman"/>
            <w:i/>
            <w:iCs/>
            <w:sz w:val="28"/>
            <w:szCs w:val="28"/>
          </w:rPr>
          <w:t>,</w:t>
        </w:r>
        <w:r w:rsidRPr="00247C0A">
          <w:rPr>
            <w:rStyle w:val="Hyperlink"/>
            <w:rFonts w:ascii="Times New Roman" w:hAnsi="Times New Roman" w:cs="Times New Roman"/>
            <w:sz w:val="28"/>
            <w:szCs w:val="28"/>
          </w:rPr>
          <w:t xml:space="preserve"> </w:t>
        </w:r>
        <w:r w:rsidR="008F32BD" w:rsidRPr="00247C0A">
          <w:rPr>
            <w:rStyle w:val="Hyperlink"/>
            <w:rFonts w:ascii="Times New Roman" w:hAnsi="Times New Roman" w:cs="Times New Roman"/>
            <w:sz w:val="28"/>
            <w:szCs w:val="28"/>
          </w:rPr>
          <w:t xml:space="preserve">812 N.W.2d 897 </w:t>
        </w:r>
        <w:r w:rsidRPr="00247C0A">
          <w:rPr>
            <w:rStyle w:val="Hyperlink"/>
            <w:rFonts w:ascii="Times New Roman" w:hAnsi="Times New Roman" w:cs="Times New Roman"/>
            <w:sz w:val="28"/>
            <w:szCs w:val="28"/>
          </w:rPr>
          <w:t>(Minn. App. 2012),</w:t>
        </w:r>
      </w:hyperlink>
      <w:r w:rsidRPr="00247C0A">
        <w:rPr>
          <w:rFonts w:ascii="Times New Roman" w:hAnsi="Times New Roman" w:cs="Times New Roman"/>
          <w:sz w:val="28"/>
          <w:szCs w:val="28"/>
        </w:rPr>
        <w:t xml:space="preserve"> </w:t>
      </w:r>
      <w:r w:rsidRPr="00247C0A">
        <w:rPr>
          <w:rFonts w:ascii="Times New Roman" w:hAnsi="Times New Roman" w:cs="Times New Roman"/>
          <w:i/>
          <w:iCs/>
          <w:sz w:val="28"/>
          <w:szCs w:val="28"/>
        </w:rPr>
        <w:t>review denied</w:t>
      </w:r>
      <w:r w:rsidR="000E58CA" w:rsidRPr="00247C0A">
        <w:rPr>
          <w:rFonts w:ascii="Times New Roman" w:hAnsi="Times New Roman" w:cs="Times New Roman"/>
          <w:sz w:val="28"/>
          <w:szCs w:val="28"/>
        </w:rPr>
        <w:t xml:space="preserve"> (Minn. July 17, 2012), </w:t>
      </w:r>
      <w:r w:rsidRPr="00247C0A">
        <w:rPr>
          <w:rFonts w:ascii="Times New Roman" w:hAnsi="Times New Roman" w:cs="Times New Roman"/>
          <w:sz w:val="28"/>
          <w:szCs w:val="28"/>
        </w:rPr>
        <w:t>the court of appeals construed “six weeks” to mean exactly 42 days with the actor having until 11:59</w:t>
      </w:r>
      <w:r w:rsidR="00DB09D6" w:rsidRPr="00247C0A">
        <w:rPr>
          <w:rFonts w:ascii="Times New Roman" w:hAnsi="Times New Roman" w:cs="Times New Roman"/>
          <w:sz w:val="28"/>
          <w:szCs w:val="28"/>
        </w:rPr>
        <w:t xml:space="preserve"> p.m.</w:t>
      </w:r>
      <w:r w:rsidRPr="00247C0A">
        <w:rPr>
          <w:rFonts w:ascii="Times New Roman" w:hAnsi="Times New Roman" w:cs="Times New Roman"/>
          <w:sz w:val="28"/>
          <w:szCs w:val="28"/>
        </w:rPr>
        <w:t xml:space="preserve"> on day 42 to act. By analogy, “three weeks” means 21 days with the landlord having until 11:59</w:t>
      </w:r>
      <w:r w:rsidR="00DB09D6" w:rsidRPr="00247C0A">
        <w:rPr>
          <w:rFonts w:ascii="Times New Roman" w:hAnsi="Times New Roman" w:cs="Times New Roman"/>
          <w:sz w:val="28"/>
          <w:szCs w:val="28"/>
        </w:rPr>
        <w:t xml:space="preserve"> p.m.</w:t>
      </w:r>
      <w:r w:rsidRPr="00247C0A">
        <w:rPr>
          <w:rFonts w:ascii="Times New Roman" w:hAnsi="Times New Roman" w:cs="Times New Roman"/>
          <w:sz w:val="28"/>
          <w:szCs w:val="28"/>
        </w:rPr>
        <w:t xml:space="preserve"> on day 21 to return or account for the deposit.</w:t>
      </w:r>
    </w:p>
    <w:p w14:paraId="0BC60B53" w14:textId="75D0AE7A" w:rsidR="009E52AD" w:rsidRPr="00247C0A" w:rsidRDefault="009E52AD" w:rsidP="0046148F">
      <w:pPr>
        <w:rPr>
          <w:rFonts w:ascii="Times New Roman" w:hAnsi="Times New Roman" w:cs="Times New Roman"/>
          <w:sz w:val="28"/>
          <w:szCs w:val="28"/>
        </w:rPr>
      </w:pPr>
      <w:r w:rsidRPr="00247C0A">
        <w:rPr>
          <w:rFonts w:ascii="Times New Roman" w:hAnsi="Times New Roman" w:cs="Times New Roman"/>
          <w:sz w:val="28"/>
          <w:szCs w:val="28"/>
        </w:rPr>
        <w:t xml:space="preserve">If day 21 is a Saturday, Sunday or holiday, then the landlord has until the next business day to return or account for the deposit. </w:t>
      </w:r>
      <w:hyperlink r:id="rId14" w:history="1">
        <w:r w:rsidRPr="00247C0A">
          <w:rPr>
            <w:rStyle w:val="Hyperlink"/>
            <w:rFonts w:ascii="Times New Roman" w:hAnsi="Times New Roman" w:cs="Times New Roman"/>
            <w:sz w:val="28"/>
            <w:szCs w:val="28"/>
          </w:rPr>
          <w:t>Minn. Stat. § 645.15</w:t>
        </w:r>
      </w:hyperlink>
      <w:r w:rsidRPr="00247C0A">
        <w:rPr>
          <w:rFonts w:ascii="Times New Roman" w:hAnsi="Times New Roman" w:cs="Times New Roman"/>
          <w:sz w:val="28"/>
          <w:szCs w:val="28"/>
        </w:rPr>
        <w:t xml:space="preserve">. Holidays are listed in </w:t>
      </w:r>
      <w:hyperlink r:id="rId15" w:history="1">
        <w:r w:rsidR="004320BF" w:rsidRPr="002F2FFD">
          <w:rPr>
            <w:rStyle w:val="Hyperlink"/>
            <w:rFonts w:ascii="Times New Roman" w:hAnsi="Times New Roman" w:cs="Times New Roman"/>
            <w:sz w:val="28"/>
            <w:szCs w:val="28"/>
          </w:rPr>
          <w:t>Minn. Stat. § 645.44, subd. 5</w:t>
        </w:r>
      </w:hyperlink>
      <w:r w:rsidRPr="00247C0A">
        <w:rPr>
          <w:rFonts w:ascii="Times New Roman" w:hAnsi="Times New Roman" w:cs="Times New Roman"/>
          <w:sz w:val="28"/>
          <w:szCs w:val="28"/>
        </w:rPr>
        <w:t>.</w:t>
      </w:r>
      <w:r w:rsidRPr="00247C0A">
        <w:rPr>
          <w:rStyle w:val="FootnoteReference"/>
          <w:rFonts w:ascii="Times New Roman" w:hAnsi="Times New Roman" w:cs="Times New Roman"/>
          <w:sz w:val="28"/>
          <w:szCs w:val="28"/>
        </w:rPr>
        <w:footnoteReference w:id="5"/>
      </w:r>
    </w:p>
    <w:p w14:paraId="62DAFE47" w14:textId="77777777" w:rsidR="00875433" w:rsidRPr="00247C0A" w:rsidRDefault="003B20AE" w:rsidP="0046148F">
      <w:pPr>
        <w:rPr>
          <w:rFonts w:ascii="Times New Roman" w:hAnsi="Times New Roman" w:cs="Times New Roman"/>
          <w:sz w:val="28"/>
          <w:szCs w:val="28"/>
        </w:rPr>
      </w:pPr>
      <w:r w:rsidRPr="00247C0A">
        <w:rPr>
          <w:rFonts w:ascii="Times New Roman" w:hAnsi="Times New Roman" w:cs="Times New Roman"/>
          <w:sz w:val="28"/>
          <w:szCs w:val="28"/>
        </w:rPr>
        <w:t xml:space="preserve">If the landlord returns less than the full deposit plus interest, his reasons for withholding must be stated specifically (so there is no “I’m working on it” excuse) and in writing. </w:t>
      </w:r>
    </w:p>
    <w:p w14:paraId="47AD2D0B" w14:textId="39F543A3" w:rsidR="009E52AD" w:rsidRPr="00247C0A" w:rsidRDefault="004710AA" w:rsidP="0046148F">
      <w:pPr>
        <w:rPr>
          <w:rFonts w:ascii="Times New Roman" w:hAnsi="Times New Roman" w:cs="Times New Roman"/>
          <w:sz w:val="28"/>
          <w:szCs w:val="28"/>
        </w:rPr>
      </w:pPr>
      <w:r w:rsidRPr="00247C0A">
        <w:rPr>
          <w:rFonts w:ascii="Times New Roman" w:hAnsi="Times New Roman" w:cs="Times New Roman"/>
          <w:sz w:val="28"/>
          <w:szCs w:val="28"/>
        </w:rPr>
        <w:t>“Writing” has a broad meaning under</w:t>
      </w:r>
      <w:r w:rsidR="00A210F0">
        <w:rPr>
          <w:rFonts w:ascii="Times New Roman" w:hAnsi="Times New Roman" w:cs="Times New Roman"/>
          <w:sz w:val="28"/>
          <w:szCs w:val="28"/>
        </w:rPr>
        <w:t xml:space="preserve"> </w:t>
      </w:r>
      <w:hyperlink r:id="rId16" w:history="1">
        <w:r w:rsidRPr="00F62DB7">
          <w:rPr>
            <w:rStyle w:val="Hyperlink"/>
            <w:rFonts w:ascii="Times New Roman" w:hAnsi="Times New Roman" w:cs="Times New Roman"/>
            <w:sz w:val="28"/>
            <w:szCs w:val="28"/>
          </w:rPr>
          <w:t>Minn. Stat. § 645.44, subd. 1</w:t>
        </w:r>
        <w:r w:rsidR="00A210F0" w:rsidRPr="00F62DB7">
          <w:rPr>
            <w:rStyle w:val="Hyperlink"/>
            <w:rFonts w:ascii="Times New Roman" w:hAnsi="Times New Roman" w:cs="Times New Roman"/>
            <w:sz w:val="28"/>
            <w:szCs w:val="28"/>
          </w:rPr>
          <w:t>4</w:t>
        </w:r>
      </w:hyperlink>
      <w:r w:rsidR="003705CD" w:rsidRPr="00247C0A">
        <w:rPr>
          <w:rFonts w:ascii="Times New Roman" w:hAnsi="Times New Roman" w:cs="Times New Roman"/>
          <w:sz w:val="28"/>
          <w:szCs w:val="28"/>
        </w:rPr>
        <w:t xml:space="preserve"> and in most cases will include emails and even texts.</w:t>
      </w:r>
      <w:r w:rsidRPr="00247C0A">
        <w:rPr>
          <w:rStyle w:val="FootnoteReference"/>
          <w:rFonts w:ascii="Times New Roman" w:hAnsi="Times New Roman" w:cs="Times New Roman"/>
          <w:sz w:val="28"/>
          <w:szCs w:val="28"/>
        </w:rPr>
        <w:footnoteReference w:id="6"/>
      </w:r>
    </w:p>
    <w:p w14:paraId="59A5DA2F" w14:textId="77777777" w:rsidR="004710AA" w:rsidRPr="00247C0A" w:rsidRDefault="004710AA" w:rsidP="0046148F">
      <w:pPr>
        <w:rPr>
          <w:rFonts w:ascii="Times New Roman" w:hAnsi="Times New Roman" w:cs="Times New Roman"/>
          <w:sz w:val="28"/>
          <w:szCs w:val="28"/>
        </w:rPr>
      </w:pPr>
      <w:r w:rsidRPr="00247C0A">
        <w:rPr>
          <w:rFonts w:ascii="Times New Roman" w:hAnsi="Times New Roman" w:cs="Times New Roman"/>
          <w:sz w:val="28"/>
          <w:szCs w:val="28"/>
        </w:rPr>
        <w:lastRenderedPageBreak/>
        <w:t>If the landlord cho</w:t>
      </w:r>
      <w:r w:rsidR="00DC2EFC" w:rsidRPr="00247C0A">
        <w:rPr>
          <w:rFonts w:ascii="Times New Roman" w:hAnsi="Times New Roman" w:cs="Times New Roman"/>
          <w:sz w:val="28"/>
          <w:szCs w:val="28"/>
        </w:rPr>
        <w:t>o</w:t>
      </w:r>
      <w:r w:rsidRPr="00247C0A">
        <w:rPr>
          <w:rFonts w:ascii="Times New Roman" w:hAnsi="Times New Roman" w:cs="Times New Roman"/>
          <w:sz w:val="28"/>
          <w:szCs w:val="28"/>
        </w:rPr>
        <w:t>ses to mail the deposit or the accounting to the tenant, then she can meet the deadline by mailing it by First Class U.S. Mail with a return address and per the tenant’s delivery instructions (his stated address)</w:t>
      </w:r>
      <w:r w:rsidR="004320BF" w:rsidRPr="00247C0A">
        <w:rPr>
          <w:rFonts w:ascii="Times New Roman" w:hAnsi="Times New Roman" w:cs="Times New Roman"/>
          <w:sz w:val="28"/>
          <w:szCs w:val="28"/>
        </w:rPr>
        <w:t xml:space="preserve"> by the deadline day</w:t>
      </w:r>
      <w:r w:rsidRPr="00247C0A">
        <w:rPr>
          <w:rFonts w:ascii="Times New Roman" w:hAnsi="Times New Roman" w:cs="Times New Roman"/>
          <w:sz w:val="28"/>
          <w:szCs w:val="28"/>
        </w:rPr>
        <w:t>.</w:t>
      </w:r>
      <w:r w:rsidR="00A702A7" w:rsidRPr="00247C0A">
        <w:rPr>
          <w:rStyle w:val="FootnoteReference"/>
          <w:rFonts w:ascii="Times New Roman" w:hAnsi="Times New Roman" w:cs="Times New Roman"/>
          <w:sz w:val="28"/>
          <w:szCs w:val="28"/>
        </w:rPr>
        <w:footnoteReference w:id="7"/>
      </w:r>
    </w:p>
    <w:p w14:paraId="4AB01916" w14:textId="77777777" w:rsidR="00140276" w:rsidRPr="00247C0A" w:rsidRDefault="00AB54C6" w:rsidP="0046148F">
      <w:pPr>
        <w:rPr>
          <w:rFonts w:ascii="Times New Roman" w:hAnsi="Times New Roman" w:cs="Times New Roman"/>
          <w:sz w:val="28"/>
          <w:szCs w:val="28"/>
        </w:rPr>
      </w:pPr>
      <w:r w:rsidRPr="00247C0A">
        <w:rPr>
          <w:rFonts w:ascii="Times New Roman" w:hAnsi="Times New Roman" w:cs="Times New Roman"/>
          <w:sz w:val="28"/>
          <w:szCs w:val="28"/>
        </w:rPr>
        <w:t xml:space="preserve">The 21-day or 5-day clock starts when the tenancy is terminated and the tenant has given delivery instructions for return of the deposit. </w:t>
      </w:r>
    </w:p>
    <w:p w14:paraId="60BF3CED" w14:textId="77777777" w:rsidR="00140276" w:rsidRPr="00247C0A" w:rsidRDefault="00140276" w:rsidP="0046148F">
      <w:pPr>
        <w:rPr>
          <w:rFonts w:ascii="Times New Roman" w:hAnsi="Times New Roman" w:cs="Times New Roman"/>
          <w:sz w:val="28"/>
          <w:szCs w:val="28"/>
        </w:rPr>
      </w:pPr>
      <w:r w:rsidRPr="00247C0A">
        <w:rPr>
          <w:rFonts w:ascii="Times New Roman" w:hAnsi="Times New Roman" w:cs="Times New Roman"/>
          <w:sz w:val="28"/>
          <w:szCs w:val="28"/>
        </w:rPr>
        <w:t xml:space="preserve">The tenancy does not end merely by the tenant’s skipping out early before the end of the lease. </w:t>
      </w:r>
      <w:hyperlink r:id="rId17" w:history="1">
        <w:r w:rsidR="00033A43" w:rsidRPr="00247C0A">
          <w:rPr>
            <w:rStyle w:val="Hyperlink"/>
            <w:rFonts w:ascii="Times New Roman" w:hAnsi="Times New Roman" w:cs="Times New Roman"/>
            <w:i/>
            <w:iCs/>
            <w:sz w:val="28"/>
            <w:szCs w:val="28"/>
          </w:rPr>
          <w:t xml:space="preserve">Gaughan Co. v. Swanson, </w:t>
        </w:r>
        <w:r w:rsidR="00033A43" w:rsidRPr="00247C0A">
          <w:rPr>
            <w:rStyle w:val="Hyperlink"/>
            <w:rFonts w:ascii="Times New Roman" w:hAnsi="Times New Roman" w:cs="Times New Roman"/>
            <w:iCs/>
            <w:sz w:val="28"/>
            <w:szCs w:val="28"/>
          </w:rPr>
          <w:t>Minn. Ct. App. Fil</w:t>
        </w:r>
        <w:r w:rsidR="009A5F2F" w:rsidRPr="00247C0A">
          <w:rPr>
            <w:rStyle w:val="Hyperlink"/>
            <w:rFonts w:ascii="Times New Roman" w:hAnsi="Times New Roman" w:cs="Times New Roman"/>
            <w:iCs/>
            <w:sz w:val="28"/>
            <w:szCs w:val="28"/>
          </w:rPr>
          <w:t xml:space="preserve">e No. C3-87-825, 1987 WL 19765 </w:t>
        </w:r>
        <w:r w:rsidR="00033A43" w:rsidRPr="00247C0A">
          <w:rPr>
            <w:rStyle w:val="Hyperlink"/>
            <w:rFonts w:ascii="Times New Roman" w:hAnsi="Times New Roman" w:cs="Times New Roman"/>
            <w:iCs/>
            <w:sz w:val="28"/>
            <w:szCs w:val="28"/>
          </w:rPr>
          <w:t>(Nov. 17, 1987) (nonprecedential)</w:t>
        </w:r>
      </w:hyperlink>
      <w:r w:rsidRPr="00247C0A">
        <w:rPr>
          <w:rFonts w:ascii="Times New Roman" w:hAnsi="Times New Roman" w:cs="Times New Roman"/>
          <w:i/>
          <w:iCs/>
          <w:sz w:val="28"/>
          <w:szCs w:val="28"/>
        </w:rPr>
        <w:t xml:space="preserve">, </w:t>
      </w:r>
      <w:r w:rsidRPr="00247C0A">
        <w:rPr>
          <w:rFonts w:ascii="Times New Roman" w:hAnsi="Times New Roman" w:cs="Times New Roman"/>
          <w:sz w:val="28"/>
          <w:szCs w:val="28"/>
        </w:rPr>
        <w:t>citing</w:t>
      </w:r>
      <w:r w:rsidRPr="00247C0A">
        <w:rPr>
          <w:rFonts w:ascii="Times New Roman" w:hAnsi="Times New Roman" w:cs="Times New Roman"/>
          <w:i/>
          <w:iCs/>
          <w:sz w:val="28"/>
          <w:szCs w:val="28"/>
        </w:rPr>
        <w:t xml:space="preserve"> </w:t>
      </w:r>
      <w:hyperlink r:id="rId18" w:history="1">
        <w:r w:rsidRPr="00247C0A">
          <w:rPr>
            <w:rStyle w:val="Hyperlink"/>
            <w:rFonts w:ascii="Times New Roman" w:hAnsi="Times New Roman" w:cs="Times New Roman"/>
            <w:i/>
            <w:iCs/>
            <w:sz w:val="28"/>
            <w:szCs w:val="28"/>
          </w:rPr>
          <w:t>Markoe v. Naiditch &amp; Sons</w:t>
        </w:r>
        <w:r w:rsidRPr="00247C0A">
          <w:rPr>
            <w:rStyle w:val="Hyperlink"/>
            <w:rFonts w:ascii="Times New Roman" w:hAnsi="Times New Roman" w:cs="Times New Roman"/>
            <w:sz w:val="28"/>
            <w:szCs w:val="28"/>
          </w:rPr>
          <w:t>, 303 Minn. 6,</w:t>
        </w:r>
        <w:r w:rsidR="009A5F2F" w:rsidRPr="00247C0A">
          <w:rPr>
            <w:rStyle w:val="Hyperlink"/>
            <w:rFonts w:ascii="Times New Roman" w:hAnsi="Times New Roman" w:cs="Times New Roman"/>
            <w:sz w:val="28"/>
            <w:szCs w:val="28"/>
          </w:rPr>
          <w:t>7</w:t>
        </w:r>
        <w:r w:rsidRPr="00247C0A">
          <w:rPr>
            <w:rStyle w:val="Hyperlink"/>
            <w:rFonts w:ascii="Times New Roman" w:hAnsi="Times New Roman" w:cs="Times New Roman"/>
            <w:sz w:val="28"/>
            <w:szCs w:val="28"/>
          </w:rPr>
          <w:t>, 226 N.W.2d 289,290 (1975)</w:t>
        </w:r>
      </w:hyperlink>
      <w:r w:rsidRPr="00247C0A">
        <w:rPr>
          <w:rFonts w:ascii="Times New Roman" w:hAnsi="Times New Roman" w:cs="Times New Roman"/>
          <w:sz w:val="28"/>
          <w:szCs w:val="28"/>
        </w:rPr>
        <w:t>. Terminat</w:t>
      </w:r>
      <w:r w:rsidR="005154B2" w:rsidRPr="00247C0A">
        <w:rPr>
          <w:rFonts w:ascii="Times New Roman" w:hAnsi="Times New Roman" w:cs="Times New Roman"/>
          <w:sz w:val="28"/>
          <w:szCs w:val="28"/>
        </w:rPr>
        <w:t>ion occurs when the lease ends (</w:t>
      </w:r>
      <w:r w:rsidRPr="00247C0A">
        <w:rPr>
          <w:rFonts w:ascii="Times New Roman" w:hAnsi="Times New Roman" w:cs="Times New Roman"/>
          <w:sz w:val="28"/>
          <w:szCs w:val="28"/>
        </w:rPr>
        <w:t xml:space="preserve">including termination by proper notice on a tenancy at will like a month’s </w:t>
      </w:r>
      <w:r w:rsidR="005154B2" w:rsidRPr="00247C0A">
        <w:rPr>
          <w:rFonts w:ascii="Times New Roman" w:hAnsi="Times New Roman" w:cs="Times New Roman"/>
          <w:sz w:val="28"/>
          <w:szCs w:val="28"/>
        </w:rPr>
        <w:t>notice on month-to-month lease). Termination also occurs</w:t>
      </w:r>
      <w:r w:rsidRPr="00247C0A">
        <w:rPr>
          <w:rFonts w:ascii="Times New Roman" w:hAnsi="Times New Roman" w:cs="Times New Roman"/>
          <w:sz w:val="28"/>
          <w:szCs w:val="28"/>
        </w:rPr>
        <w:t xml:space="preserve"> (if earlier) </w:t>
      </w:r>
      <w:r w:rsidR="005154B2" w:rsidRPr="00247C0A">
        <w:rPr>
          <w:rFonts w:ascii="Times New Roman" w:hAnsi="Times New Roman" w:cs="Times New Roman"/>
          <w:color w:val="000000"/>
          <w:sz w:val="28"/>
          <w:szCs w:val="28"/>
          <w:shd w:val="clear" w:color="auto" w:fill="FFFFFF"/>
        </w:rPr>
        <w:t>on the first day of a new tenant's lease for the unit</w:t>
      </w:r>
      <w:r w:rsidRPr="00247C0A">
        <w:rPr>
          <w:rFonts w:ascii="Times New Roman" w:hAnsi="Times New Roman" w:cs="Times New Roman"/>
          <w:sz w:val="28"/>
          <w:szCs w:val="28"/>
        </w:rPr>
        <w:t xml:space="preserve">. </w:t>
      </w:r>
      <w:hyperlink r:id="rId19" w:history="1">
        <w:r w:rsidRPr="00247C0A">
          <w:rPr>
            <w:rStyle w:val="Hyperlink"/>
            <w:rFonts w:ascii="Times New Roman" w:hAnsi="Times New Roman" w:cs="Times New Roman"/>
            <w:i/>
            <w:iCs/>
            <w:sz w:val="28"/>
            <w:szCs w:val="28"/>
          </w:rPr>
          <w:t>Oman v. Dunn</w:t>
        </w:r>
        <w:r w:rsidRPr="00247C0A">
          <w:rPr>
            <w:rStyle w:val="Hyperlink"/>
            <w:rFonts w:ascii="Times New Roman" w:hAnsi="Times New Roman" w:cs="Times New Roman"/>
            <w:sz w:val="28"/>
            <w:szCs w:val="28"/>
          </w:rPr>
          <w:t>, Minn. Dist. Ct. No. CT-02-18797,</w:t>
        </w:r>
        <w:r w:rsidR="009A5F2F" w:rsidRPr="00247C0A">
          <w:rPr>
            <w:rStyle w:val="Hyperlink"/>
            <w:rFonts w:ascii="Times New Roman" w:hAnsi="Times New Roman" w:cs="Times New Roman"/>
            <w:sz w:val="28"/>
            <w:szCs w:val="28"/>
          </w:rPr>
          <w:t xml:space="preserve"> 2003 WL 23484600</w:t>
        </w:r>
        <w:r w:rsidRPr="00247C0A">
          <w:rPr>
            <w:rStyle w:val="Hyperlink"/>
            <w:rFonts w:ascii="Times New Roman" w:hAnsi="Times New Roman" w:cs="Times New Roman"/>
            <w:sz w:val="28"/>
            <w:szCs w:val="28"/>
          </w:rPr>
          <w:t xml:space="preserve"> (Henn. </w:t>
        </w:r>
        <w:proofErr w:type="spellStart"/>
        <w:r w:rsidRPr="00247C0A">
          <w:rPr>
            <w:rStyle w:val="Hyperlink"/>
            <w:rFonts w:ascii="Times New Roman" w:hAnsi="Times New Roman" w:cs="Times New Roman"/>
            <w:sz w:val="28"/>
            <w:szCs w:val="28"/>
          </w:rPr>
          <w:t>Cty</w:t>
        </w:r>
        <w:proofErr w:type="spellEnd"/>
        <w:r w:rsidRPr="00247C0A">
          <w:rPr>
            <w:rStyle w:val="Hyperlink"/>
            <w:rFonts w:ascii="Times New Roman" w:hAnsi="Times New Roman" w:cs="Times New Roman"/>
            <w:sz w:val="28"/>
            <w:szCs w:val="28"/>
          </w:rPr>
          <w:t>. Oct. 29, 2003) (Conclusions of Law ¶¶ 5-10)</w:t>
        </w:r>
      </w:hyperlink>
      <w:r w:rsidR="00227B20" w:rsidRPr="00247C0A">
        <w:rPr>
          <w:rStyle w:val="FootnoteReference"/>
          <w:rFonts w:ascii="Times New Roman" w:hAnsi="Times New Roman" w:cs="Times New Roman"/>
          <w:iCs/>
          <w:sz w:val="28"/>
          <w:szCs w:val="28"/>
        </w:rPr>
        <w:t>.</w:t>
      </w:r>
    </w:p>
    <w:p w14:paraId="23914B6F" w14:textId="77777777" w:rsidR="00A702A7" w:rsidRDefault="00AB54C6" w:rsidP="0046148F">
      <w:pPr>
        <w:rPr>
          <w:rFonts w:ascii="Times New Roman" w:hAnsi="Times New Roman" w:cs="Times New Roman"/>
          <w:sz w:val="28"/>
          <w:szCs w:val="28"/>
        </w:rPr>
      </w:pPr>
      <w:r w:rsidRPr="00247C0A">
        <w:rPr>
          <w:rFonts w:ascii="Times New Roman" w:hAnsi="Times New Roman" w:cs="Times New Roman"/>
          <w:sz w:val="28"/>
          <w:szCs w:val="28"/>
        </w:rPr>
        <w:t xml:space="preserve">There is a nonprecedential case, </w:t>
      </w:r>
      <w:hyperlink r:id="rId20" w:history="1">
        <w:r w:rsidR="00710756" w:rsidRPr="00247C0A">
          <w:rPr>
            <w:rStyle w:val="Hyperlink"/>
            <w:rFonts w:ascii="Times New Roman" w:hAnsi="Times New Roman" w:cs="Times New Roman"/>
            <w:i/>
            <w:iCs/>
            <w:sz w:val="28"/>
            <w:szCs w:val="28"/>
          </w:rPr>
          <w:t>Mungall v. Garry</w:t>
        </w:r>
        <w:r w:rsidR="00710756" w:rsidRPr="00247C0A">
          <w:rPr>
            <w:rStyle w:val="Hyperlink"/>
            <w:rFonts w:ascii="Times New Roman" w:hAnsi="Times New Roman" w:cs="Times New Roman"/>
            <w:sz w:val="28"/>
            <w:szCs w:val="28"/>
          </w:rPr>
          <w:t>, Minn. Ct. App. File No. A18-2020 (June 17, 2019)</w:t>
        </w:r>
      </w:hyperlink>
      <w:r w:rsidRPr="00247C0A">
        <w:rPr>
          <w:rFonts w:ascii="Times New Roman" w:hAnsi="Times New Roman" w:cs="Times New Roman"/>
          <w:sz w:val="28"/>
          <w:szCs w:val="28"/>
        </w:rPr>
        <w:t xml:space="preserve">, holding that </w:t>
      </w:r>
      <w:r w:rsidR="00710756" w:rsidRPr="00247C0A">
        <w:rPr>
          <w:rFonts w:ascii="Times New Roman" w:hAnsi="Times New Roman" w:cs="Times New Roman"/>
          <w:sz w:val="28"/>
          <w:szCs w:val="28"/>
        </w:rPr>
        <w:t>the clock starts when the tenancy is terminated even if delivery instructions are given days later. I’m convinced that this holding misconstrued the statute. I’ve written a long blog post on the subject.</w:t>
      </w:r>
      <w:r w:rsidR="00710756" w:rsidRPr="00247C0A">
        <w:rPr>
          <w:rStyle w:val="FootnoteReference"/>
          <w:rFonts w:ascii="Times New Roman" w:hAnsi="Times New Roman" w:cs="Times New Roman"/>
          <w:sz w:val="28"/>
          <w:szCs w:val="28"/>
        </w:rPr>
        <w:footnoteReference w:id="8"/>
      </w:r>
    </w:p>
    <w:p w14:paraId="77CB35DD" w14:textId="77777777" w:rsidR="006F6D59" w:rsidRDefault="006F6D59" w:rsidP="0046148F">
      <w:pPr>
        <w:rPr>
          <w:rFonts w:ascii="Times New Roman" w:hAnsi="Times New Roman" w:cs="Times New Roman"/>
          <w:sz w:val="28"/>
          <w:szCs w:val="28"/>
        </w:rPr>
      </w:pPr>
    </w:p>
    <w:p w14:paraId="73E805CF" w14:textId="77777777" w:rsidR="006F6D59" w:rsidRDefault="006F6D59" w:rsidP="0046148F">
      <w:pPr>
        <w:rPr>
          <w:rFonts w:ascii="Times New Roman" w:hAnsi="Times New Roman" w:cs="Times New Roman"/>
          <w:sz w:val="28"/>
          <w:szCs w:val="28"/>
        </w:rPr>
      </w:pPr>
    </w:p>
    <w:p w14:paraId="08453B4F" w14:textId="77777777" w:rsidR="006F6D59" w:rsidRPr="00247C0A" w:rsidRDefault="006F6D59" w:rsidP="0046148F">
      <w:pPr>
        <w:rPr>
          <w:rFonts w:ascii="Times New Roman" w:hAnsi="Times New Roman" w:cs="Times New Roman"/>
          <w:sz w:val="28"/>
          <w:szCs w:val="28"/>
        </w:rPr>
      </w:pPr>
    </w:p>
    <w:p w14:paraId="1807940E" w14:textId="77777777" w:rsidR="008E5952" w:rsidRPr="00247C0A" w:rsidRDefault="008E5952" w:rsidP="008E5952">
      <w:pPr>
        <w:rPr>
          <w:rFonts w:ascii="Times New Roman" w:hAnsi="Times New Roman" w:cs="Times New Roman"/>
          <w:sz w:val="28"/>
          <w:szCs w:val="28"/>
          <w:u w:val="single"/>
        </w:rPr>
      </w:pPr>
      <w:r w:rsidRPr="00247C0A">
        <w:rPr>
          <w:rFonts w:ascii="Times New Roman" w:hAnsi="Times New Roman" w:cs="Times New Roman"/>
          <w:sz w:val="28"/>
          <w:szCs w:val="28"/>
          <w:u w:val="single"/>
        </w:rPr>
        <w:lastRenderedPageBreak/>
        <w:t>Subdivision 3(a) – who gets paid</w:t>
      </w:r>
    </w:p>
    <w:p w14:paraId="75C78F6F" w14:textId="77777777" w:rsidR="00E2215D" w:rsidRPr="00247C0A" w:rsidRDefault="008E5952" w:rsidP="00E2215D">
      <w:pPr>
        <w:rPr>
          <w:rFonts w:ascii="Times New Roman" w:hAnsi="Times New Roman" w:cs="Times New Roman"/>
          <w:sz w:val="28"/>
          <w:szCs w:val="28"/>
        </w:rPr>
      </w:pPr>
      <w:r w:rsidRPr="00247C0A">
        <w:rPr>
          <w:rFonts w:ascii="Times New Roman" w:hAnsi="Times New Roman" w:cs="Times New Roman"/>
          <w:sz w:val="28"/>
          <w:szCs w:val="28"/>
        </w:rPr>
        <w:t xml:space="preserve">This subdivision says that the “landlord shall … return the deposit to the </w:t>
      </w:r>
      <w:r w:rsidRPr="00247C0A">
        <w:rPr>
          <w:rFonts w:ascii="Times New Roman" w:hAnsi="Times New Roman" w:cs="Times New Roman"/>
          <w:i/>
          <w:iCs/>
          <w:sz w:val="28"/>
          <w:szCs w:val="28"/>
        </w:rPr>
        <w:t>tenant</w:t>
      </w:r>
      <w:r w:rsidRPr="00247C0A">
        <w:rPr>
          <w:rFonts w:ascii="Times New Roman" w:hAnsi="Times New Roman" w:cs="Times New Roman"/>
          <w:sz w:val="28"/>
          <w:szCs w:val="28"/>
        </w:rPr>
        <w:t xml:space="preserve"> [emphasis added].” Therefore, even if a third-party benefactor (e.g. a parent for a son in college) pays the deposit, it is returnable and accountable to the </w:t>
      </w:r>
      <w:r w:rsidR="00E2215D" w:rsidRPr="00247C0A">
        <w:rPr>
          <w:rFonts w:ascii="Times New Roman" w:hAnsi="Times New Roman" w:cs="Times New Roman"/>
          <w:sz w:val="28"/>
          <w:szCs w:val="28"/>
        </w:rPr>
        <w:t xml:space="preserve">tenant. </w:t>
      </w:r>
    </w:p>
    <w:p w14:paraId="03D697EE" w14:textId="7863465F" w:rsidR="006E055D" w:rsidRPr="00247C0A" w:rsidRDefault="00E2215D" w:rsidP="00E2215D">
      <w:pPr>
        <w:rPr>
          <w:rFonts w:ascii="Times New Roman" w:hAnsi="Times New Roman" w:cs="Times New Roman"/>
          <w:color w:val="FF0000"/>
          <w:sz w:val="28"/>
          <w:szCs w:val="28"/>
        </w:rPr>
      </w:pPr>
      <w:r w:rsidRPr="00247C0A">
        <w:rPr>
          <w:rFonts w:ascii="Times New Roman" w:hAnsi="Times New Roman" w:cs="Times New Roman"/>
          <w:sz w:val="28"/>
          <w:szCs w:val="28"/>
        </w:rPr>
        <w:t xml:space="preserve">Similarly, if the original tenant assigns his lease to a new person – transfers his entire tenancy and not just part </w:t>
      </w:r>
      <w:r w:rsidR="007D0E5B" w:rsidRPr="00247C0A">
        <w:rPr>
          <w:rFonts w:ascii="Times New Roman" w:hAnsi="Times New Roman" w:cs="Times New Roman"/>
          <w:sz w:val="28"/>
          <w:szCs w:val="28"/>
        </w:rPr>
        <w:t xml:space="preserve">of the remaining time </w:t>
      </w:r>
      <w:r w:rsidRPr="00247C0A">
        <w:rPr>
          <w:rFonts w:ascii="Times New Roman" w:hAnsi="Times New Roman" w:cs="Times New Roman"/>
          <w:sz w:val="28"/>
          <w:szCs w:val="28"/>
        </w:rPr>
        <w:t xml:space="preserve">– then the new person (the assignee) is due the deposit and accounting. </w:t>
      </w:r>
      <w:hyperlink r:id="rId21" w:history="1">
        <w:r w:rsidR="00184659" w:rsidRPr="00500763">
          <w:rPr>
            <w:rStyle w:val="Hyperlink"/>
            <w:rFonts w:ascii="Times New Roman" w:hAnsi="Times New Roman" w:cs="Times New Roman"/>
            <w:i/>
            <w:iCs/>
            <w:sz w:val="28"/>
            <w:szCs w:val="28"/>
          </w:rPr>
          <w:t>Davidson v. Minn. Loan &amp; Trust</w:t>
        </w:r>
        <w:r w:rsidR="00184659" w:rsidRPr="00500763">
          <w:rPr>
            <w:rStyle w:val="Hyperlink"/>
            <w:rFonts w:ascii="Times New Roman" w:hAnsi="Times New Roman" w:cs="Times New Roman"/>
            <w:sz w:val="28"/>
            <w:szCs w:val="28"/>
          </w:rPr>
          <w:t>, 158 Minn. 411,416, 197 N.W. 833,833-834 (1924)</w:t>
        </w:r>
      </w:hyperlink>
      <w:r w:rsidRPr="00247C0A">
        <w:rPr>
          <w:rFonts w:ascii="Times New Roman" w:hAnsi="Times New Roman" w:cs="Times New Roman"/>
          <w:sz w:val="28"/>
          <w:szCs w:val="28"/>
        </w:rPr>
        <w:t xml:space="preserve"> (Assignment by original renter puts new renter into privity of estate with landlord.) </w:t>
      </w:r>
      <w:r w:rsidR="00FB3CCF" w:rsidRPr="00247C0A">
        <w:rPr>
          <w:rFonts w:ascii="Times New Roman" w:hAnsi="Times New Roman" w:cs="Times New Roman"/>
          <w:sz w:val="28"/>
          <w:szCs w:val="28"/>
        </w:rPr>
        <w:t>The original tenant (the assignor) can protect himself by having the assignee pay him for this claim on the deposit as part of the assignment.</w:t>
      </w:r>
      <w:r w:rsidR="00FB3CCF" w:rsidRPr="00247C0A">
        <w:rPr>
          <w:rStyle w:val="FootnoteReference"/>
          <w:rFonts w:ascii="Times New Roman" w:hAnsi="Times New Roman" w:cs="Times New Roman"/>
          <w:sz w:val="28"/>
          <w:szCs w:val="28"/>
        </w:rPr>
        <w:footnoteReference w:id="9"/>
      </w:r>
    </w:p>
    <w:p w14:paraId="5A8F29A6" w14:textId="77777777" w:rsidR="008E5952" w:rsidRPr="00247C0A" w:rsidRDefault="007F55C1" w:rsidP="0046148F">
      <w:pPr>
        <w:rPr>
          <w:rFonts w:ascii="Times New Roman" w:hAnsi="Times New Roman" w:cs="Times New Roman"/>
          <w:sz w:val="28"/>
          <w:szCs w:val="28"/>
        </w:rPr>
      </w:pPr>
      <w:r w:rsidRPr="00247C0A">
        <w:rPr>
          <w:rFonts w:ascii="Times New Roman" w:hAnsi="Times New Roman" w:cs="Times New Roman"/>
          <w:sz w:val="28"/>
          <w:szCs w:val="28"/>
        </w:rPr>
        <w:t>With multiple tenants (roommates) – “tenants in common” – the payment should</w:t>
      </w:r>
      <w:r w:rsidR="007D0E5B" w:rsidRPr="00247C0A">
        <w:rPr>
          <w:rFonts w:ascii="Times New Roman" w:hAnsi="Times New Roman" w:cs="Times New Roman"/>
          <w:sz w:val="28"/>
          <w:szCs w:val="28"/>
        </w:rPr>
        <w:t xml:space="preserve"> probably</w:t>
      </w:r>
      <w:r w:rsidRPr="00247C0A">
        <w:rPr>
          <w:rFonts w:ascii="Times New Roman" w:hAnsi="Times New Roman" w:cs="Times New Roman"/>
          <w:sz w:val="28"/>
          <w:szCs w:val="28"/>
        </w:rPr>
        <w:t xml:space="preserve"> go to all of them (e.g. by one joint check) since they each have an undivided interest in the whole.</w:t>
      </w:r>
      <w:r w:rsidR="00FE6E19" w:rsidRPr="00247C0A">
        <w:rPr>
          <w:rFonts w:ascii="Times New Roman" w:hAnsi="Times New Roman" w:cs="Times New Roman"/>
          <w:sz w:val="28"/>
          <w:szCs w:val="28"/>
        </w:rPr>
        <w:t xml:space="preserve"> </w:t>
      </w:r>
      <w:hyperlink r:id="rId22" w:history="1">
        <w:r w:rsidR="00FE6E19" w:rsidRPr="00247C0A">
          <w:rPr>
            <w:rStyle w:val="Hyperlink"/>
            <w:rFonts w:ascii="Times New Roman" w:hAnsi="Times New Roman" w:cs="Times New Roman"/>
            <w:i/>
            <w:sz w:val="28"/>
            <w:szCs w:val="28"/>
          </w:rPr>
          <w:t xml:space="preserve">Chapman Place </w:t>
        </w:r>
        <w:proofErr w:type="spellStart"/>
        <w:r w:rsidR="00FE6E19" w:rsidRPr="00247C0A">
          <w:rPr>
            <w:rStyle w:val="Hyperlink"/>
            <w:rFonts w:ascii="Times New Roman" w:hAnsi="Times New Roman" w:cs="Times New Roman"/>
            <w:i/>
            <w:sz w:val="28"/>
            <w:szCs w:val="28"/>
          </w:rPr>
          <w:t>Ass'n</w:t>
        </w:r>
        <w:proofErr w:type="spellEnd"/>
        <w:r w:rsidR="00FE6E19" w:rsidRPr="00247C0A">
          <w:rPr>
            <w:rStyle w:val="Hyperlink"/>
            <w:rFonts w:ascii="Times New Roman" w:hAnsi="Times New Roman" w:cs="Times New Roman"/>
            <w:i/>
            <w:sz w:val="28"/>
            <w:szCs w:val="28"/>
          </w:rPr>
          <w:t xml:space="preserve"> v. </w:t>
        </w:r>
        <w:proofErr w:type="spellStart"/>
        <w:r w:rsidR="00FE6E19" w:rsidRPr="00247C0A">
          <w:rPr>
            <w:rStyle w:val="Hyperlink"/>
            <w:rFonts w:ascii="Times New Roman" w:hAnsi="Times New Roman" w:cs="Times New Roman"/>
            <w:i/>
            <w:sz w:val="28"/>
            <w:szCs w:val="28"/>
          </w:rPr>
          <w:t>Prokasky</w:t>
        </w:r>
        <w:proofErr w:type="spellEnd"/>
        <w:r w:rsidR="00FE6E19" w:rsidRPr="00247C0A">
          <w:rPr>
            <w:rStyle w:val="Hyperlink"/>
            <w:rFonts w:ascii="Times New Roman" w:hAnsi="Times New Roman" w:cs="Times New Roman"/>
            <w:sz w:val="28"/>
            <w:szCs w:val="28"/>
          </w:rPr>
          <w:t>, 507 N.W.2d 858, 863 (Minn. Ct. App. 1993)</w:t>
        </w:r>
      </w:hyperlink>
      <w:r w:rsidR="00FE6E19" w:rsidRPr="00247C0A">
        <w:rPr>
          <w:rFonts w:ascii="Times New Roman" w:hAnsi="Times New Roman" w:cs="Times New Roman"/>
          <w:sz w:val="28"/>
          <w:szCs w:val="28"/>
        </w:rPr>
        <w:t xml:space="preserve"> (“when property is held in tenancy in common, there is unity of possession whereby each owner has an undivided interest and cannot claim any specific portion of the property until partition”)</w:t>
      </w:r>
      <w:r w:rsidR="00EB38C5" w:rsidRPr="00247C0A">
        <w:rPr>
          <w:rFonts w:ascii="Times New Roman" w:hAnsi="Times New Roman" w:cs="Times New Roman"/>
          <w:sz w:val="28"/>
          <w:szCs w:val="28"/>
        </w:rPr>
        <w:t>.</w:t>
      </w:r>
    </w:p>
    <w:p w14:paraId="413DBB3E" w14:textId="77777777" w:rsidR="00D81A95" w:rsidRPr="00247C0A" w:rsidRDefault="00D81A95" w:rsidP="00D81A95">
      <w:pPr>
        <w:pStyle w:val="FootnoteText"/>
        <w:rPr>
          <w:rFonts w:ascii="Times New Roman" w:hAnsi="Times New Roman" w:cs="Times New Roman"/>
          <w:sz w:val="28"/>
          <w:szCs w:val="28"/>
        </w:rPr>
      </w:pPr>
      <w:r w:rsidRPr="00247C0A">
        <w:rPr>
          <w:rFonts w:ascii="Times New Roman" w:hAnsi="Times New Roman" w:cs="Times New Roman"/>
          <w:sz w:val="28"/>
          <w:szCs w:val="28"/>
        </w:rPr>
        <w:t>What is the rule f</w:t>
      </w:r>
      <w:r w:rsidR="00EE4798" w:rsidRPr="00247C0A">
        <w:rPr>
          <w:rFonts w:ascii="Times New Roman" w:hAnsi="Times New Roman" w:cs="Times New Roman"/>
          <w:sz w:val="28"/>
          <w:szCs w:val="28"/>
        </w:rPr>
        <w:t xml:space="preserve">rom the tenants’ </w:t>
      </w:r>
      <w:r w:rsidRPr="00247C0A">
        <w:rPr>
          <w:rFonts w:ascii="Times New Roman" w:hAnsi="Times New Roman" w:cs="Times New Roman"/>
          <w:sz w:val="28"/>
          <w:szCs w:val="28"/>
        </w:rPr>
        <w:t>point of view i</w:t>
      </w:r>
      <w:r w:rsidR="00EE4798" w:rsidRPr="00247C0A">
        <w:rPr>
          <w:rFonts w:ascii="Times New Roman" w:hAnsi="Times New Roman" w:cs="Times New Roman"/>
          <w:sz w:val="28"/>
          <w:szCs w:val="28"/>
        </w:rPr>
        <w:t xml:space="preserve">f they </w:t>
      </w:r>
      <w:r w:rsidRPr="00247C0A">
        <w:rPr>
          <w:rFonts w:ascii="Times New Roman" w:hAnsi="Times New Roman" w:cs="Times New Roman"/>
          <w:sz w:val="28"/>
          <w:szCs w:val="28"/>
        </w:rPr>
        <w:t>want</w:t>
      </w:r>
      <w:r w:rsidR="00EE4798" w:rsidRPr="00247C0A">
        <w:rPr>
          <w:rFonts w:ascii="Times New Roman" w:hAnsi="Times New Roman" w:cs="Times New Roman"/>
          <w:sz w:val="28"/>
          <w:szCs w:val="28"/>
        </w:rPr>
        <w:t xml:space="preserve"> to sue the landlord for not returning</w:t>
      </w:r>
      <w:r w:rsidR="007D0E5B" w:rsidRPr="00247C0A">
        <w:rPr>
          <w:rFonts w:ascii="Times New Roman" w:hAnsi="Times New Roman" w:cs="Times New Roman"/>
          <w:sz w:val="28"/>
          <w:szCs w:val="28"/>
        </w:rPr>
        <w:t xml:space="preserve"> the deposit? C</w:t>
      </w:r>
      <w:r w:rsidRPr="00247C0A">
        <w:rPr>
          <w:rFonts w:ascii="Times New Roman" w:hAnsi="Times New Roman" w:cs="Times New Roman"/>
          <w:sz w:val="28"/>
          <w:szCs w:val="28"/>
        </w:rPr>
        <w:t xml:space="preserve">ommon law holds that tenants in common must join in an action against a stranger for an injury to the common property, but a single tenant in common may maintain such an action if his cotenants refuse to join or are nonresidents or are out of the state. </w:t>
      </w:r>
      <w:hyperlink r:id="rId23" w:history="1">
        <w:r w:rsidRPr="00247C0A">
          <w:rPr>
            <w:rFonts w:ascii="Times New Roman" w:hAnsi="Times New Roman" w:cs="Times New Roman"/>
            <w:i/>
            <w:color w:val="0000FF"/>
            <w:sz w:val="28"/>
            <w:szCs w:val="28"/>
            <w:u w:val="single"/>
          </w:rPr>
          <w:t>Rowland v. McLaughlin Bros</w:t>
        </w:r>
        <w:r w:rsidR="0072617B" w:rsidRPr="00247C0A">
          <w:rPr>
            <w:rFonts w:ascii="Times New Roman" w:hAnsi="Times New Roman" w:cs="Times New Roman"/>
            <w:color w:val="0000FF"/>
            <w:sz w:val="28"/>
            <w:szCs w:val="28"/>
            <w:u w:val="single"/>
          </w:rPr>
          <w:t xml:space="preserve">, 110 Minn. 398, 125 N.W. </w:t>
        </w:r>
        <w:r w:rsidRPr="00247C0A">
          <w:rPr>
            <w:rFonts w:ascii="Times New Roman" w:hAnsi="Times New Roman" w:cs="Times New Roman"/>
            <w:color w:val="0000FF"/>
            <w:sz w:val="28"/>
            <w:szCs w:val="28"/>
            <w:u w:val="single"/>
          </w:rPr>
          <w:t>1019 (1910)</w:t>
        </w:r>
      </w:hyperlink>
      <w:r w:rsidRPr="00247C0A">
        <w:rPr>
          <w:rFonts w:ascii="Times New Roman" w:hAnsi="Times New Roman" w:cs="Times New Roman"/>
          <w:sz w:val="28"/>
          <w:szCs w:val="28"/>
        </w:rPr>
        <w:t xml:space="preserve">; </w:t>
      </w:r>
      <w:hyperlink r:id="rId24" w:history="1">
        <w:r w:rsidRPr="00247C0A">
          <w:rPr>
            <w:rFonts w:ascii="Times New Roman" w:hAnsi="Times New Roman" w:cs="Times New Roman"/>
            <w:i/>
            <w:color w:val="0000FF"/>
            <w:sz w:val="28"/>
            <w:szCs w:val="28"/>
            <w:u w:val="single"/>
          </w:rPr>
          <w:t>Peck v. McLean</w:t>
        </w:r>
        <w:r w:rsidRPr="00247C0A">
          <w:rPr>
            <w:rFonts w:ascii="Times New Roman" w:hAnsi="Times New Roman" w:cs="Times New Roman"/>
            <w:color w:val="0000FF"/>
            <w:sz w:val="28"/>
            <w:szCs w:val="28"/>
            <w:u w:val="single"/>
          </w:rPr>
          <w:t>, 36 Minn. 228, 30 N.W. 759 (1886)</w:t>
        </w:r>
      </w:hyperlink>
      <w:r w:rsidRPr="00247C0A">
        <w:rPr>
          <w:rFonts w:ascii="Times New Roman" w:hAnsi="Times New Roman" w:cs="Times New Roman"/>
          <w:sz w:val="28"/>
          <w:szCs w:val="28"/>
        </w:rPr>
        <w:t>. This suggest</w:t>
      </w:r>
      <w:r w:rsidR="0072617B" w:rsidRPr="00247C0A">
        <w:rPr>
          <w:rFonts w:ascii="Times New Roman" w:hAnsi="Times New Roman" w:cs="Times New Roman"/>
          <w:sz w:val="28"/>
          <w:szCs w:val="28"/>
        </w:rPr>
        <w:t>s</w:t>
      </w:r>
      <w:r w:rsidRPr="00247C0A">
        <w:rPr>
          <w:rFonts w:ascii="Times New Roman" w:hAnsi="Times New Roman" w:cs="Times New Roman"/>
          <w:sz w:val="28"/>
          <w:szCs w:val="28"/>
        </w:rPr>
        <w:t xml:space="preserve"> that </w:t>
      </w:r>
      <w:r w:rsidR="00130D88" w:rsidRPr="00247C0A">
        <w:rPr>
          <w:rFonts w:ascii="Times New Roman" w:hAnsi="Times New Roman" w:cs="Times New Roman"/>
          <w:sz w:val="28"/>
          <w:szCs w:val="28"/>
        </w:rPr>
        <w:t xml:space="preserve">all </w:t>
      </w:r>
      <w:r w:rsidR="00EE4798" w:rsidRPr="00247C0A">
        <w:rPr>
          <w:rFonts w:ascii="Times New Roman" w:hAnsi="Times New Roman" w:cs="Times New Roman"/>
          <w:sz w:val="28"/>
          <w:szCs w:val="28"/>
        </w:rPr>
        <w:t xml:space="preserve">the </w:t>
      </w:r>
      <w:r w:rsidRPr="00247C0A">
        <w:rPr>
          <w:rFonts w:ascii="Times New Roman" w:hAnsi="Times New Roman" w:cs="Times New Roman"/>
          <w:sz w:val="28"/>
          <w:szCs w:val="28"/>
        </w:rPr>
        <w:t>ex-</w:t>
      </w:r>
      <w:r w:rsidR="00EE4798" w:rsidRPr="00247C0A">
        <w:rPr>
          <w:rFonts w:ascii="Times New Roman" w:hAnsi="Times New Roman" w:cs="Times New Roman"/>
          <w:sz w:val="28"/>
          <w:szCs w:val="28"/>
        </w:rPr>
        <w:t>cotenants (ex-roommates) must sue as a group</w:t>
      </w:r>
      <w:r w:rsidRPr="00247C0A">
        <w:rPr>
          <w:rFonts w:ascii="Times New Roman" w:hAnsi="Times New Roman" w:cs="Times New Roman"/>
          <w:sz w:val="28"/>
          <w:szCs w:val="28"/>
        </w:rPr>
        <w:t xml:space="preserve"> unless</w:t>
      </w:r>
      <w:r w:rsidR="00EE4798" w:rsidRPr="00247C0A">
        <w:rPr>
          <w:rFonts w:ascii="Times New Roman" w:hAnsi="Times New Roman" w:cs="Times New Roman"/>
          <w:sz w:val="28"/>
          <w:szCs w:val="28"/>
        </w:rPr>
        <w:t xml:space="preserve"> one or more ex-roommate is out of state o</w:t>
      </w:r>
      <w:r w:rsidRPr="00247C0A">
        <w:rPr>
          <w:rFonts w:ascii="Times New Roman" w:hAnsi="Times New Roman" w:cs="Times New Roman"/>
          <w:sz w:val="28"/>
          <w:szCs w:val="28"/>
        </w:rPr>
        <w:t>r refuses to join the suit.</w:t>
      </w:r>
      <w:r w:rsidR="005804E5" w:rsidRPr="00247C0A">
        <w:rPr>
          <w:rStyle w:val="FootnoteReference"/>
          <w:rFonts w:ascii="Times New Roman" w:hAnsi="Times New Roman" w:cs="Times New Roman"/>
          <w:sz w:val="28"/>
          <w:szCs w:val="28"/>
        </w:rPr>
        <w:footnoteReference w:id="10"/>
      </w:r>
    </w:p>
    <w:p w14:paraId="78450F9D" w14:textId="77777777" w:rsidR="00D81A95" w:rsidRPr="00247C0A" w:rsidRDefault="00D81A95" w:rsidP="00D81A95">
      <w:pPr>
        <w:pStyle w:val="FootnoteText"/>
        <w:rPr>
          <w:rFonts w:ascii="Times New Roman" w:hAnsi="Times New Roman" w:cs="Times New Roman"/>
          <w:sz w:val="28"/>
          <w:szCs w:val="28"/>
        </w:rPr>
      </w:pPr>
    </w:p>
    <w:p w14:paraId="3572BB65" w14:textId="77777777" w:rsidR="006F6D59" w:rsidRDefault="006F6D59" w:rsidP="00D81A95">
      <w:pPr>
        <w:pStyle w:val="FootnoteText"/>
        <w:rPr>
          <w:rFonts w:ascii="Times New Roman" w:hAnsi="Times New Roman" w:cs="Times New Roman"/>
          <w:sz w:val="28"/>
          <w:szCs w:val="28"/>
          <w:u w:val="single"/>
        </w:rPr>
      </w:pPr>
    </w:p>
    <w:p w14:paraId="0C74EEED" w14:textId="6300EC36" w:rsidR="00E839B3" w:rsidRPr="00247C0A" w:rsidRDefault="00E839B3" w:rsidP="00D81A95">
      <w:pPr>
        <w:pStyle w:val="FootnoteText"/>
        <w:rPr>
          <w:rFonts w:ascii="Times New Roman" w:hAnsi="Times New Roman" w:cs="Times New Roman"/>
          <w:sz w:val="28"/>
          <w:szCs w:val="28"/>
          <w:u w:val="single"/>
        </w:rPr>
      </w:pPr>
      <w:r w:rsidRPr="00247C0A">
        <w:rPr>
          <w:rFonts w:ascii="Times New Roman" w:hAnsi="Times New Roman" w:cs="Times New Roman"/>
          <w:sz w:val="28"/>
          <w:szCs w:val="28"/>
          <w:u w:val="single"/>
        </w:rPr>
        <w:lastRenderedPageBreak/>
        <w:t>Subdivision 3(b) – allowable deductions</w:t>
      </w:r>
    </w:p>
    <w:p w14:paraId="7CFEBB5B" w14:textId="77777777" w:rsidR="00D81A95" w:rsidRPr="00247C0A" w:rsidRDefault="00D81A95" w:rsidP="00D81A95">
      <w:pPr>
        <w:pStyle w:val="FootnoteText"/>
        <w:rPr>
          <w:rFonts w:ascii="Times New Roman" w:hAnsi="Times New Roman" w:cs="Times New Roman"/>
          <w:sz w:val="28"/>
          <w:szCs w:val="28"/>
          <w:u w:val="single"/>
        </w:rPr>
      </w:pPr>
    </w:p>
    <w:p w14:paraId="1966A052" w14:textId="66659A46" w:rsidR="00247C0A" w:rsidRPr="00247C0A" w:rsidRDefault="00D829DF">
      <w:pPr>
        <w:rPr>
          <w:rFonts w:ascii="Times New Roman" w:hAnsi="Times New Roman" w:cs="Times New Roman"/>
          <w:sz w:val="28"/>
          <w:szCs w:val="28"/>
        </w:rPr>
      </w:pPr>
      <w:r w:rsidRPr="00247C0A">
        <w:rPr>
          <w:rFonts w:ascii="Times New Roman" w:hAnsi="Times New Roman" w:cs="Times New Roman"/>
          <w:sz w:val="28"/>
          <w:szCs w:val="28"/>
        </w:rPr>
        <w:t xml:space="preserve">The landlord may deduct from the deposit + interest for </w:t>
      </w:r>
      <w:r w:rsidR="00F7118F" w:rsidRPr="00247C0A">
        <w:rPr>
          <w:rFonts w:ascii="Times New Roman" w:hAnsi="Times New Roman" w:cs="Times New Roman"/>
          <w:sz w:val="28"/>
          <w:szCs w:val="28"/>
        </w:rPr>
        <w:t>three kinds of claims</w:t>
      </w:r>
      <w:r w:rsidR="006311FE">
        <w:rPr>
          <w:rFonts w:ascii="Times New Roman" w:hAnsi="Times New Roman" w:cs="Times New Roman"/>
          <w:sz w:val="28"/>
          <w:szCs w:val="28"/>
        </w:rPr>
        <w:t xml:space="preserve"> --</w:t>
      </w:r>
      <w:r w:rsidRPr="00247C0A">
        <w:rPr>
          <w:rFonts w:ascii="Times New Roman" w:hAnsi="Times New Roman" w:cs="Times New Roman"/>
          <w:sz w:val="28"/>
          <w:szCs w:val="28"/>
        </w:rPr>
        <w:t xml:space="preserve"> </w:t>
      </w:r>
      <w:r w:rsidR="00F7118F" w:rsidRPr="00247C0A">
        <w:rPr>
          <w:rFonts w:ascii="Times New Roman" w:hAnsi="Times New Roman" w:cs="Times New Roman"/>
          <w:sz w:val="28"/>
          <w:szCs w:val="28"/>
        </w:rPr>
        <w:t xml:space="preserve">two types of </w:t>
      </w:r>
      <w:r w:rsidRPr="00247C0A">
        <w:rPr>
          <w:rFonts w:ascii="Times New Roman" w:hAnsi="Times New Roman" w:cs="Times New Roman"/>
          <w:sz w:val="28"/>
          <w:szCs w:val="28"/>
        </w:rPr>
        <w:t>financial damage and physical damage.</w:t>
      </w:r>
    </w:p>
    <w:p w14:paraId="22397853" w14:textId="77777777" w:rsidR="00F7118F" w:rsidRPr="00247C0A" w:rsidRDefault="00F7118F" w:rsidP="00F7118F">
      <w:pPr>
        <w:rPr>
          <w:rFonts w:ascii="Times New Roman" w:hAnsi="Times New Roman" w:cs="Times New Roman"/>
          <w:sz w:val="28"/>
          <w:szCs w:val="28"/>
          <w:u w:val="single"/>
        </w:rPr>
      </w:pPr>
      <w:r w:rsidRPr="00247C0A">
        <w:rPr>
          <w:rFonts w:ascii="Times New Roman" w:hAnsi="Times New Roman" w:cs="Times New Roman"/>
          <w:sz w:val="28"/>
          <w:szCs w:val="28"/>
        </w:rPr>
        <w:tab/>
      </w:r>
      <w:r w:rsidRPr="00247C0A">
        <w:rPr>
          <w:rFonts w:ascii="Times New Roman" w:hAnsi="Times New Roman" w:cs="Times New Roman"/>
          <w:sz w:val="28"/>
          <w:szCs w:val="28"/>
          <w:u w:val="single"/>
        </w:rPr>
        <w:t>Physical damage claims – subdivision 3(b)(2)</w:t>
      </w:r>
    </w:p>
    <w:p w14:paraId="11C9DC86" w14:textId="77777777" w:rsidR="00F7118F" w:rsidRPr="00247C0A" w:rsidRDefault="00F7118F" w:rsidP="00F7118F">
      <w:pPr>
        <w:rPr>
          <w:rFonts w:ascii="Times New Roman" w:hAnsi="Times New Roman" w:cs="Times New Roman"/>
          <w:color w:val="000000"/>
          <w:sz w:val="28"/>
          <w:szCs w:val="28"/>
          <w:shd w:val="clear" w:color="auto" w:fill="FFFFFF"/>
        </w:rPr>
      </w:pPr>
      <w:r w:rsidRPr="00247C0A">
        <w:rPr>
          <w:rFonts w:ascii="Times New Roman" w:hAnsi="Times New Roman" w:cs="Times New Roman"/>
          <w:sz w:val="28"/>
          <w:szCs w:val="28"/>
        </w:rPr>
        <w:t>The landlord may deduct “</w:t>
      </w:r>
      <w:r w:rsidRPr="00247C0A">
        <w:rPr>
          <w:rFonts w:ascii="Times New Roman" w:hAnsi="Times New Roman" w:cs="Times New Roman"/>
          <w:color w:val="000000"/>
          <w:sz w:val="28"/>
          <w:szCs w:val="28"/>
          <w:shd w:val="clear" w:color="auto" w:fill="FFFFFF"/>
        </w:rPr>
        <w:t>to restore the premises to their condition at the commencement of the tenancy, ordinary wear and tear excepted.”</w:t>
      </w:r>
    </w:p>
    <w:p w14:paraId="081DC864" w14:textId="6433E1A8" w:rsidR="00F7118F" w:rsidRPr="00247C0A" w:rsidRDefault="00F7118F" w:rsidP="00F7118F">
      <w:pPr>
        <w:rPr>
          <w:rFonts w:ascii="Times New Roman" w:hAnsi="Times New Roman" w:cs="Times New Roman"/>
          <w:sz w:val="28"/>
          <w:szCs w:val="28"/>
        </w:rPr>
      </w:pPr>
      <w:r w:rsidRPr="00247C0A">
        <w:rPr>
          <w:rFonts w:ascii="Times New Roman" w:hAnsi="Times New Roman" w:cs="Times New Roman"/>
          <w:color w:val="000000"/>
          <w:sz w:val="28"/>
          <w:szCs w:val="28"/>
          <w:shd w:val="clear" w:color="auto" w:fill="FFFFFF"/>
        </w:rPr>
        <w:t xml:space="preserve">“Ordinary wear and tear” </w:t>
      </w:r>
      <w:proofErr w:type="gramStart"/>
      <w:r w:rsidRPr="00247C0A">
        <w:rPr>
          <w:rFonts w:ascii="Times New Roman" w:hAnsi="Times New Roman" w:cs="Times New Roman"/>
          <w:color w:val="000000"/>
          <w:sz w:val="28"/>
          <w:szCs w:val="28"/>
          <w:shd w:val="clear" w:color="auto" w:fill="FFFFFF"/>
        </w:rPr>
        <w:t>is</w:t>
      </w:r>
      <w:proofErr w:type="gramEnd"/>
      <w:r w:rsidRPr="00247C0A">
        <w:rPr>
          <w:rFonts w:ascii="Times New Roman" w:hAnsi="Times New Roman" w:cs="Times New Roman"/>
          <w:color w:val="000000"/>
          <w:sz w:val="28"/>
          <w:szCs w:val="28"/>
          <w:shd w:val="clear" w:color="auto" w:fill="FFFFFF"/>
        </w:rPr>
        <w:t xml:space="preserve"> not defined in </w:t>
      </w:r>
      <w:r w:rsidRPr="00247C0A">
        <w:rPr>
          <w:rFonts w:ascii="Times New Roman" w:hAnsi="Times New Roman" w:cs="Times New Roman"/>
          <w:sz w:val="28"/>
          <w:szCs w:val="28"/>
        </w:rPr>
        <w:t xml:space="preserve">Minn. Stat. § 504B.178. At least some district courts have adopted the definition stated in an insurance case, </w:t>
      </w:r>
      <w:hyperlink r:id="rId25" w:history="1">
        <w:r w:rsidRPr="00247C0A">
          <w:rPr>
            <w:rStyle w:val="Hyperlink"/>
            <w:rFonts w:ascii="Times New Roman" w:hAnsi="Times New Roman" w:cs="Times New Roman"/>
            <w:i/>
            <w:iCs/>
            <w:sz w:val="28"/>
            <w:szCs w:val="28"/>
          </w:rPr>
          <w:t>Sentinel Management Co. v. New Hampshire Ins. Co.</w:t>
        </w:r>
        <w:r w:rsidRPr="00247C0A">
          <w:rPr>
            <w:rStyle w:val="Hyperlink"/>
            <w:rFonts w:ascii="Times New Roman" w:hAnsi="Times New Roman" w:cs="Times New Roman"/>
            <w:sz w:val="28"/>
            <w:szCs w:val="28"/>
          </w:rPr>
          <w:t>, 563 N.W.2d 296, 301 (Minn. Ct. App. 1997)</w:t>
        </w:r>
      </w:hyperlink>
      <w:r w:rsidRPr="00247C0A">
        <w:rPr>
          <w:rFonts w:ascii="Times New Roman" w:hAnsi="Times New Roman" w:cs="Times New Roman"/>
          <w:sz w:val="28"/>
          <w:szCs w:val="28"/>
        </w:rPr>
        <w:t xml:space="preserve"> (“Ordinary wear and tear is the process of ordinary and natural  deterioration which an object experiences by its expected contacts  between its component parts and outside objects  during the period of its natural  life expectancy.") A common</w:t>
      </w:r>
      <w:r w:rsidR="00247C0A">
        <w:rPr>
          <w:rFonts w:ascii="Times New Roman" w:hAnsi="Times New Roman" w:cs="Times New Roman"/>
          <w:sz w:val="28"/>
          <w:szCs w:val="28"/>
        </w:rPr>
        <w:t>-s</w:t>
      </w:r>
      <w:r w:rsidRPr="00247C0A">
        <w:rPr>
          <w:rFonts w:ascii="Times New Roman" w:hAnsi="Times New Roman" w:cs="Times New Roman"/>
          <w:sz w:val="28"/>
          <w:szCs w:val="28"/>
        </w:rPr>
        <w:t>ense definition would be that or something close to it.</w:t>
      </w:r>
    </w:p>
    <w:p w14:paraId="799D5148" w14:textId="5AF0202E" w:rsidR="00F7118F" w:rsidRPr="00247C0A" w:rsidRDefault="00F7118F" w:rsidP="00F7118F">
      <w:pPr>
        <w:rPr>
          <w:rFonts w:ascii="Times New Roman" w:hAnsi="Times New Roman" w:cs="Times New Roman"/>
          <w:color w:val="FF0000"/>
          <w:sz w:val="28"/>
          <w:szCs w:val="28"/>
        </w:rPr>
      </w:pPr>
      <w:r w:rsidRPr="00247C0A">
        <w:rPr>
          <w:rFonts w:ascii="Times New Roman" w:hAnsi="Times New Roman" w:cs="Times New Roman"/>
          <w:sz w:val="28"/>
          <w:szCs w:val="28"/>
        </w:rPr>
        <w:t>One issue that come</w:t>
      </w:r>
      <w:r w:rsidR="006F6D59">
        <w:rPr>
          <w:rFonts w:ascii="Times New Roman" w:hAnsi="Times New Roman" w:cs="Times New Roman"/>
          <w:sz w:val="28"/>
          <w:szCs w:val="28"/>
        </w:rPr>
        <w:t>s</w:t>
      </w:r>
      <w:r w:rsidRPr="00247C0A">
        <w:rPr>
          <w:rFonts w:ascii="Times New Roman" w:hAnsi="Times New Roman" w:cs="Times New Roman"/>
          <w:sz w:val="28"/>
          <w:szCs w:val="28"/>
        </w:rPr>
        <w:t xml:space="preserve"> up is whether it matters what the lease did or did not allow for uses. No Minnesota appellate case has dealt with that precise issue. Other states’ courts have held the anticipated use matters. One example is </w:t>
      </w:r>
      <w:hyperlink r:id="rId26" w:history="1">
        <w:r w:rsidRPr="00247C0A">
          <w:rPr>
            <w:rStyle w:val="Hyperlink"/>
            <w:rFonts w:ascii="Times New Roman" w:hAnsi="Times New Roman" w:cs="Times New Roman"/>
            <w:i/>
            <w:iCs/>
            <w:sz w:val="28"/>
            <w:szCs w:val="28"/>
          </w:rPr>
          <w:t xml:space="preserve">Mongeon Bay Props., LLC v. Mallets Bay Homeowner's </w:t>
        </w:r>
        <w:proofErr w:type="spellStart"/>
        <w:r w:rsidRPr="00247C0A">
          <w:rPr>
            <w:rStyle w:val="Hyperlink"/>
            <w:rFonts w:ascii="Times New Roman" w:hAnsi="Times New Roman" w:cs="Times New Roman"/>
            <w:i/>
            <w:iCs/>
            <w:sz w:val="28"/>
            <w:szCs w:val="28"/>
          </w:rPr>
          <w:t>Ass'n</w:t>
        </w:r>
        <w:proofErr w:type="spellEnd"/>
        <w:r w:rsidRPr="00247C0A">
          <w:rPr>
            <w:rStyle w:val="Hyperlink"/>
            <w:rFonts w:ascii="Times New Roman" w:hAnsi="Times New Roman" w:cs="Times New Roman"/>
            <w:sz w:val="28"/>
            <w:szCs w:val="28"/>
          </w:rPr>
          <w:t>, 2016 VT 64, ¶ 34 (2016)</w:t>
        </w:r>
      </w:hyperlink>
      <w:r w:rsidRPr="00247C0A">
        <w:rPr>
          <w:rFonts w:ascii="Times New Roman" w:hAnsi="Times New Roman" w:cs="Times New Roman"/>
          <w:sz w:val="28"/>
          <w:szCs w:val="28"/>
        </w:rPr>
        <w:t xml:space="preserve"> (“‘Ordinary wear and tear’ is … </w:t>
      </w:r>
      <w:r w:rsidRPr="001F0511">
        <w:rPr>
          <w:rFonts w:ascii="Times New Roman" w:hAnsi="Times New Roman" w:cs="Times New Roman"/>
          <w:sz w:val="28"/>
          <w:szCs w:val="28"/>
        </w:rPr>
        <w:t xml:space="preserve">based upon the </w:t>
      </w:r>
      <w:r w:rsidRPr="001F0511">
        <w:rPr>
          <w:rFonts w:ascii="Times New Roman" w:hAnsi="Times New Roman" w:cs="Times New Roman"/>
          <w:i/>
          <w:iCs/>
          <w:sz w:val="28"/>
          <w:szCs w:val="28"/>
        </w:rPr>
        <w:t>reasonable</w:t>
      </w:r>
      <w:r w:rsidRPr="001F0511">
        <w:rPr>
          <w:rFonts w:ascii="Times New Roman" w:hAnsi="Times New Roman" w:cs="Times New Roman"/>
          <w:sz w:val="28"/>
          <w:szCs w:val="28"/>
        </w:rPr>
        <w:t xml:space="preserve"> use for which the rental unit is intended”</w:t>
      </w:r>
      <w:r w:rsidR="001F0511">
        <w:rPr>
          <w:rFonts w:ascii="Times New Roman" w:hAnsi="Times New Roman" w:cs="Times New Roman"/>
          <w:sz w:val="28"/>
          <w:szCs w:val="28"/>
        </w:rPr>
        <w:t xml:space="preserve"> [emphasis in original]</w:t>
      </w:r>
      <w:r w:rsidRPr="001F0511">
        <w:rPr>
          <w:rFonts w:ascii="Times New Roman" w:hAnsi="Times New Roman" w:cs="Times New Roman"/>
          <w:sz w:val="28"/>
          <w:szCs w:val="28"/>
        </w:rPr>
        <w:t>).</w:t>
      </w:r>
      <w:r w:rsidRPr="00247C0A">
        <w:rPr>
          <w:rFonts w:ascii="Times New Roman" w:hAnsi="Times New Roman" w:cs="Times New Roman"/>
          <w:sz w:val="28"/>
          <w:szCs w:val="28"/>
        </w:rPr>
        <w:t xml:space="preserve"> At least one Minnesota trial court has agreed, holding that wall stains from cigarette use were ordinary wear and tear since the lease allowed smoking. </w:t>
      </w:r>
      <w:hyperlink r:id="rId27" w:history="1">
        <w:r w:rsidRPr="00247C0A">
          <w:rPr>
            <w:rStyle w:val="Hyperlink"/>
            <w:rFonts w:ascii="Times New Roman" w:hAnsi="Times New Roman" w:cs="Times New Roman"/>
            <w:i/>
            <w:iCs/>
            <w:sz w:val="28"/>
            <w:szCs w:val="28"/>
          </w:rPr>
          <w:t>Graven v. AHMC Properties</w:t>
        </w:r>
        <w:r w:rsidRPr="00247C0A">
          <w:rPr>
            <w:rStyle w:val="Hyperlink"/>
            <w:rFonts w:ascii="Times New Roman" w:hAnsi="Times New Roman" w:cs="Times New Roman"/>
            <w:sz w:val="28"/>
            <w:szCs w:val="28"/>
          </w:rPr>
          <w:t xml:space="preserve">, Minn. Conc. Ct. File No. 43-CO-15-96 (McLeod </w:t>
        </w:r>
        <w:proofErr w:type="spellStart"/>
        <w:r w:rsidRPr="00247C0A">
          <w:rPr>
            <w:rStyle w:val="Hyperlink"/>
            <w:rFonts w:ascii="Times New Roman" w:hAnsi="Times New Roman" w:cs="Times New Roman"/>
            <w:sz w:val="28"/>
            <w:szCs w:val="28"/>
          </w:rPr>
          <w:t>Cty</w:t>
        </w:r>
        <w:proofErr w:type="spellEnd"/>
        <w:r w:rsidRPr="00247C0A">
          <w:rPr>
            <w:rStyle w:val="Hyperlink"/>
            <w:rFonts w:ascii="Times New Roman" w:hAnsi="Times New Roman" w:cs="Times New Roman"/>
            <w:sz w:val="28"/>
            <w:szCs w:val="28"/>
          </w:rPr>
          <w:t>. Nov. 5, 2015) at 2-3</w:t>
        </w:r>
      </w:hyperlink>
      <w:r w:rsidRPr="00247C0A">
        <w:rPr>
          <w:rFonts w:ascii="Times New Roman" w:hAnsi="Times New Roman" w:cs="Times New Roman"/>
          <w:color w:val="FF0000"/>
          <w:sz w:val="28"/>
          <w:szCs w:val="28"/>
        </w:rPr>
        <w:t>.</w:t>
      </w:r>
    </w:p>
    <w:p w14:paraId="234436C3" w14:textId="77777777" w:rsidR="00F7118F" w:rsidRPr="00247C0A" w:rsidRDefault="00F7118F" w:rsidP="00F7118F">
      <w:pPr>
        <w:rPr>
          <w:rFonts w:ascii="Times New Roman" w:hAnsi="Times New Roman" w:cs="Times New Roman"/>
          <w:sz w:val="28"/>
          <w:szCs w:val="28"/>
        </w:rPr>
      </w:pPr>
      <w:r w:rsidRPr="00247C0A">
        <w:rPr>
          <w:rFonts w:ascii="Times New Roman" w:hAnsi="Times New Roman" w:cs="Times New Roman"/>
          <w:sz w:val="28"/>
          <w:szCs w:val="28"/>
        </w:rPr>
        <w:t xml:space="preserve">What about nail holes? These seem like intentional damage, albeit not evil, but courts in some other states have determined them to be ordinary wear and tear. E.g. see </w:t>
      </w:r>
      <w:hyperlink r:id="rId28" w:history="1">
        <w:r w:rsidRPr="00247C0A">
          <w:rPr>
            <w:rStyle w:val="Hyperlink"/>
            <w:rFonts w:ascii="Times New Roman" w:hAnsi="Times New Roman" w:cs="Times New Roman"/>
            <w:i/>
            <w:iCs/>
            <w:sz w:val="28"/>
            <w:szCs w:val="28"/>
          </w:rPr>
          <w:t>Tobin v. McClure</w:t>
        </w:r>
        <w:r w:rsidRPr="00247C0A">
          <w:rPr>
            <w:rStyle w:val="Hyperlink"/>
            <w:rFonts w:ascii="Times New Roman" w:hAnsi="Times New Roman" w:cs="Times New Roman"/>
            <w:sz w:val="28"/>
            <w:szCs w:val="28"/>
          </w:rPr>
          <w:t>, 144 Ill.App.3d 33, 98 Ill. Dec. 194, 493 N.E.2d 1215 (1986)</w:t>
        </w:r>
      </w:hyperlink>
      <w:r w:rsidRPr="00247C0A">
        <w:rPr>
          <w:rFonts w:ascii="Times New Roman" w:hAnsi="Times New Roman" w:cs="Times New Roman"/>
          <w:sz w:val="28"/>
          <w:szCs w:val="28"/>
        </w:rPr>
        <w:t xml:space="preserve">. </w:t>
      </w:r>
      <w:proofErr w:type="gramStart"/>
      <w:r w:rsidRPr="00247C0A">
        <w:rPr>
          <w:rFonts w:ascii="Times New Roman" w:hAnsi="Times New Roman" w:cs="Times New Roman"/>
          <w:sz w:val="28"/>
          <w:szCs w:val="28"/>
        </w:rPr>
        <w:t>Also</w:t>
      </w:r>
      <w:proofErr w:type="gramEnd"/>
      <w:r w:rsidRPr="00247C0A">
        <w:rPr>
          <w:rFonts w:ascii="Times New Roman" w:hAnsi="Times New Roman" w:cs="Times New Roman"/>
          <w:sz w:val="28"/>
          <w:szCs w:val="28"/>
        </w:rPr>
        <w:t xml:space="preserve"> both the Minnesota Housing Finance Agency and more surprisingly the Minnesota landlords’ main trade group, the Minnesota </w:t>
      </w:r>
      <w:proofErr w:type="spellStart"/>
      <w:r w:rsidRPr="00247C0A">
        <w:rPr>
          <w:rFonts w:ascii="Times New Roman" w:hAnsi="Times New Roman" w:cs="Times New Roman"/>
          <w:sz w:val="28"/>
          <w:szCs w:val="28"/>
        </w:rPr>
        <w:t>Multihousing</w:t>
      </w:r>
      <w:proofErr w:type="spellEnd"/>
      <w:r w:rsidRPr="00247C0A">
        <w:rPr>
          <w:rFonts w:ascii="Times New Roman" w:hAnsi="Times New Roman" w:cs="Times New Roman"/>
          <w:sz w:val="28"/>
          <w:szCs w:val="28"/>
        </w:rPr>
        <w:t xml:space="preserve"> Association, have published electronic pamphlets saying nail holes, or at least a few holes, are ordinary wear and tear.</w:t>
      </w:r>
      <w:r w:rsidRPr="00247C0A">
        <w:rPr>
          <w:rStyle w:val="FootnoteReference"/>
          <w:rFonts w:ascii="Times New Roman" w:hAnsi="Times New Roman" w:cs="Times New Roman"/>
          <w:sz w:val="28"/>
          <w:szCs w:val="28"/>
        </w:rPr>
        <w:footnoteReference w:id="11"/>
      </w:r>
      <w:r w:rsidRPr="00247C0A">
        <w:rPr>
          <w:rFonts w:ascii="Times New Roman" w:hAnsi="Times New Roman" w:cs="Times New Roman"/>
          <w:sz w:val="28"/>
          <w:szCs w:val="28"/>
        </w:rPr>
        <w:t xml:space="preserve"> This does not give the tenant carte blanche to wreck the walls. See e.g. </w:t>
      </w:r>
      <w:hyperlink r:id="rId29" w:history="1">
        <w:r w:rsidRPr="00247C0A">
          <w:rPr>
            <w:rStyle w:val="Hyperlink"/>
            <w:rFonts w:ascii="Times New Roman" w:hAnsi="Times New Roman" w:cs="Times New Roman"/>
            <w:i/>
            <w:iCs/>
            <w:sz w:val="28"/>
            <w:szCs w:val="28"/>
          </w:rPr>
          <w:t xml:space="preserve">Gaughan Co. v. Swanson, supra </w:t>
        </w:r>
        <w:r w:rsidRPr="00247C0A">
          <w:rPr>
            <w:rStyle w:val="Hyperlink"/>
            <w:rFonts w:ascii="Times New Roman" w:hAnsi="Times New Roman" w:cs="Times New Roman"/>
            <w:sz w:val="28"/>
            <w:szCs w:val="28"/>
          </w:rPr>
          <w:t xml:space="preserve">($107.77 deduction </w:t>
        </w:r>
        <w:r w:rsidRPr="00247C0A">
          <w:rPr>
            <w:rStyle w:val="Hyperlink"/>
            <w:rFonts w:ascii="Times New Roman" w:hAnsi="Times New Roman" w:cs="Times New Roman"/>
            <w:sz w:val="28"/>
            <w:szCs w:val="28"/>
          </w:rPr>
          <w:lastRenderedPageBreak/>
          <w:t>allowed for “walls had crayon marks, 119 nail holes, grease, dirt and food spills on them”)</w:t>
        </w:r>
      </w:hyperlink>
      <w:r w:rsidRPr="00247C0A">
        <w:rPr>
          <w:rFonts w:ascii="Times New Roman" w:hAnsi="Times New Roman" w:cs="Times New Roman"/>
          <w:i/>
          <w:iCs/>
          <w:sz w:val="28"/>
          <w:szCs w:val="28"/>
        </w:rPr>
        <w:t>.</w:t>
      </w:r>
    </w:p>
    <w:p w14:paraId="0AF59735" w14:textId="77777777" w:rsidR="00F7118F" w:rsidRPr="00247C0A" w:rsidRDefault="00F7118F" w:rsidP="00F7118F">
      <w:pPr>
        <w:rPr>
          <w:rFonts w:ascii="Times New Roman" w:hAnsi="Times New Roman" w:cs="Times New Roman"/>
          <w:sz w:val="28"/>
          <w:szCs w:val="28"/>
        </w:rPr>
      </w:pPr>
      <w:r w:rsidRPr="00247C0A">
        <w:rPr>
          <w:rFonts w:ascii="Times New Roman" w:hAnsi="Times New Roman" w:cs="Times New Roman"/>
          <w:sz w:val="28"/>
          <w:szCs w:val="28"/>
        </w:rPr>
        <w:t xml:space="preserve">When the tenant damages something that otherwise would have required replacement in the foreseeable future then depreciation matters. Otherwise, the landlord would make an unfair profit. E.g. if the tenant wrecks carpeting that was five years old and normally would have lasted only six years, the landlord will have to replace the carpeting sooner than expected. However, that carpeting was hardly worth the same as new carpet, so awarding the landlord new-carpeting cost would be wrong. Most courts apply straight-line depreciation to determine what would have been the carpeting’s value on the day the tenant left had the tenant not wrecked it. E.g. see this case, applying the rule and also doing an excellent job of legal analysis of the issue, </w:t>
      </w:r>
      <w:hyperlink r:id="rId30" w:history="1">
        <w:r w:rsidRPr="00247C0A">
          <w:rPr>
            <w:rStyle w:val="Hyperlink"/>
            <w:rFonts w:ascii="Times New Roman" w:hAnsi="Times New Roman" w:cs="Times New Roman"/>
            <w:i/>
            <w:iCs/>
            <w:sz w:val="28"/>
            <w:szCs w:val="28"/>
          </w:rPr>
          <w:t>Babler v. Penn</w:t>
        </w:r>
        <w:r w:rsidRPr="00247C0A">
          <w:rPr>
            <w:rStyle w:val="Hyperlink"/>
            <w:rFonts w:ascii="Times New Roman" w:hAnsi="Times New Roman" w:cs="Times New Roman"/>
            <w:sz w:val="28"/>
            <w:szCs w:val="28"/>
          </w:rPr>
          <w:t xml:space="preserve">, Minn. Dist. Ct. File No. 62-CV-13-1539 (Ramsey </w:t>
        </w:r>
        <w:proofErr w:type="spellStart"/>
        <w:r w:rsidRPr="00247C0A">
          <w:rPr>
            <w:rStyle w:val="Hyperlink"/>
            <w:rFonts w:ascii="Times New Roman" w:hAnsi="Times New Roman" w:cs="Times New Roman"/>
            <w:sz w:val="28"/>
            <w:szCs w:val="28"/>
          </w:rPr>
          <w:t>Cty</w:t>
        </w:r>
        <w:proofErr w:type="spellEnd"/>
        <w:r w:rsidRPr="00247C0A">
          <w:rPr>
            <w:rStyle w:val="Hyperlink"/>
            <w:rFonts w:ascii="Times New Roman" w:hAnsi="Times New Roman" w:cs="Times New Roman"/>
            <w:sz w:val="28"/>
            <w:szCs w:val="28"/>
          </w:rPr>
          <w:t>. Aug. 6, 2013) at 16-19</w:t>
        </w:r>
      </w:hyperlink>
      <w:r w:rsidRPr="00247C0A">
        <w:rPr>
          <w:rFonts w:ascii="Times New Roman" w:hAnsi="Times New Roman" w:cs="Times New Roman"/>
          <w:sz w:val="28"/>
          <w:szCs w:val="28"/>
        </w:rPr>
        <w:t xml:space="preserve">. </w:t>
      </w:r>
    </w:p>
    <w:p w14:paraId="0AB680DB" w14:textId="77777777" w:rsidR="00D829DF" w:rsidRPr="00247C0A" w:rsidRDefault="00D829DF">
      <w:pPr>
        <w:rPr>
          <w:rFonts w:ascii="Times New Roman" w:hAnsi="Times New Roman" w:cs="Times New Roman"/>
          <w:sz w:val="28"/>
          <w:szCs w:val="28"/>
          <w:u w:val="single"/>
        </w:rPr>
      </w:pPr>
      <w:r w:rsidRPr="00247C0A">
        <w:rPr>
          <w:rFonts w:ascii="Times New Roman" w:hAnsi="Times New Roman" w:cs="Times New Roman"/>
          <w:sz w:val="28"/>
          <w:szCs w:val="28"/>
        </w:rPr>
        <w:tab/>
      </w:r>
      <w:r w:rsidRPr="00247C0A">
        <w:rPr>
          <w:rFonts w:ascii="Times New Roman" w:hAnsi="Times New Roman" w:cs="Times New Roman"/>
          <w:sz w:val="28"/>
          <w:szCs w:val="28"/>
          <w:u w:val="single"/>
        </w:rPr>
        <w:t>Financial damage claim</w:t>
      </w:r>
      <w:r w:rsidR="00F7118F" w:rsidRPr="00247C0A">
        <w:rPr>
          <w:rFonts w:ascii="Times New Roman" w:hAnsi="Times New Roman" w:cs="Times New Roman"/>
          <w:sz w:val="28"/>
          <w:szCs w:val="28"/>
          <w:u w:val="single"/>
        </w:rPr>
        <w:t>s – subdivision 3(b)(1)</w:t>
      </w:r>
    </w:p>
    <w:p w14:paraId="167A18AB" w14:textId="77777777" w:rsidR="00887D82" w:rsidRPr="00247C0A" w:rsidRDefault="00D829DF">
      <w:pPr>
        <w:rPr>
          <w:rFonts w:ascii="Times New Roman" w:hAnsi="Times New Roman" w:cs="Times New Roman"/>
          <w:color w:val="000000"/>
          <w:sz w:val="28"/>
          <w:szCs w:val="28"/>
          <w:shd w:val="clear" w:color="auto" w:fill="FFFFFF"/>
        </w:rPr>
      </w:pPr>
      <w:r w:rsidRPr="00247C0A">
        <w:rPr>
          <w:rFonts w:ascii="Times New Roman" w:hAnsi="Times New Roman" w:cs="Times New Roman"/>
          <w:sz w:val="28"/>
          <w:szCs w:val="28"/>
        </w:rPr>
        <w:t xml:space="preserve">The landlord may </w:t>
      </w:r>
      <w:r w:rsidR="00F7118F" w:rsidRPr="00247C0A">
        <w:rPr>
          <w:rFonts w:ascii="Times New Roman" w:hAnsi="Times New Roman" w:cs="Times New Roman"/>
          <w:sz w:val="28"/>
          <w:szCs w:val="28"/>
        </w:rPr>
        <w:t xml:space="preserve">also </w:t>
      </w:r>
      <w:r w:rsidRPr="00247C0A">
        <w:rPr>
          <w:rFonts w:ascii="Times New Roman" w:hAnsi="Times New Roman" w:cs="Times New Roman"/>
          <w:sz w:val="28"/>
          <w:szCs w:val="28"/>
        </w:rPr>
        <w:t>deduct “</w:t>
      </w:r>
      <w:r w:rsidRPr="00247C0A">
        <w:rPr>
          <w:rFonts w:ascii="Times New Roman" w:hAnsi="Times New Roman" w:cs="Times New Roman"/>
          <w:color w:val="000000"/>
          <w:sz w:val="28"/>
          <w:szCs w:val="28"/>
          <w:shd w:val="clear" w:color="auto" w:fill="FFFFFF"/>
        </w:rPr>
        <w:t xml:space="preserve">to remedy tenant defaults </w:t>
      </w:r>
      <w:r w:rsidR="00F7118F" w:rsidRPr="00247C0A">
        <w:rPr>
          <w:rFonts w:ascii="Times New Roman" w:hAnsi="Times New Roman" w:cs="Times New Roman"/>
          <w:color w:val="000000"/>
          <w:sz w:val="28"/>
          <w:szCs w:val="28"/>
          <w:shd w:val="clear" w:color="auto" w:fill="FFFFFF"/>
        </w:rPr>
        <w:t>[</w:t>
      </w:r>
      <w:proofErr w:type="spellStart"/>
      <w:r w:rsidR="00F7118F" w:rsidRPr="00247C0A">
        <w:rPr>
          <w:rFonts w:ascii="Times New Roman" w:hAnsi="Times New Roman" w:cs="Times New Roman"/>
          <w:color w:val="000000"/>
          <w:sz w:val="28"/>
          <w:szCs w:val="28"/>
          <w:shd w:val="clear" w:color="auto" w:fill="FFFFFF"/>
        </w:rPr>
        <w:t>i</w:t>
      </w:r>
      <w:proofErr w:type="spellEnd"/>
      <w:r w:rsidR="00F7118F" w:rsidRPr="00247C0A">
        <w:rPr>
          <w:rFonts w:ascii="Times New Roman" w:hAnsi="Times New Roman" w:cs="Times New Roman"/>
          <w:color w:val="000000"/>
          <w:sz w:val="28"/>
          <w:szCs w:val="28"/>
          <w:shd w:val="clear" w:color="auto" w:fill="FFFFFF"/>
        </w:rPr>
        <w:t xml:space="preserve">] </w:t>
      </w:r>
      <w:r w:rsidRPr="00247C0A">
        <w:rPr>
          <w:rFonts w:ascii="Times New Roman" w:hAnsi="Times New Roman" w:cs="Times New Roman"/>
          <w:color w:val="000000"/>
          <w:sz w:val="28"/>
          <w:szCs w:val="28"/>
          <w:shd w:val="clear" w:color="auto" w:fill="FFFFFF"/>
        </w:rPr>
        <w:t xml:space="preserve">in the payment of rent or </w:t>
      </w:r>
      <w:r w:rsidR="00F7118F" w:rsidRPr="00247C0A">
        <w:rPr>
          <w:rFonts w:ascii="Times New Roman" w:hAnsi="Times New Roman" w:cs="Times New Roman"/>
          <w:color w:val="000000"/>
          <w:sz w:val="28"/>
          <w:szCs w:val="28"/>
          <w:shd w:val="clear" w:color="auto" w:fill="FFFFFF"/>
        </w:rPr>
        <w:t xml:space="preserve">[ii] </w:t>
      </w:r>
      <w:r w:rsidRPr="00247C0A">
        <w:rPr>
          <w:rFonts w:ascii="Times New Roman" w:hAnsi="Times New Roman" w:cs="Times New Roman"/>
          <w:color w:val="000000"/>
          <w:sz w:val="28"/>
          <w:szCs w:val="28"/>
          <w:shd w:val="clear" w:color="auto" w:fill="FFFFFF"/>
        </w:rPr>
        <w:t>of other funds due to the land</w:t>
      </w:r>
      <w:r w:rsidR="00F7118F" w:rsidRPr="00247C0A">
        <w:rPr>
          <w:rFonts w:ascii="Times New Roman" w:hAnsi="Times New Roman" w:cs="Times New Roman"/>
          <w:color w:val="000000"/>
          <w:sz w:val="28"/>
          <w:szCs w:val="28"/>
          <w:shd w:val="clear" w:color="auto" w:fill="FFFFFF"/>
        </w:rPr>
        <w:t>lord pursuant to an agreement”.</w:t>
      </w:r>
    </w:p>
    <w:p w14:paraId="65111A0E" w14:textId="77777777" w:rsidR="00F7118F" w:rsidRPr="00247C0A" w:rsidRDefault="00F7118F">
      <w:pPr>
        <w:rPr>
          <w:rFonts w:ascii="Times New Roman" w:hAnsi="Times New Roman" w:cs="Times New Roman"/>
          <w:color w:val="000000"/>
          <w:sz w:val="28"/>
          <w:szCs w:val="28"/>
          <w:u w:val="single"/>
          <w:shd w:val="clear" w:color="auto" w:fill="FFFFFF"/>
        </w:rPr>
      </w:pPr>
      <w:r w:rsidRPr="00247C0A">
        <w:rPr>
          <w:rFonts w:ascii="Times New Roman" w:hAnsi="Times New Roman" w:cs="Times New Roman"/>
          <w:color w:val="000000"/>
          <w:sz w:val="28"/>
          <w:szCs w:val="28"/>
          <w:shd w:val="clear" w:color="auto" w:fill="FFFFFF"/>
        </w:rPr>
        <w:tab/>
      </w:r>
      <w:r w:rsidRPr="00247C0A">
        <w:rPr>
          <w:rFonts w:ascii="Times New Roman" w:hAnsi="Times New Roman" w:cs="Times New Roman"/>
          <w:color w:val="000000"/>
          <w:sz w:val="28"/>
          <w:szCs w:val="28"/>
          <w:shd w:val="clear" w:color="auto" w:fill="FFFFFF"/>
        </w:rPr>
        <w:tab/>
      </w:r>
      <w:r w:rsidR="00BD1C88" w:rsidRPr="00247C0A">
        <w:rPr>
          <w:rFonts w:ascii="Times New Roman" w:hAnsi="Times New Roman" w:cs="Times New Roman"/>
          <w:color w:val="000000"/>
          <w:sz w:val="28"/>
          <w:szCs w:val="28"/>
          <w:u w:val="single"/>
          <w:shd w:val="clear" w:color="auto" w:fill="FFFFFF"/>
        </w:rPr>
        <w:t xml:space="preserve">Claims for </w:t>
      </w:r>
      <w:proofErr w:type="spellStart"/>
      <w:r w:rsidR="00BD1C88" w:rsidRPr="00247C0A">
        <w:rPr>
          <w:rFonts w:ascii="Times New Roman" w:hAnsi="Times New Roman" w:cs="Times New Roman"/>
          <w:color w:val="000000"/>
          <w:sz w:val="28"/>
          <w:szCs w:val="28"/>
          <w:u w:val="single"/>
          <w:shd w:val="clear" w:color="auto" w:fill="FFFFFF"/>
        </w:rPr>
        <w:t>non p</w:t>
      </w:r>
      <w:r w:rsidRPr="00247C0A">
        <w:rPr>
          <w:rFonts w:ascii="Times New Roman" w:hAnsi="Times New Roman" w:cs="Times New Roman"/>
          <w:color w:val="000000"/>
          <w:sz w:val="28"/>
          <w:szCs w:val="28"/>
          <w:u w:val="single"/>
          <w:shd w:val="clear" w:color="auto" w:fill="FFFFFF"/>
        </w:rPr>
        <w:t>ayment</w:t>
      </w:r>
      <w:proofErr w:type="spellEnd"/>
      <w:r w:rsidRPr="00247C0A">
        <w:rPr>
          <w:rFonts w:ascii="Times New Roman" w:hAnsi="Times New Roman" w:cs="Times New Roman"/>
          <w:color w:val="000000"/>
          <w:sz w:val="28"/>
          <w:szCs w:val="28"/>
          <w:u w:val="single"/>
          <w:shd w:val="clear" w:color="auto" w:fill="FFFFFF"/>
        </w:rPr>
        <w:t xml:space="preserve"> of rent</w:t>
      </w:r>
    </w:p>
    <w:p w14:paraId="5C21854B" w14:textId="77777777" w:rsidR="00F7118F" w:rsidRPr="00247C0A" w:rsidRDefault="00F7118F">
      <w:pPr>
        <w:rPr>
          <w:rFonts w:ascii="Times New Roman" w:hAnsi="Times New Roman" w:cs="Times New Roman"/>
          <w:color w:val="000000"/>
          <w:sz w:val="28"/>
          <w:szCs w:val="28"/>
          <w:shd w:val="clear" w:color="auto" w:fill="FFFFFF"/>
        </w:rPr>
      </w:pPr>
      <w:r w:rsidRPr="00247C0A">
        <w:rPr>
          <w:rFonts w:ascii="Times New Roman" w:hAnsi="Times New Roman" w:cs="Times New Roman"/>
          <w:color w:val="000000"/>
          <w:sz w:val="28"/>
          <w:szCs w:val="28"/>
          <w:shd w:val="clear" w:color="auto" w:fill="FFFFFF"/>
        </w:rPr>
        <w:t>This category of deduction seems straightforward.</w:t>
      </w:r>
    </w:p>
    <w:p w14:paraId="0D0371E7" w14:textId="77777777" w:rsidR="00BD1C88" w:rsidRPr="00247C0A" w:rsidRDefault="00BD1C88" w:rsidP="00BD1C88">
      <w:pPr>
        <w:ind w:left="1440"/>
        <w:rPr>
          <w:rFonts w:ascii="Times New Roman" w:hAnsi="Times New Roman" w:cs="Times New Roman"/>
          <w:color w:val="000000"/>
          <w:sz w:val="28"/>
          <w:szCs w:val="28"/>
          <w:u w:val="single"/>
          <w:shd w:val="clear" w:color="auto" w:fill="FFFFFF"/>
        </w:rPr>
      </w:pPr>
      <w:r w:rsidRPr="00247C0A">
        <w:rPr>
          <w:rFonts w:ascii="Times New Roman" w:hAnsi="Times New Roman" w:cs="Times New Roman"/>
          <w:color w:val="000000"/>
          <w:sz w:val="28"/>
          <w:szCs w:val="28"/>
          <w:u w:val="single"/>
          <w:shd w:val="clear" w:color="auto" w:fill="FFFFFF"/>
        </w:rPr>
        <w:t xml:space="preserve">Claims for </w:t>
      </w:r>
      <w:proofErr w:type="spellStart"/>
      <w:r w:rsidRPr="00247C0A">
        <w:rPr>
          <w:rFonts w:ascii="Times New Roman" w:hAnsi="Times New Roman" w:cs="Times New Roman"/>
          <w:color w:val="000000"/>
          <w:sz w:val="28"/>
          <w:szCs w:val="28"/>
          <w:u w:val="single"/>
          <w:shd w:val="clear" w:color="auto" w:fill="FFFFFF"/>
        </w:rPr>
        <w:t>non payment</w:t>
      </w:r>
      <w:proofErr w:type="spellEnd"/>
      <w:r w:rsidRPr="00247C0A">
        <w:rPr>
          <w:rFonts w:ascii="Times New Roman" w:hAnsi="Times New Roman" w:cs="Times New Roman"/>
          <w:color w:val="000000"/>
          <w:sz w:val="28"/>
          <w:szCs w:val="28"/>
          <w:u w:val="single"/>
          <w:shd w:val="clear" w:color="auto" w:fill="FFFFFF"/>
        </w:rPr>
        <w:t xml:space="preserve"> of other funds due to the landlord pursuant to an agreement</w:t>
      </w:r>
    </w:p>
    <w:p w14:paraId="583574B9" w14:textId="77777777" w:rsidR="00BD1C88" w:rsidRPr="00247C0A" w:rsidRDefault="00BD1C88" w:rsidP="00BD1C88">
      <w:pPr>
        <w:rPr>
          <w:rFonts w:ascii="Times New Roman" w:hAnsi="Times New Roman" w:cs="Times New Roman"/>
          <w:color w:val="000000"/>
          <w:sz w:val="28"/>
          <w:szCs w:val="28"/>
          <w:shd w:val="clear" w:color="auto" w:fill="FFFFFF"/>
        </w:rPr>
      </w:pPr>
      <w:r w:rsidRPr="00247C0A">
        <w:rPr>
          <w:rFonts w:ascii="Times New Roman" w:hAnsi="Times New Roman" w:cs="Times New Roman"/>
          <w:color w:val="000000"/>
          <w:sz w:val="28"/>
          <w:szCs w:val="28"/>
          <w:shd w:val="clear" w:color="auto" w:fill="FFFFFF"/>
        </w:rPr>
        <w:t>The agreement in question should involve something other than rent or restoring the premises to their condition at the commencement of the tenancy, ordinary wear and tear excepted, since those are separated listed in the subdivision.</w:t>
      </w:r>
      <w:r w:rsidR="0078219B" w:rsidRPr="00247C0A">
        <w:rPr>
          <w:rStyle w:val="FootnoteReference"/>
          <w:rFonts w:ascii="Times New Roman" w:hAnsi="Times New Roman" w:cs="Times New Roman"/>
          <w:color w:val="222222"/>
          <w:sz w:val="28"/>
          <w:szCs w:val="28"/>
          <w:shd w:val="clear" w:color="auto" w:fill="FFFFFF"/>
        </w:rPr>
        <w:footnoteReference w:id="12"/>
      </w:r>
    </w:p>
    <w:p w14:paraId="15CBB3D4" w14:textId="77777777" w:rsidR="006D755E" w:rsidRPr="00247C0A" w:rsidRDefault="00D829DF" w:rsidP="00C44885">
      <w:pPr>
        <w:rPr>
          <w:rFonts w:ascii="Times New Roman" w:hAnsi="Times New Roman" w:cs="Times New Roman"/>
          <w:sz w:val="28"/>
          <w:szCs w:val="28"/>
        </w:rPr>
      </w:pPr>
      <w:r w:rsidRPr="00247C0A">
        <w:rPr>
          <w:rFonts w:ascii="Times New Roman" w:hAnsi="Times New Roman" w:cs="Times New Roman"/>
          <w:color w:val="000000"/>
          <w:sz w:val="28"/>
          <w:szCs w:val="28"/>
          <w:shd w:val="clear" w:color="auto" w:fill="FFFFFF"/>
        </w:rPr>
        <w:lastRenderedPageBreak/>
        <w:t xml:space="preserve">These “other funds due” would obviously have to </w:t>
      </w:r>
      <w:r w:rsidR="00CF4B76" w:rsidRPr="00247C0A">
        <w:rPr>
          <w:rFonts w:ascii="Times New Roman" w:hAnsi="Times New Roman" w:cs="Times New Roman"/>
          <w:color w:val="000000"/>
          <w:sz w:val="28"/>
          <w:szCs w:val="28"/>
          <w:shd w:val="clear" w:color="auto" w:fill="FFFFFF"/>
        </w:rPr>
        <w:t xml:space="preserve">be </w:t>
      </w:r>
      <w:r w:rsidRPr="00247C0A">
        <w:rPr>
          <w:rFonts w:ascii="Times New Roman" w:hAnsi="Times New Roman" w:cs="Times New Roman"/>
          <w:color w:val="000000"/>
          <w:sz w:val="28"/>
          <w:szCs w:val="28"/>
          <w:shd w:val="clear" w:color="auto" w:fill="FFFFFF"/>
        </w:rPr>
        <w:t xml:space="preserve">lawfully due (e.g. not include usurious interest). Obvious examples are unpaid property taxes under a double-net lease, unpaid late fees lawful under </w:t>
      </w:r>
      <w:r w:rsidRPr="00247C0A">
        <w:rPr>
          <w:rFonts w:ascii="Times New Roman" w:hAnsi="Times New Roman" w:cs="Times New Roman"/>
          <w:sz w:val="28"/>
          <w:szCs w:val="28"/>
        </w:rPr>
        <w:t xml:space="preserve">Minn. Stat. § 504B.177, and unpaid charges for use of the party room. Also available as a deduction would be </w:t>
      </w:r>
      <w:r w:rsidR="009F1CBE" w:rsidRPr="00247C0A">
        <w:rPr>
          <w:rFonts w:ascii="Times New Roman" w:hAnsi="Times New Roman" w:cs="Times New Roman"/>
          <w:sz w:val="28"/>
          <w:szCs w:val="28"/>
        </w:rPr>
        <w:t xml:space="preserve">unpaid </w:t>
      </w:r>
      <w:r w:rsidRPr="00247C0A">
        <w:rPr>
          <w:rFonts w:ascii="Times New Roman" w:hAnsi="Times New Roman" w:cs="Times New Roman"/>
          <w:sz w:val="28"/>
          <w:szCs w:val="28"/>
        </w:rPr>
        <w:t>costs and disbursements charged (and probably also chargeable) in an eviction</w:t>
      </w:r>
      <w:r w:rsidR="007D0E5B" w:rsidRPr="00247C0A">
        <w:rPr>
          <w:rFonts w:ascii="Times New Roman" w:hAnsi="Times New Roman" w:cs="Times New Roman"/>
          <w:sz w:val="28"/>
          <w:szCs w:val="28"/>
        </w:rPr>
        <w:t xml:space="preserve"> action</w:t>
      </w:r>
      <w:r w:rsidRPr="00247C0A">
        <w:rPr>
          <w:rFonts w:ascii="Times New Roman" w:hAnsi="Times New Roman" w:cs="Times New Roman"/>
          <w:sz w:val="28"/>
          <w:szCs w:val="28"/>
        </w:rPr>
        <w:t xml:space="preserve"> or other landlord-tenant case the landlord won as well as lawful attorney fees.</w:t>
      </w:r>
      <w:r w:rsidR="00C44885" w:rsidRPr="00247C0A">
        <w:rPr>
          <w:rFonts w:ascii="Times New Roman" w:hAnsi="Times New Roman" w:cs="Times New Roman"/>
          <w:sz w:val="28"/>
          <w:szCs w:val="28"/>
        </w:rPr>
        <w:t xml:space="preserve"> Claimed</w:t>
      </w:r>
      <w:r w:rsidR="00BD1C88" w:rsidRPr="00247C0A">
        <w:rPr>
          <w:rFonts w:ascii="Times New Roman" w:hAnsi="Times New Roman" w:cs="Times New Roman"/>
          <w:sz w:val="28"/>
          <w:szCs w:val="28"/>
        </w:rPr>
        <w:t xml:space="preserve"> losses for breach of the lease where the lease identifies the claim are likely also covered; an example would be an agreement to pay the landlord for costs of re-rental when the tenants</w:t>
      </w:r>
      <w:r w:rsidR="00893DBE" w:rsidRPr="00247C0A">
        <w:rPr>
          <w:rFonts w:ascii="Times New Roman" w:hAnsi="Times New Roman" w:cs="Times New Roman"/>
          <w:sz w:val="28"/>
          <w:szCs w:val="28"/>
        </w:rPr>
        <w:t xml:space="preserve"> prematurely</w:t>
      </w:r>
      <w:r w:rsidR="00BD1C88" w:rsidRPr="00247C0A">
        <w:rPr>
          <w:rFonts w:ascii="Times New Roman" w:hAnsi="Times New Roman" w:cs="Times New Roman"/>
          <w:sz w:val="28"/>
          <w:szCs w:val="28"/>
        </w:rPr>
        <w:t xml:space="preserve"> </w:t>
      </w:r>
      <w:proofErr w:type="gramStart"/>
      <w:r w:rsidR="00BD1C88" w:rsidRPr="00247C0A">
        <w:rPr>
          <w:rFonts w:ascii="Times New Roman" w:hAnsi="Times New Roman" w:cs="Times New Roman"/>
          <w:sz w:val="28"/>
          <w:szCs w:val="28"/>
        </w:rPr>
        <w:t>skips</w:t>
      </w:r>
      <w:proofErr w:type="gramEnd"/>
      <w:r w:rsidR="00BD1C88" w:rsidRPr="00247C0A">
        <w:rPr>
          <w:rFonts w:ascii="Times New Roman" w:hAnsi="Times New Roman" w:cs="Times New Roman"/>
          <w:sz w:val="28"/>
          <w:szCs w:val="28"/>
        </w:rPr>
        <w:t xml:space="preserve"> out on his lease.</w:t>
      </w:r>
      <w:r w:rsidR="0078219B" w:rsidRPr="00247C0A">
        <w:rPr>
          <w:rStyle w:val="FootnoteReference"/>
          <w:rFonts w:ascii="Times New Roman" w:hAnsi="Times New Roman" w:cs="Times New Roman"/>
          <w:sz w:val="28"/>
          <w:szCs w:val="28"/>
        </w:rPr>
        <w:footnoteReference w:id="13"/>
      </w:r>
    </w:p>
    <w:p w14:paraId="42BE7E98" w14:textId="69587D7D" w:rsidR="00063E35" w:rsidRPr="00247C0A" w:rsidRDefault="00063E35" w:rsidP="00C44885">
      <w:pPr>
        <w:rPr>
          <w:rFonts w:ascii="Times New Roman" w:hAnsi="Times New Roman" w:cs="Times New Roman"/>
          <w:sz w:val="28"/>
          <w:szCs w:val="28"/>
        </w:rPr>
      </w:pPr>
      <w:r w:rsidRPr="00247C0A">
        <w:rPr>
          <w:rFonts w:ascii="Times New Roman" w:hAnsi="Times New Roman" w:cs="Times New Roman"/>
          <w:sz w:val="28"/>
          <w:szCs w:val="28"/>
        </w:rPr>
        <w:t>The landlord should not be allowed to get around the ordinary-wear-and-tear provision by charging a flat fee for carpet cleaning. This is one of the points made by Jack Horner (footnotes 1</w:t>
      </w:r>
      <w:r w:rsidR="00521C38" w:rsidRPr="00247C0A">
        <w:rPr>
          <w:rFonts w:ascii="Times New Roman" w:hAnsi="Times New Roman" w:cs="Times New Roman"/>
          <w:sz w:val="28"/>
          <w:szCs w:val="28"/>
        </w:rPr>
        <w:t>2</w:t>
      </w:r>
      <w:r w:rsidRPr="00247C0A">
        <w:rPr>
          <w:rFonts w:ascii="Times New Roman" w:hAnsi="Times New Roman" w:cs="Times New Roman"/>
          <w:sz w:val="28"/>
          <w:szCs w:val="28"/>
        </w:rPr>
        <w:t>-1</w:t>
      </w:r>
      <w:r w:rsidR="00521C38" w:rsidRPr="00247C0A">
        <w:rPr>
          <w:rFonts w:ascii="Times New Roman" w:hAnsi="Times New Roman" w:cs="Times New Roman"/>
          <w:sz w:val="28"/>
          <w:szCs w:val="28"/>
        </w:rPr>
        <w:t>3</w:t>
      </w:r>
      <w:r w:rsidRPr="00247C0A">
        <w:rPr>
          <w:rFonts w:ascii="Times New Roman" w:hAnsi="Times New Roman" w:cs="Times New Roman"/>
          <w:sz w:val="28"/>
          <w:szCs w:val="28"/>
        </w:rPr>
        <w:t xml:space="preserve">) and also the holding of the Iowa Supreme Court in construing an Iowa statute identical to Minn. Stat. § 504B.178, subd. 3(b). </w:t>
      </w:r>
      <w:hyperlink r:id="rId31" w:history="1">
        <w:r w:rsidRPr="00247C0A">
          <w:rPr>
            <w:rStyle w:val="Hyperlink"/>
            <w:rFonts w:ascii="Times New Roman" w:hAnsi="Times New Roman" w:cs="Times New Roman"/>
            <w:i/>
            <w:iCs/>
            <w:sz w:val="28"/>
            <w:szCs w:val="28"/>
          </w:rPr>
          <w:t>Walton v. Gaffey,</w:t>
        </w:r>
        <w:r w:rsidRPr="00247C0A">
          <w:rPr>
            <w:rStyle w:val="Hyperlink"/>
            <w:rFonts w:ascii="Times New Roman" w:hAnsi="Times New Roman" w:cs="Times New Roman"/>
            <w:sz w:val="28"/>
            <w:szCs w:val="28"/>
          </w:rPr>
          <w:t xml:space="preserve"> 895 N.W.2d 422,427-428 (Iowa 2017)</w:t>
        </w:r>
      </w:hyperlink>
      <w:r w:rsidRPr="00247C0A">
        <w:rPr>
          <w:rFonts w:ascii="Times New Roman" w:hAnsi="Times New Roman" w:cs="Times New Roman"/>
          <w:sz w:val="28"/>
          <w:szCs w:val="28"/>
        </w:rPr>
        <w:t xml:space="preserve"> (lease clause</w:t>
      </w:r>
      <w:r w:rsidR="00975F77" w:rsidRPr="00247C0A">
        <w:rPr>
          <w:rFonts w:ascii="Times New Roman" w:hAnsi="Times New Roman" w:cs="Times New Roman"/>
          <w:sz w:val="28"/>
          <w:szCs w:val="28"/>
        </w:rPr>
        <w:t xml:space="preserve"> stating “</w:t>
      </w:r>
      <w:r w:rsidRPr="00247C0A">
        <w:rPr>
          <w:rFonts w:ascii="Times New Roman" w:hAnsi="Times New Roman" w:cs="Times New Roman"/>
          <w:sz w:val="28"/>
          <w:szCs w:val="28"/>
        </w:rPr>
        <w:t>Landlord shall have all carpeting professionally shampooed, paid out of tenants' secur</w:t>
      </w:r>
      <w:r w:rsidR="00B827BB" w:rsidRPr="00247C0A">
        <w:rPr>
          <w:rFonts w:ascii="Times New Roman" w:hAnsi="Times New Roman" w:cs="Times New Roman"/>
          <w:sz w:val="28"/>
          <w:szCs w:val="28"/>
        </w:rPr>
        <w:t xml:space="preserve">ity deposit” is not enforceable, </w:t>
      </w:r>
      <w:r w:rsidRPr="00247C0A">
        <w:rPr>
          <w:rFonts w:ascii="Times New Roman" w:hAnsi="Times New Roman" w:cs="Times New Roman"/>
          <w:sz w:val="28"/>
          <w:szCs w:val="28"/>
        </w:rPr>
        <w:t xml:space="preserve">in contrast to a clause that </w:t>
      </w:r>
      <w:r w:rsidR="00975F77" w:rsidRPr="00247C0A">
        <w:rPr>
          <w:rFonts w:ascii="Times New Roman" w:hAnsi="Times New Roman" w:cs="Times New Roman"/>
          <w:sz w:val="28"/>
          <w:szCs w:val="28"/>
        </w:rPr>
        <w:t xml:space="preserve">established a benchmark for </w:t>
      </w:r>
      <w:r w:rsidR="00B827BB" w:rsidRPr="00247C0A">
        <w:rPr>
          <w:rFonts w:ascii="Times New Roman" w:hAnsi="Times New Roman" w:cs="Times New Roman"/>
          <w:sz w:val="28"/>
          <w:szCs w:val="28"/>
        </w:rPr>
        <w:t xml:space="preserve">Day One </w:t>
      </w:r>
      <w:r w:rsidR="00975F77" w:rsidRPr="00247C0A">
        <w:rPr>
          <w:rFonts w:ascii="Times New Roman" w:hAnsi="Times New Roman" w:cs="Times New Roman"/>
          <w:sz w:val="28"/>
          <w:szCs w:val="28"/>
        </w:rPr>
        <w:t xml:space="preserve">condition of the carpet from which ordinary wear and tear </w:t>
      </w:r>
      <w:r w:rsidR="00B827BB" w:rsidRPr="00247C0A">
        <w:rPr>
          <w:rFonts w:ascii="Times New Roman" w:hAnsi="Times New Roman" w:cs="Times New Roman"/>
          <w:sz w:val="28"/>
          <w:szCs w:val="28"/>
        </w:rPr>
        <w:t>could</w:t>
      </w:r>
      <w:r w:rsidR="00975F77" w:rsidRPr="00247C0A">
        <w:rPr>
          <w:rFonts w:ascii="Times New Roman" w:hAnsi="Times New Roman" w:cs="Times New Roman"/>
          <w:sz w:val="28"/>
          <w:szCs w:val="28"/>
        </w:rPr>
        <w:t xml:space="preserve"> be measured </w:t>
      </w:r>
      <w:r w:rsidR="00B827BB" w:rsidRPr="00247C0A">
        <w:rPr>
          <w:rFonts w:ascii="Times New Roman" w:hAnsi="Times New Roman" w:cs="Times New Roman"/>
          <w:sz w:val="28"/>
          <w:szCs w:val="28"/>
        </w:rPr>
        <w:t>but was not an automatic deduction</w:t>
      </w:r>
      <w:r w:rsidR="00975F77" w:rsidRPr="00247C0A">
        <w:rPr>
          <w:rFonts w:ascii="Times New Roman" w:hAnsi="Times New Roman" w:cs="Times New Roman"/>
          <w:sz w:val="28"/>
          <w:szCs w:val="28"/>
        </w:rPr>
        <w:t>)</w:t>
      </w:r>
      <w:r w:rsidR="00B827BB" w:rsidRPr="00247C0A">
        <w:rPr>
          <w:rFonts w:ascii="Times New Roman" w:hAnsi="Times New Roman" w:cs="Times New Roman"/>
          <w:sz w:val="28"/>
          <w:szCs w:val="28"/>
        </w:rPr>
        <w:t>.</w:t>
      </w:r>
    </w:p>
    <w:p w14:paraId="4B3BB61D" w14:textId="436BD946" w:rsidR="00763A53" w:rsidRPr="00247C0A" w:rsidRDefault="00DC04B4" w:rsidP="00F7118F">
      <w:pPr>
        <w:rPr>
          <w:rFonts w:ascii="Times New Roman" w:hAnsi="Times New Roman" w:cs="Times New Roman"/>
          <w:sz w:val="28"/>
          <w:szCs w:val="28"/>
        </w:rPr>
      </w:pPr>
      <w:r w:rsidRPr="00247C0A">
        <w:rPr>
          <w:rFonts w:ascii="Times New Roman" w:hAnsi="Times New Roman" w:cs="Times New Roman"/>
          <w:sz w:val="28"/>
          <w:szCs w:val="28"/>
        </w:rPr>
        <w:t xml:space="preserve">Minn. Stat. § 504B.178 does not define or limit “an agreement” so it could include any contract claim, such as the tenant reneging on an agreement to pay the landlord </w:t>
      </w:r>
      <w:r w:rsidRPr="00247C0A">
        <w:rPr>
          <w:rFonts w:ascii="Times New Roman" w:hAnsi="Times New Roman" w:cs="Times New Roman"/>
          <w:sz w:val="28"/>
          <w:szCs w:val="28"/>
        </w:rPr>
        <w:lastRenderedPageBreak/>
        <w:t>for fixing the tenant’s snowmobile. However, in</w:t>
      </w:r>
      <w:r w:rsidR="00763A53" w:rsidRPr="00247C0A">
        <w:rPr>
          <w:rFonts w:ascii="Times New Roman" w:hAnsi="Times New Roman" w:cs="Times New Roman"/>
          <w:sz w:val="28"/>
          <w:szCs w:val="28"/>
        </w:rPr>
        <w:t xml:space="preserve"> a retaliation-defense case,</w:t>
      </w:r>
      <w:r w:rsidRPr="00247C0A">
        <w:rPr>
          <w:rFonts w:ascii="Times New Roman" w:hAnsi="Times New Roman" w:cs="Times New Roman"/>
          <w:sz w:val="28"/>
          <w:szCs w:val="28"/>
        </w:rPr>
        <w:t xml:space="preserve"> </w:t>
      </w:r>
      <w:hyperlink r:id="rId32" w:history="1">
        <w:r w:rsidR="00763A53" w:rsidRPr="00247C0A">
          <w:rPr>
            <w:rStyle w:val="Hyperlink"/>
            <w:rFonts w:ascii="Times New Roman" w:hAnsi="Times New Roman" w:cs="Times New Roman"/>
            <w:i/>
            <w:iCs/>
            <w:sz w:val="28"/>
            <w:szCs w:val="28"/>
          </w:rPr>
          <w:t>Cloverdale Foods of Minnesota, Inc. v. Pioneer Snacks,</w:t>
        </w:r>
        <w:r w:rsidR="00763A53" w:rsidRPr="00247C0A">
          <w:rPr>
            <w:rStyle w:val="Hyperlink"/>
            <w:rFonts w:ascii="Times New Roman" w:hAnsi="Times New Roman" w:cs="Times New Roman"/>
            <w:sz w:val="28"/>
            <w:szCs w:val="28"/>
          </w:rPr>
          <w:t xml:space="preserve"> 580 N.W.2d 46 (Minn. App. 1998)</w:t>
        </w:r>
      </w:hyperlink>
      <w:r w:rsidR="00763A53" w:rsidRPr="00247C0A">
        <w:rPr>
          <w:rFonts w:ascii="Times New Roman" w:hAnsi="Times New Roman" w:cs="Times New Roman"/>
          <w:sz w:val="28"/>
          <w:szCs w:val="28"/>
        </w:rPr>
        <w:t>,</w:t>
      </w:r>
      <w:r w:rsidRPr="00247C0A">
        <w:rPr>
          <w:rFonts w:ascii="Times New Roman" w:hAnsi="Times New Roman" w:cs="Times New Roman"/>
          <w:sz w:val="28"/>
          <w:szCs w:val="28"/>
        </w:rPr>
        <w:t xml:space="preserve"> the Court of Appeals </w:t>
      </w:r>
      <w:r w:rsidR="00763A53" w:rsidRPr="00247C0A">
        <w:rPr>
          <w:rFonts w:ascii="Times New Roman" w:hAnsi="Times New Roman" w:cs="Times New Roman"/>
          <w:sz w:val="28"/>
          <w:szCs w:val="28"/>
        </w:rPr>
        <w:t xml:space="preserve">construed the phrase </w:t>
      </w:r>
      <w:r w:rsidR="00893DBE" w:rsidRPr="00247C0A">
        <w:rPr>
          <w:rFonts w:ascii="Times New Roman" w:hAnsi="Times New Roman" w:cs="Times New Roman"/>
          <w:sz w:val="28"/>
          <w:szCs w:val="28"/>
        </w:rPr>
        <w:t xml:space="preserve">“a lease or contract, oral or written” </w:t>
      </w:r>
      <w:r w:rsidR="00763A53" w:rsidRPr="00247C0A">
        <w:rPr>
          <w:rFonts w:ascii="Times New Roman" w:hAnsi="Times New Roman" w:cs="Times New Roman"/>
          <w:sz w:val="28"/>
          <w:szCs w:val="28"/>
        </w:rPr>
        <w:t>from ano</w:t>
      </w:r>
      <w:r w:rsidR="00893DBE" w:rsidRPr="00247C0A">
        <w:rPr>
          <w:rFonts w:ascii="Times New Roman" w:hAnsi="Times New Roman" w:cs="Times New Roman"/>
          <w:sz w:val="28"/>
          <w:szCs w:val="28"/>
        </w:rPr>
        <w:t xml:space="preserve">ther part of Minn. Chap. 504B </w:t>
      </w:r>
      <w:r w:rsidR="007D0E5B" w:rsidRPr="00247C0A">
        <w:rPr>
          <w:rFonts w:ascii="Times New Roman" w:hAnsi="Times New Roman" w:cs="Times New Roman"/>
          <w:sz w:val="28"/>
          <w:szCs w:val="28"/>
        </w:rPr>
        <w:t>as</w:t>
      </w:r>
      <w:r w:rsidR="00763A53" w:rsidRPr="00247C0A">
        <w:rPr>
          <w:rFonts w:ascii="Times New Roman" w:hAnsi="Times New Roman" w:cs="Times New Roman"/>
          <w:sz w:val="28"/>
          <w:szCs w:val="28"/>
        </w:rPr>
        <w:t xml:space="preserve"> only cover</w:t>
      </w:r>
      <w:r w:rsidR="007D0E5B" w:rsidRPr="00247C0A">
        <w:rPr>
          <w:rFonts w:ascii="Times New Roman" w:hAnsi="Times New Roman" w:cs="Times New Roman"/>
          <w:sz w:val="28"/>
          <w:szCs w:val="28"/>
        </w:rPr>
        <w:t>ing</w:t>
      </w:r>
      <w:r w:rsidR="00763A53" w:rsidRPr="00247C0A">
        <w:rPr>
          <w:rFonts w:ascii="Times New Roman" w:hAnsi="Times New Roman" w:cs="Times New Roman"/>
          <w:sz w:val="28"/>
          <w:szCs w:val="28"/>
        </w:rPr>
        <w:t xml:space="preserve"> contracts related to the landlord-tenant arena and not a separate business contract. Thus</w:t>
      </w:r>
      <w:r w:rsidR="00943F18">
        <w:rPr>
          <w:rFonts w:ascii="Times New Roman" w:hAnsi="Times New Roman" w:cs="Times New Roman"/>
          <w:sz w:val="28"/>
          <w:szCs w:val="28"/>
        </w:rPr>
        <w:t>,</w:t>
      </w:r>
      <w:r w:rsidR="00763A53" w:rsidRPr="00247C0A">
        <w:rPr>
          <w:rFonts w:ascii="Times New Roman" w:hAnsi="Times New Roman" w:cs="Times New Roman"/>
          <w:sz w:val="28"/>
          <w:szCs w:val="28"/>
        </w:rPr>
        <w:t xml:space="preserve"> it is an open question whether a residential landlord could deduct a non-housing-related claim from the deposit.</w:t>
      </w:r>
      <w:r w:rsidR="00CC4EF6" w:rsidRPr="00247C0A">
        <w:rPr>
          <w:rFonts w:ascii="Times New Roman" w:hAnsi="Times New Roman" w:cs="Times New Roman"/>
          <w:sz w:val="28"/>
          <w:szCs w:val="28"/>
        </w:rPr>
        <w:t xml:space="preserve"> </w:t>
      </w:r>
    </w:p>
    <w:p w14:paraId="4CC666A1" w14:textId="77777777" w:rsidR="00993973" w:rsidRPr="00247C0A" w:rsidRDefault="00993973">
      <w:pPr>
        <w:rPr>
          <w:rFonts w:ascii="Times New Roman" w:hAnsi="Times New Roman" w:cs="Times New Roman"/>
          <w:sz w:val="28"/>
          <w:szCs w:val="28"/>
          <w:u w:val="single"/>
        </w:rPr>
      </w:pPr>
      <w:r w:rsidRPr="00247C0A">
        <w:rPr>
          <w:rFonts w:ascii="Times New Roman" w:hAnsi="Times New Roman" w:cs="Times New Roman"/>
          <w:sz w:val="28"/>
          <w:szCs w:val="28"/>
        </w:rPr>
        <w:tab/>
      </w:r>
      <w:r w:rsidRPr="00247C0A">
        <w:rPr>
          <w:rFonts w:ascii="Times New Roman" w:hAnsi="Times New Roman" w:cs="Times New Roman"/>
          <w:sz w:val="28"/>
          <w:szCs w:val="28"/>
          <w:u w:val="single"/>
        </w:rPr>
        <w:t>No “forfeiting” the deposit</w:t>
      </w:r>
    </w:p>
    <w:p w14:paraId="725BFE22" w14:textId="77777777" w:rsidR="00063E35" w:rsidRPr="00247C0A" w:rsidRDefault="00993973" w:rsidP="00993973">
      <w:pPr>
        <w:rPr>
          <w:rFonts w:ascii="Times New Roman" w:hAnsi="Times New Roman" w:cs="Times New Roman"/>
          <w:i/>
          <w:iCs/>
          <w:sz w:val="28"/>
          <w:szCs w:val="28"/>
        </w:rPr>
      </w:pPr>
      <w:r w:rsidRPr="00247C0A">
        <w:rPr>
          <w:rFonts w:ascii="Times New Roman" w:hAnsi="Times New Roman" w:cs="Times New Roman"/>
          <w:sz w:val="28"/>
          <w:szCs w:val="28"/>
        </w:rPr>
        <w:t xml:space="preserve">Because Minn. Stat. § 504B.178, subdivision 3, only lists </w:t>
      </w:r>
      <w:r w:rsidR="007428F9" w:rsidRPr="00247C0A">
        <w:rPr>
          <w:rFonts w:ascii="Times New Roman" w:hAnsi="Times New Roman" w:cs="Times New Roman"/>
          <w:sz w:val="28"/>
          <w:szCs w:val="28"/>
        </w:rPr>
        <w:t>three</w:t>
      </w:r>
      <w:r w:rsidRPr="00247C0A">
        <w:rPr>
          <w:rFonts w:ascii="Times New Roman" w:hAnsi="Times New Roman" w:cs="Times New Roman"/>
          <w:sz w:val="28"/>
          <w:szCs w:val="28"/>
        </w:rPr>
        <w:t xml:space="preserve"> bases to deduct, it is not lawful for the landlord to simply forfeit out the deposit, even if the lease says that upon doing X the deposit is forfeited. Deductions are allowed only for the t</w:t>
      </w:r>
      <w:r w:rsidR="007428F9" w:rsidRPr="00247C0A">
        <w:rPr>
          <w:rFonts w:ascii="Times New Roman" w:hAnsi="Times New Roman" w:cs="Times New Roman"/>
          <w:sz w:val="28"/>
          <w:szCs w:val="28"/>
        </w:rPr>
        <w:t>hree</w:t>
      </w:r>
      <w:r w:rsidRPr="00247C0A">
        <w:rPr>
          <w:rFonts w:ascii="Times New Roman" w:hAnsi="Times New Roman" w:cs="Times New Roman"/>
          <w:sz w:val="28"/>
          <w:szCs w:val="28"/>
        </w:rPr>
        <w:t xml:space="preserve"> reasons discussed above. </w:t>
      </w:r>
      <w:hyperlink r:id="rId33" w:history="1">
        <w:r w:rsidR="00872736" w:rsidRPr="00247C0A">
          <w:rPr>
            <w:rStyle w:val="Hyperlink"/>
            <w:rFonts w:ascii="Times New Roman" w:hAnsi="Times New Roman" w:cs="Times New Roman"/>
            <w:i/>
            <w:iCs/>
            <w:sz w:val="28"/>
            <w:szCs w:val="28"/>
          </w:rPr>
          <w:t xml:space="preserve">Kaeding v. </w:t>
        </w:r>
        <w:proofErr w:type="spellStart"/>
        <w:r w:rsidR="00872736" w:rsidRPr="00247C0A">
          <w:rPr>
            <w:rStyle w:val="Hyperlink"/>
            <w:rFonts w:ascii="Times New Roman" w:hAnsi="Times New Roman" w:cs="Times New Roman"/>
            <w:i/>
            <w:iCs/>
            <w:sz w:val="28"/>
            <w:szCs w:val="28"/>
          </w:rPr>
          <w:t>Auleciems</w:t>
        </w:r>
        <w:proofErr w:type="spellEnd"/>
        <w:r w:rsidR="00872736" w:rsidRPr="00247C0A">
          <w:rPr>
            <w:rStyle w:val="Hyperlink"/>
            <w:rFonts w:ascii="Times New Roman" w:hAnsi="Times New Roman" w:cs="Times New Roman"/>
            <w:i/>
            <w:iCs/>
            <w:sz w:val="28"/>
            <w:szCs w:val="28"/>
          </w:rPr>
          <w:t>,</w:t>
        </w:r>
        <w:r w:rsidR="00872736" w:rsidRPr="00247C0A">
          <w:rPr>
            <w:rStyle w:val="Hyperlink"/>
            <w:rFonts w:ascii="Times New Roman" w:hAnsi="Times New Roman" w:cs="Times New Roman"/>
            <w:sz w:val="28"/>
            <w:szCs w:val="28"/>
          </w:rPr>
          <w:t xml:space="preserve"> 886 N.W.2d 658,664-665 (Minn. App. 2016)</w:t>
        </w:r>
      </w:hyperlink>
      <w:r w:rsidR="00004610" w:rsidRPr="00247C0A">
        <w:rPr>
          <w:rFonts w:ascii="Times New Roman" w:hAnsi="Times New Roman" w:cs="Times New Roman"/>
          <w:i/>
          <w:iCs/>
          <w:sz w:val="28"/>
          <w:szCs w:val="28"/>
        </w:rPr>
        <w:t>.</w:t>
      </w:r>
    </w:p>
    <w:p w14:paraId="4E3161C6" w14:textId="77777777" w:rsidR="003B4B2D" w:rsidRPr="00247C0A" w:rsidRDefault="003C6826">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3(c) – burden of proof</w:t>
      </w:r>
    </w:p>
    <w:p w14:paraId="5780D9D8" w14:textId="77777777" w:rsidR="003C6826" w:rsidRPr="00247C0A" w:rsidRDefault="00350E43" w:rsidP="003C6826">
      <w:pPr>
        <w:rPr>
          <w:rFonts w:ascii="Times New Roman" w:hAnsi="Times New Roman" w:cs="Times New Roman"/>
          <w:sz w:val="28"/>
          <w:szCs w:val="28"/>
        </w:rPr>
      </w:pPr>
      <w:r w:rsidRPr="00247C0A">
        <w:rPr>
          <w:rFonts w:ascii="Times New Roman" w:hAnsi="Times New Roman" w:cs="Times New Roman"/>
          <w:sz w:val="28"/>
          <w:szCs w:val="28"/>
        </w:rPr>
        <w:t xml:space="preserve">Even if the tenant is the plaintiff, in a lawsuit </w:t>
      </w:r>
      <w:r w:rsidR="003C6826" w:rsidRPr="00247C0A">
        <w:rPr>
          <w:rFonts w:ascii="Times New Roman" w:hAnsi="Times New Roman" w:cs="Times New Roman"/>
          <w:sz w:val="28"/>
          <w:szCs w:val="28"/>
        </w:rPr>
        <w:t xml:space="preserve">concerning the deposit, the burden of </w:t>
      </w:r>
      <w:r w:rsidRPr="00247C0A">
        <w:rPr>
          <w:rFonts w:ascii="Times New Roman" w:hAnsi="Times New Roman" w:cs="Times New Roman"/>
          <w:sz w:val="28"/>
          <w:szCs w:val="28"/>
        </w:rPr>
        <w:t xml:space="preserve">proof for the reason/s </w:t>
      </w:r>
      <w:r w:rsidR="003C6826" w:rsidRPr="00247C0A">
        <w:rPr>
          <w:rFonts w:ascii="Times New Roman" w:hAnsi="Times New Roman" w:cs="Times New Roman"/>
          <w:sz w:val="28"/>
          <w:szCs w:val="28"/>
        </w:rPr>
        <w:t xml:space="preserve">for withholding all or any portion of the deposit </w:t>
      </w:r>
      <w:r w:rsidRPr="00247C0A">
        <w:rPr>
          <w:rFonts w:ascii="Times New Roman" w:hAnsi="Times New Roman" w:cs="Times New Roman"/>
          <w:sz w:val="28"/>
          <w:szCs w:val="28"/>
        </w:rPr>
        <w:t>is on</w:t>
      </w:r>
      <w:r w:rsidR="006220B6" w:rsidRPr="00247C0A">
        <w:rPr>
          <w:rFonts w:ascii="Times New Roman" w:hAnsi="Times New Roman" w:cs="Times New Roman"/>
          <w:sz w:val="28"/>
          <w:szCs w:val="28"/>
        </w:rPr>
        <w:t xml:space="preserve"> the landlord.</w:t>
      </w:r>
    </w:p>
    <w:p w14:paraId="05322969" w14:textId="77777777" w:rsidR="006220B6" w:rsidRPr="00247C0A" w:rsidRDefault="006220B6" w:rsidP="003C6826">
      <w:pPr>
        <w:rPr>
          <w:rFonts w:ascii="Times New Roman" w:hAnsi="Times New Roman" w:cs="Times New Roman"/>
          <w:sz w:val="28"/>
          <w:szCs w:val="28"/>
        </w:rPr>
      </w:pPr>
      <w:r w:rsidRPr="00247C0A">
        <w:rPr>
          <w:rFonts w:ascii="Times New Roman" w:hAnsi="Times New Roman" w:cs="Times New Roman"/>
          <w:sz w:val="28"/>
          <w:szCs w:val="28"/>
        </w:rPr>
        <w:t>Therefore, if the dispute is over physical damage the landlord will have to prove the condition of the par</w:t>
      </w:r>
      <w:r w:rsidR="00C327F4" w:rsidRPr="00247C0A">
        <w:rPr>
          <w:rFonts w:ascii="Times New Roman" w:hAnsi="Times New Roman" w:cs="Times New Roman"/>
          <w:sz w:val="28"/>
          <w:szCs w:val="28"/>
        </w:rPr>
        <w:t>t of the unit sustaining damage</w:t>
      </w:r>
      <w:r w:rsidRPr="00247C0A">
        <w:rPr>
          <w:rFonts w:ascii="Times New Roman" w:hAnsi="Times New Roman" w:cs="Times New Roman"/>
          <w:sz w:val="28"/>
          <w:szCs w:val="28"/>
        </w:rPr>
        <w:t xml:space="preserve"> on both the first and last days of the </w:t>
      </w:r>
      <w:r w:rsidR="00C327F4" w:rsidRPr="00247C0A">
        <w:rPr>
          <w:rFonts w:ascii="Times New Roman" w:hAnsi="Times New Roman" w:cs="Times New Roman"/>
          <w:sz w:val="28"/>
          <w:szCs w:val="28"/>
        </w:rPr>
        <w:t>tenancy (i.e. before-and-</w:t>
      </w:r>
      <w:r w:rsidR="00CD1356" w:rsidRPr="00247C0A">
        <w:rPr>
          <w:rFonts w:ascii="Times New Roman" w:hAnsi="Times New Roman" w:cs="Times New Roman"/>
          <w:sz w:val="28"/>
          <w:szCs w:val="28"/>
        </w:rPr>
        <w:t>after condition, not just after).</w:t>
      </w:r>
      <w:r w:rsidR="00ED71E8" w:rsidRPr="00247C0A">
        <w:rPr>
          <w:rStyle w:val="FootnoteReference"/>
          <w:rFonts w:ascii="Times New Roman" w:hAnsi="Times New Roman" w:cs="Times New Roman"/>
          <w:sz w:val="28"/>
          <w:szCs w:val="28"/>
        </w:rPr>
        <w:footnoteReference w:id="14"/>
      </w:r>
    </w:p>
    <w:p w14:paraId="706B50DF" w14:textId="5669070E" w:rsidR="004A743C" w:rsidRPr="00247C0A" w:rsidRDefault="004A743C" w:rsidP="004A743C">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4</w:t>
      </w:r>
      <w:r w:rsidR="00875433" w:rsidRPr="00247C0A">
        <w:rPr>
          <w:rFonts w:ascii="Times New Roman" w:hAnsi="Times New Roman" w:cs="Times New Roman"/>
          <w:sz w:val="28"/>
          <w:szCs w:val="28"/>
          <w:u w:val="single"/>
        </w:rPr>
        <w:t>(1)-(3)</w:t>
      </w:r>
      <w:r w:rsidRPr="00247C0A">
        <w:rPr>
          <w:rFonts w:ascii="Times New Roman" w:hAnsi="Times New Roman" w:cs="Times New Roman"/>
          <w:sz w:val="28"/>
          <w:szCs w:val="28"/>
          <w:u w:val="single"/>
        </w:rPr>
        <w:t xml:space="preserve"> – penalty for delay</w:t>
      </w:r>
    </w:p>
    <w:p w14:paraId="600A6FE6" w14:textId="77777777" w:rsidR="004A743C" w:rsidRPr="00247C0A" w:rsidRDefault="004A743C" w:rsidP="004A743C">
      <w:pPr>
        <w:rPr>
          <w:rFonts w:ascii="Times New Roman" w:hAnsi="Times New Roman" w:cs="Times New Roman"/>
          <w:sz w:val="28"/>
          <w:szCs w:val="28"/>
        </w:rPr>
      </w:pPr>
      <w:r w:rsidRPr="00247C0A">
        <w:rPr>
          <w:rFonts w:ascii="Times New Roman" w:hAnsi="Times New Roman" w:cs="Times New Roman"/>
          <w:sz w:val="28"/>
          <w:szCs w:val="28"/>
        </w:rPr>
        <w:t xml:space="preserve">If the statute has no penalty other than extra interest when a landlord fails to meet the three-week or five-day deadline for return of the deposit, an unscrupulous landlord will wait indefinitely before returning or accounting for the deposit. If even one in ten tenants </w:t>
      </w:r>
      <w:r w:rsidR="00840414" w:rsidRPr="00247C0A">
        <w:rPr>
          <w:rFonts w:ascii="Times New Roman" w:hAnsi="Times New Roman" w:cs="Times New Roman"/>
          <w:sz w:val="28"/>
          <w:szCs w:val="28"/>
        </w:rPr>
        <w:t>simply</w:t>
      </w:r>
      <w:r w:rsidRPr="00247C0A">
        <w:rPr>
          <w:rFonts w:ascii="Times New Roman" w:hAnsi="Times New Roman" w:cs="Times New Roman"/>
          <w:sz w:val="28"/>
          <w:szCs w:val="28"/>
        </w:rPr>
        <w:t xml:space="preserve"> give</w:t>
      </w:r>
      <w:r w:rsidR="00A85FD4" w:rsidRPr="00247C0A">
        <w:rPr>
          <w:rFonts w:ascii="Times New Roman" w:hAnsi="Times New Roman" w:cs="Times New Roman"/>
          <w:sz w:val="28"/>
          <w:szCs w:val="28"/>
        </w:rPr>
        <w:t>s</w:t>
      </w:r>
      <w:r w:rsidRPr="00247C0A">
        <w:rPr>
          <w:rFonts w:ascii="Times New Roman" w:hAnsi="Times New Roman" w:cs="Times New Roman"/>
          <w:sz w:val="28"/>
          <w:szCs w:val="28"/>
        </w:rPr>
        <w:t xml:space="preserve"> up, the unfairly retained deposit becomes a significant profit even after paying the diligent tenants a bit more interest. Therefore, nearly all states’ security-deposit laws include one or more penalty clauses for missing the return deadline.</w:t>
      </w:r>
    </w:p>
    <w:p w14:paraId="0B73B22F" w14:textId="77777777" w:rsidR="00975BED" w:rsidRPr="00247C0A" w:rsidRDefault="00975BED" w:rsidP="004A743C">
      <w:pPr>
        <w:rPr>
          <w:rFonts w:ascii="Times New Roman" w:hAnsi="Times New Roman" w:cs="Times New Roman"/>
          <w:color w:val="000000"/>
          <w:sz w:val="28"/>
          <w:szCs w:val="28"/>
          <w:shd w:val="clear" w:color="auto" w:fill="FFFFFF"/>
        </w:rPr>
      </w:pPr>
      <w:r w:rsidRPr="00247C0A">
        <w:rPr>
          <w:rFonts w:ascii="Times New Roman" w:hAnsi="Times New Roman" w:cs="Times New Roman"/>
          <w:sz w:val="28"/>
          <w:szCs w:val="28"/>
        </w:rPr>
        <w:lastRenderedPageBreak/>
        <w:t>Subdivision 4 lays out the</w:t>
      </w:r>
      <w:r w:rsidR="00A85FD4" w:rsidRPr="00247C0A">
        <w:rPr>
          <w:rFonts w:ascii="Times New Roman" w:hAnsi="Times New Roman" w:cs="Times New Roman"/>
          <w:sz w:val="28"/>
          <w:szCs w:val="28"/>
        </w:rPr>
        <w:t xml:space="preserve"> Minnesota</w:t>
      </w:r>
      <w:r w:rsidRPr="00247C0A">
        <w:rPr>
          <w:rFonts w:ascii="Times New Roman" w:hAnsi="Times New Roman" w:cs="Times New Roman"/>
          <w:sz w:val="28"/>
          <w:szCs w:val="28"/>
        </w:rPr>
        <w:t xml:space="preserve"> penalty as follows: The landlord who misses the deadline “</w:t>
      </w:r>
      <w:r w:rsidRPr="00247C0A">
        <w:rPr>
          <w:rFonts w:ascii="Times New Roman" w:hAnsi="Times New Roman" w:cs="Times New Roman"/>
          <w:color w:val="000000"/>
          <w:sz w:val="28"/>
          <w:szCs w:val="28"/>
          <w:u w:val="single"/>
          <w:shd w:val="clear" w:color="auto" w:fill="FFFFFF"/>
        </w:rPr>
        <w:t>is</w:t>
      </w:r>
      <w:r w:rsidRPr="00247C0A">
        <w:rPr>
          <w:rFonts w:ascii="Times New Roman" w:hAnsi="Times New Roman" w:cs="Times New Roman"/>
          <w:color w:val="000000"/>
          <w:sz w:val="28"/>
          <w:szCs w:val="28"/>
          <w:shd w:val="clear" w:color="auto" w:fill="FFFFFF"/>
        </w:rPr>
        <w:t xml:space="preserve"> liable to the tenant for damages in an amount equal to the portion of the deposit withheld by the landlord and interest thereon as provided in subdivision 2, as a penalty, in addition to the portion of the deposit wrongfully withheld by the landlord and interest thereon [emphasis added].” The use of the word “is” </w:t>
      </w:r>
      <w:proofErr w:type="gramStart"/>
      <w:r w:rsidRPr="00247C0A">
        <w:rPr>
          <w:rFonts w:ascii="Times New Roman" w:hAnsi="Times New Roman" w:cs="Times New Roman"/>
          <w:color w:val="000000"/>
          <w:sz w:val="28"/>
          <w:szCs w:val="28"/>
          <w:shd w:val="clear" w:color="auto" w:fill="FFFFFF"/>
        </w:rPr>
        <w:t>indicates</w:t>
      </w:r>
      <w:proofErr w:type="gramEnd"/>
      <w:r w:rsidRPr="00247C0A">
        <w:rPr>
          <w:rFonts w:ascii="Times New Roman" w:hAnsi="Times New Roman" w:cs="Times New Roman"/>
          <w:color w:val="000000"/>
          <w:sz w:val="28"/>
          <w:szCs w:val="28"/>
          <w:shd w:val="clear" w:color="auto" w:fill="FFFFFF"/>
        </w:rPr>
        <w:t xml:space="preserve"> that the court has no discretion. If the landlord misses the deadline, the penalty must be imposed.</w:t>
      </w:r>
    </w:p>
    <w:p w14:paraId="70877091" w14:textId="6D477EF8" w:rsidR="00975BED" w:rsidRPr="00247C0A" w:rsidRDefault="00975BED" w:rsidP="004A743C">
      <w:pPr>
        <w:rPr>
          <w:rFonts w:ascii="Times New Roman" w:hAnsi="Times New Roman" w:cs="Times New Roman"/>
          <w:color w:val="000000"/>
          <w:sz w:val="28"/>
          <w:szCs w:val="28"/>
        </w:rPr>
      </w:pPr>
      <w:r w:rsidRPr="00247C0A">
        <w:rPr>
          <w:rFonts w:ascii="Times New Roman" w:hAnsi="Times New Roman" w:cs="Times New Roman"/>
          <w:color w:val="000000"/>
          <w:sz w:val="28"/>
          <w:szCs w:val="28"/>
          <w:shd w:val="clear" w:color="auto" w:fill="FFFFFF"/>
        </w:rPr>
        <w:t>The rest of this provision is not a model of clarity.</w:t>
      </w:r>
      <w:r w:rsidR="003F061C" w:rsidRPr="00247C0A">
        <w:rPr>
          <w:rFonts w:ascii="Times New Roman" w:hAnsi="Times New Roman" w:cs="Times New Roman"/>
          <w:color w:val="000000"/>
          <w:sz w:val="28"/>
          <w:szCs w:val="28"/>
          <w:shd w:val="clear" w:color="auto" w:fill="FFFFFF"/>
        </w:rPr>
        <w:t xml:space="preserve"> The most likely reading, and one that most practitioners follow, is that when the deadline is completely missed the deposit + interest effectively doubles. If the deadline is only partly missed because the landlord returns</w:t>
      </w:r>
      <w:r w:rsidR="00943F18">
        <w:rPr>
          <w:rFonts w:ascii="Times New Roman" w:hAnsi="Times New Roman" w:cs="Times New Roman"/>
          <w:color w:val="000000"/>
          <w:sz w:val="28"/>
          <w:szCs w:val="28"/>
          <w:shd w:val="clear" w:color="auto" w:fill="FFFFFF"/>
        </w:rPr>
        <w:t xml:space="preserve"> some</w:t>
      </w:r>
      <w:r w:rsidR="003F061C" w:rsidRPr="00247C0A">
        <w:rPr>
          <w:rFonts w:ascii="Times New Roman" w:hAnsi="Times New Roman" w:cs="Times New Roman"/>
          <w:color w:val="000000"/>
          <w:sz w:val="28"/>
          <w:szCs w:val="28"/>
          <w:shd w:val="clear" w:color="auto" w:fill="FFFFFF"/>
        </w:rPr>
        <w:t xml:space="preserve"> the deposit by the deadline, then the deposit + interest effectively doubles minus the amount paid. E.g. i</w:t>
      </w:r>
      <w:r w:rsidR="001C216C" w:rsidRPr="00247C0A">
        <w:rPr>
          <w:rFonts w:ascii="Times New Roman" w:hAnsi="Times New Roman" w:cs="Times New Roman"/>
          <w:color w:val="000000"/>
          <w:sz w:val="28"/>
          <w:szCs w:val="28"/>
          <w:shd w:val="clear" w:color="auto" w:fill="FFFFFF"/>
        </w:rPr>
        <w:t>f the deposit + interest is $100</w:t>
      </w:r>
      <w:r w:rsidR="003F061C" w:rsidRPr="00247C0A">
        <w:rPr>
          <w:rFonts w:ascii="Times New Roman" w:hAnsi="Times New Roman" w:cs="Times New Roman"/>
          <w:color w:val="000000"/>
          <w:sz w:val="28"/>
          <w:szCs w:val="28"/>
          <w:shd w:val="clear" w:color="auto" w:fill="FFFFFF"/>
        </w:rPr>
        <w:t>0, the land</w:t>
      </w:r>
      <w:r w:rsidR="00A85FD4" w:rsidRPr="00247C0A">
        <w:rPr>
          <w:rFonts w:ascii="Times New Roman" w:hAnsi="Times New Roman" w:cs="Times New Roman"/>
          <w:color w:val="000000"/>
          <w:sz w:val="28"/>
          <w:szCs w:val="28"/>
          <w:shd w:val="clear" w:color="auto" w:fill="FFFFFF"/>
        </w:rPr>
        <w:t>lord pays $400 within the three-</w:t>
      </w:r>
      <w:r w:rsidR="003F061C" w:rsidRPr="00247C0A">
        <w:rPr>
          <w:rFonts w:ascii="Times New Roman" w:hAnsi="Times New Roman" w:cs="Times New Roman"/>
          <w:color w:val="000000"/>
          <w:sz w:val="28"/>
          <w:szCs w:val="28"/>
          <w:shd w:val="clear" w:color="auto" w:fill="FFFFFF"/>
        </w:rPr>
        <w:t>week period but doesn’t account properly until after the deadline, the deposit + interest effectively becomes $1</w:t>
      </w:r>
      <w:r w:rsidR="001C216C" w:rsidRPr="00247C0A">
        <w:rPr>
          <w:rFonts w:ascii="Times New Roman" w:hAnsi="Times New Roman" w:cs="Times New Roman"/>
          <w:color w:val="000000"/>
          <w:sz w:val="28"/>
          <w:szCs w:val="28"/>
          <w:shd w:val="clear" w:color="auto" w:fill="FFFFFF"/>
        </w:rPr>
        <w:t>600 (twice $100</w:t>
      </w:r>
      <w:r w:rsidR="00A85FD4" w:rsidRPr="00247C0A">
        <w:rPr>
          <w:rFonts w:ascii="Times New Roman" w:hAnsi="Times New Roman" w:cs="Times New Roman"/>
          <w:color w:val="000000"/>
          <w:sz w:val="28"/>
          <w:szCs w:val="28"/>
          <w:shd w:val="clear" w:color="auto" w:fill="FFFFFF"/>
        </w:rPr>
        <w:t>0 minus $400)</w:t>
      </w:r>
      <w:r w:rsidR="003F061C" w:rsidRPr="00247C0A">
        <w:rPr>
          <w:rFonts w:ascii="Times New Roman" w:hAnsi="Times New Roman" w:cs="Times New Roman"/>
          <w:color w:val="000000"/>
          <w:sz w:val="28"/>
          <w:szCs w:val="28"/>
          <w:shd w:val="clear" w:color="auto" w:fill="FFFFFF"/>
        </w:rPr>
        <w:t>.</w:t>
      </w:r>
      <w:r w:rsidR="00B81E6A" w:rsidRPr="00247C0A">
        <w:rPr>
          <w:rFonts w:ascii="Times New Roman" w:hAnsi="Times New Roman" w:cs="Times New Roman"/>
          <w:color w:val="000000"/>
          <w:sz w:val="28"/>
          <w:szCs w:val="28"/>
          <w:shd w:val="clear" w:color="auto" w:fill="FFFFFF"/>
        </w:rPr>
        <w:t xml:space="preserve"> In addition to a number of district-court cases, two nonprecedential Court of Appeals cases affirmed a doubling penalty. </w:t>
      </w:r>
      <w:hyperlink r:id="rId34" w:history="1">
        <w:r w:rsidR="00B81E6A" w:rsidRPr="00247C0A">
          <w:rPr>
            <w:rStyle w:val="Hyperlink"/>
            <w:rFonts w:ascii="Times New Roman" w:hAnsi="Times New Roman" w:cs="Times New Roman"/>
            <w:i/>
            <w:iCs/>
            <w:sz w:val="28"/>
            <w:szCs w:val="28"/>
          </w:rPr>
          <w:t>Mungall v. Garry</w:t>
        </w:r>
        <w:r w:rsidR="00B81E6A" w:rsidRPr="00247C0A">
          <w:rPr>
            <w:rStyle w:val="Hyperlink"/>
            <w:rFonts w:ascii="Times New Roman" w:hAnsi="Times New Roman" w:cs="Times New Roman"/>
            <w:sz w:val="28"/>
            <w:szCs w:val="28"/>
          </w:rPr>
          <w:t xml:space="preserve">, </w:t>
        </w:r>
        <w:r w:rsidR="00B81E6A" w:rsidRPr="00247C0A">
          <w:rPr>
            <w:rStyle w:val="Hyperlink"/>
            <w:rFonts w:ascii="Times New Roman" w:hAnsi="Times New Roman" w:cs="Times New Roman"/>
            <w:i/>
            <w:sz w:val="28"/>
            <w:szCs w:val="28"/>
          </w:rPr>
          <w:t>supra</w:t>
        </w:r>
      </w:hyperlink>
      <w:r w:rsidR="00B81E6A" w:rsidRPr="00247C0A">
        <w:rPr>
          <w:rStyle w:val="Hyperlink"/>
          <w:rFonts w:ascii="Times New Roman" w:hAnsi="Times New Roman" w:cs="Times New Roman"/>
          <w:sz w:val="28"/>
          <w:szCs w:val="28"/>
        </w:rPr>
        <w:t>;</w:t>
      </w:r>
      <w:r w:rsidR="00FF2172" w:rsidRPr="00247C0A">
        <w:rPr>
          <w:rStyle w:val="Hyperlink"/>
          <w:rFonts w:ascii="Times New Roman" w:hAnsi="Times New Roman" w:cs="Times New Roman"/>
          <w:sz w:val="28"/>
          <w:szCs w:val="28"/>
        </w:rPr>
        <w:t xml:space="preserve"> </w:t>
      </w:r>
      <w:r w:rsidR="00B81E6A" w:rsidRPr="00247C0A">
        <w:rPr>
          <w:rStyle w:val="Hyperlink"/>
          <w:rFonts w:ascii="Times New Roman" w:hAnsi="Times New Roman" w:cs="Times New Roman"/>
          <w:sz w:val="28"/>
          <w:szCs w:val="28"/>
        </w:rPr>
        <w:t xml:space="preserve"> </w:t>
      </w:r>
      <w:hyperlink r:id="rId35" w:history="1">
        <w:r w:rsidR="00B81E6A" w:rsidRPr="00247C0A">
          <w:rPr>
            <w:rStyle w:val="Hyperlink"/>
            <w:rFonts w:ascii="Times New Roman" w:hAnsi="Times New Roman" w:cs="Times New Roman"/>
            <w:i/>
            <w:iCs/>
            <w:sz w:val="28"/>
            <w:szCs w:val="28"/>
          </w:rPr>
          <w:t>Shahidullah v. Hart</w:t>
        </w:r>
        <w:r w:rsidR="00B81E6A" w:rsidRPr="00247C0A">
          <w:rPr>
            <w:rStyle w:val="Hyperlink"/>
            <w:rFonts w:ascii="Times New Roman" w:hAnsi="Times New Roman" w:cs="Times New Roman"/>
            <w:sz w:val="28"/>
            <w:szCs w:val="28"/>
          </w:rPr>
          <w:t xml:space="preserve">, </w:t>
        </w:r>
        <w:r w:rsidR="00FF2172" w:rsidRPr="00247C0A">
          <w:rPr>
            <w:rStyle w:val="Hyperlink"/>
            <w:rFonts w:ascii="Times New Roman" w:hAnsi="Times New Roman" w:cs="Times New Roman"/>
            <w:sz w:val="28"/>
            <w:szCs w:val="28"/>
          </w:rPr>
          <w:t xml:space="preserve">No. C9-01-1923 </w:t>
        </w:r>
        <w:r w:rsidR="00B81E6A" w:rsidRPr="00247C0A">
          <w:rPr>
            <w:rStyle w:val="Hyperlink"/>
            <w:rFonts w:ascii="Times New Roman" w:hAnsi="Times New Roman" w:cs="Times New Roman"/>
            <w:sz w:val="28"/>
            <w:szCs w:val="28"/>
          </w:rPr>
          <w:t>(Minn. Ct. App. June 4, 2002)</w:t>
        </w:r>
      </w:hyperlink>
      <w:r w:rsidR="00B81E6A" w:rsidRPr="00247C0A">
        <w:rPr>
          <w:rFonts w:ascii="Times New Roman" w:hAnsi="Times New Roman" w:cs="Times New Roman"/>
          <w:color w:val="000000"/>
          <w:sz w:val="28"/>
          <w:szCs w:val="28"/>
        </w:rPr>
        <w:t>.</w:t>
      </w:r>
    </w:p>
    <w:p w14:paraId="16F64D0F" w14:textId="77777777" w:rsidR="00B81E6A" w:rsidRPr="00247C0A" w:rsidRDefault="00B81E6A" w:rsidP="004A743C">
      <w:pPr>
        <w:rPr>
          <w:rFonts w:ascii="Times New Roman" w:hAnsi="Times New Roman" w:cs="Times New Roman"/>
          <w:color w:val="000000"/>
          <w:sz w:val="28"/>
          <w:szCs w:val="28"/>
        </w:rPr>
      </w:pPr>
      <w:r w:rsidRPr="00247C0A">
        <w:rPr>
          <w:rFonts w:ascii="Times New Roman" w:hAnsi="Times New Roman" w:cs="Times New Roman"/>
          <w:color w:val="000000"/>
          <w:sz w:val="28"/>
          <w:szCs w:val="28"/>
        </w:rPr>
        <w:t xml:space="preserve">The penalty is not just a forfeiture of the right to deduct from the deposit. While that might seem like a significant penalty, it isn’t. Missing the deadline does not prevent the landlord from making a damage claim or counterclaim. E.g. </w:t>
      </w:r>
      <w:r w:rsidR="00D368F8" w:rsidRPr="00247C0A">
        <w:rPr>
          <w:rFonts w:ascii="Times New Roman" w:hAnsi="Times New Roman" w:cs="Times New Roman"/>
          <w:color w:val="000000"/>
          <w:sz w:val="28"/>
          <w:szCs w:val="28"/>
        </w:rPr>
        <w:t>suppose</w:t>
      </w:r>
      <w:r w:rsidRPr="00247C0A">
        <w:rPr>
          <w:rFonts w:ascii="Times New Roman" w:hAnsi="Times New Roman" w:cs="Times New Roman"/>
          <w:color w:val="000000"/>
          <w:sz w:val="28"/>
          <w:szCs w:val="28"/>
        </w:rPr>
        <w:t xml:space="preserve"> the tenant’s deposit + interest is $</w:t>
      </w:r>
      <w:r w:rsidR="00D368F8" w:rsidRPr="00247C0A">
        <w:rPr>
          <w:rFonts w:ascii="Times New Roman" w:hAnsi="Times New Roman" w:cs="Times New Roman"/>
          <w:color w:val="000000"/>
          <w:sz w:val="28"/>
          <w:szCs w:val="28"/>
        </w:rPr>
        <w:t>700</w:t>
      </w:r>
      <w:r w:rsidRPr="00247C0A">
        <w:rPr>
          <w:rFonts w:ascii="Times New Roman" w:hAnsi="Times New Roman" w:cs="Times New Roman"/>
          <w:color w:val="000000"/>
          <w:sz w:val="28"/>
          <w:szCs w:val="28"/>
        </w:rPr>
        <w:t xml:space="preserve">, the landlord misses the deadline, but the tenant </w:t>
      </w:r>
      <w:r w:rsidR="00D368F8" w:rsidRPr="00247C0A">
        <w:rPr>
          <w:rFonts w:ascii="Times New Roman" w:hAnsi="Times New Roman" w:cs="Times New Roman"/>
          <w:color w:val="000000"/>
          <w:sz w:val="28"/>
          <w:szCs w:val="28"/>
        </w:rPr>
        <w:t>broke a $700 window and then sues for the deposit. The tenant wins that lawsuit but the landlord wins his $700 claim for the broken window, the same result as if the landlord deducted $700 from the deposit.</w:t>
      </w:r>
      <w:r w:rsidRPr="00247C0A">
        <w:rPr>
          <w:rFonts w:ascii="Times New Roman" w:hAnsi="Times New Roman" w:cs="Times New Roman"/>
          <w:color w:val="000000"/>
          <w:sz w:val="28"/>
          <w:szCs w:val="28"/>
        </w:rPr>
        <w:t xml:space="preserve"> See e.g. </w:t>
      </w:r>
      <w:hyperlink r:id="rId36" w:history="1">
        <w:r w:rsidR="00055E52" w:rsidRPr="00247C0A">
          <w:rPr>
            <w:rStyle w:val="Hyperlink"/>
            <w:rFonts w:ascii="Times New Roman" w:hAnsi="Times New Roman" w:cs="Times New Roman"/>
            <w:i/>
            <w:iCs/>
            <w:sz w:val="28"/>
            <w:szCs w:val="28"/>
          </w:rPr>
          <w:t>H-L Apartments v. Al-</w:t>
        </w:r>
        <w:proofErr w:type="spellStart"/>
        <w:r w:rsidR="00055E52" w:rsidRPr="00247C0A">
          <w:rPr>
            <w:rStyle w:val="Hyperlink"/>
            <w:rFonts w:ascii="Times New Roman" w:hAnsi="Times New Roman" w:cs="Times New Roman"/>
            <w:i/>
            <w:iCs/>
            <w:sz w:val="28"/>
            <w:szCs w:val="28"/>
          </w:rPr>
          <w:t>Q</w:t>
        </w:r>
        <w:r w:rsidR="008C3873" w:rsidRPr="00247C0A">
          <w:rPr>
            <w:rStyle w:val="Hyperlink"/>
            <w:rFonts w:ascii="Times New Roman" w:hAnsi="Times New Roman" w:cs="Times New Roman"/>
            <w:i/>
            <w:iCs/>
            <w:sz w:val="28"/>
            <w:szCs w:val="28"/>
          </w:rPr>
          <w:t>awiyy</w:t>
        </w:r>
        <w:proofErr w:type="spellEnd"/>
        <w:r w:rsidR="008C3873" w:rsidRPr="00247C0A">
          <w:rPr>
            <w:rStyle w:val="Hyperlink"/>
            <w:rFonts w:ascii="Times New Roman" w:hAnsi="Times New Roman" w:cs="Times New Roman"/>
            <w:i/>
            <w:iCs/>
            <w:sz w:val="28"/>
            <w:szCs w:val="28"/>
          </w:rPr>
          <w:t>,</w:t>
        </w:r>
        <w:r w:rsidR="008C3873" w:rsidRPr="00247C0A">
          <w:rPr>
            <w:rStyle w:val="Hyperlink"/>
            <w:rFonts w:ascii="Times New Roman" w:hAnsi="Times New Roman" w:cs="Times New Roman"/>
            <w:sz w:val="28"/>
            <w:szCs w:val="28"/>
          </w:rPr>
          <w:t> 440 N.W.2d 371 (Iowa 1989)</w:t>
        </w:r>
      </w:hyperlink>
      <w:r w:rsidR="008C3873" w:rsidRPr="00247C0A">
        <w:rPr>
          <w:rFonts w:ascii="Times New Roman" w:hAnsi="Times New Roman" w:cs="Times New Roman"/>
          <w:color w:val="000000"/>
          <w:sz w:val="28"/>
          <w:szCs w:val="28"/>
        </w:rPr>
        <w:t xml:space="preserve"> </w:t>
      </w:r>
      <w:r w:rsidRPr="00247C0A">
        <w:rPr>
          <w:rFonts w:ascii="Times New Roman" w:hAnsi="Times New Roman" w:cs="Times New Roman"/>
          <w:color w:val="000000"/>
          <w:sz w:val="28"/>
          <w:szCs w:val="28"/>
        </w:rPr>
        <w:t>applying this principle under Iowa law.</w:t>
      </w:r>
      <w:r w:rsidR="008C3873" w:rsidRPr="00247C0A">
        <w:rPr>
          <w:rStyle w:val="FootnoteReference"/>
          <w:rFonts w:ascii="Times New Roman" w:hAnsi="Times New Roman" w:cs="Times New Roman"/>
          <w:color w:val="000000"/>
          <w:sz w:val="28"/>
          <w:szCs w:val="28"/>
        </w:rPr>
        <w:footnoteReference w:id="15"/>
      </w:r>
      <w:r w:rsidR="008C3873" w:rsidRPr="00247C0A">
        <w:rPr>
          <w:rFonts w:ascii="Times New Roman" w:hAnsi="Times New Roman" w:cs="Times New Roman"/>
          <w:color w:val="000000"/>
          <w:sz w:val="28"/>
          <w:szCs w:val="28"/>
        </w:rPr>
        <w:t xml:space="preserve"> </w:t>
      </w:r>
    </w:p>
    <w:p w14:paraId="01F6FEF6" w14:textId="77777777" w:rsidR="008C3873" w:rsidRPr="00247C0A" w:rsidRDefault="008C3873" w:rsidP="004A743C">
      <w:pPr>
        <w:rPr>
          <w:rFonts w:ascii="Times New Roman" w:hAnsi="Times New Roman" w:cs="Times New Roman"/>
          <w:color w:val="000000"/>
          <w:sz w:val="28"/>
          <w:szCs w:val="28"/>
        </w:rPr>
      </w:pPr>
      <w:r w:rsidRPr="00247C0A">
        <w:rPr>
          <w:rFonts w:ascii="Times New Roman" w:hAnsi="Times New Roman" w:cs="Times New Roman"/>
          <w:color w:val="000000"/>
          <w:sz w:val="28"/>
          <w:szCs w:val="28"/>
        </w:rPr>
        <w:lastRenderedPageBreak/>
        <w:t>Very likely this exact concern</w:t>
      </w:r>
      <w:r w:rsidR="00D368F8" w:rsidRPr="00247C0A">
        <w:rPr>
          <w:rFonts w:ascii="Times New Roman" w:hAnsi="Times New Roman" w:cs="Times New Roman"/>
          <w:color w:val="000000"/>
          <w:sz w:val="28"/>
          <w:szCs w:val="28"/>
        </w:rPr>
        <w:t xml:space="preserve"> motivated the 1977 legislature to amend the statute. The original (1973) version of the statute’s penalty was forfeiture of the right to deduct. </w:t>
      </w:r>
      <w:hyperlink r:id="rId37" w:history="1">
        <w:r w:rsidR="00D368F8" w:rsidRPr="00247C0A">
          <w:rPr>
            <w:rStyle w:val="Hyperlink"/>
            <w:rFonts w:ascii="Times New Roman" w:hAnsi="Times New Roman" w:cs="Times New Roman"/>
            <w:sz w:val="28"/>
            <w:szCs w:val="28"/>
          </w:rPr>
          <w:t>Minn. Stat. § 504.20 (1973)</w:t>
        </w:r>
      </w:hyperlink>
      <w:r w:rsidR="00D368F8" w:rsidRPr="00247C0A">
        <w:rPr>
          <w:rFonts w:ascii="Times New Roman" w:hAnsi="Times New Roman" w:cs="Times New Roman"/>
          <w:sz w:val="28"/>
          <w:szCs w:val="28"/>
        </w:rPr>
        <w:t xml:space="preserve">. </w:t>
      </w:r>
      <w:r w:rsidR="00D368F8" w:rsidRPr="00247C0A">
        <w:rPr>
          <w:rFonts w:ascii="Times New Roman" w:hAnsi="Times New Roman" w:cs="Times New Roman"/>
          <w:color w:val="000000"/>
          <w:sz w:val="28"/>
          <w:szCs w:val="28"/>
        </w:rPr>
        <w:t xml:space="preserve">The amendment, </w:t>
      </w:r>
      <w:hyperlink r:id="rId38" w:history="1">
        <w:r w:rsidR="001B1C3C" w:rsidRPr="00247C0A">
          <w:rPr>
            <w:rStyle w:val="Hyperlink"/>
            <w:rFonts w:ascii="Times New Roman" w:hAnsi="Times New Roman" w:cs="Times New Roman"/>
            <w:sz w:val="28"/>
            <w:szCs w:val="28"/>
          </w:rPr>
          <w:t>1977 Minn. Laws c 280 s 3</w:t>
        </w:r>
      </w:hyperlink>
      <w:r w:rsidR="00D368F8" w:rsidRPr="00247C0A">
        <w:rPr>
          <w:rFonts w:ascii="Times New Roman" w:hAnsi="Times New Roman" w:cs="Times New Roman"/>
          <w:color w:val="000000"/>
          <w:sz w:val="28"/>
          <w:szCs w:val="28"/>
        </w:rPr>
        <w:t xml:space="preserve">, changed this to the </w:t>
      </w:r>
      <w:r w:rsidR="001B1C3C" w:rsidRPr="00247C0A">
        <w:rPr>
          <w:rFonts w:ascii="Times New Roman" w:hAnsi="Times New Roman" w:cs="Times New Roman"/>
          <w:color w:val="000000"/>
          <w:sz w:val="28"/>
          <w:szCs w:val="28"/>
        </w:rPr>
        <w:t xml:space="preserve">current language, the </w:t>
      </w:r>
      <w:r w:rsidR="00D368F8" w:rsidRPr="00247C0A">
        <w:rPr>
          <w:rFonts w:ascii="Times New Roman" w:hAnsi="Times New Roman" w:cs="Times New Roman"/>
          <w:color w:val="000000"/>
          <w:sz w:val="28"/>
          <w:szCs w:val="28"/>
        </w:rPr>
        <w:t>doubling penalty.</w:t>
      </w:r>
    </w:p>
    <w:p w14:paraId="2F76932E" w14:textId="355E919F" w:rsidR="005B7DD4" w:rsidRPr="00247C0A" w:rsidRDefault="005B7DD4" w:rsidP="005B7DD4">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4</w:t>
      </w:r>
      <w:r w:rsidR="00875433" w:rsidRPr="00247C0A">
        <w:rPr>
          <w:rFonts w:ascii="Times New Roman" w:hAnsi="Times New Roman" w:cs="Times New Roman"/>
          <w:sz w:val="28"/>
          <w:szCs w:val="28"/>
          <w:u w:val="single"/>
        </w:rPr>
        <w:t xml:space="preserve">(4) </w:t>
      </w:r>
      <w:r w:rsidRPr="00247C0A">
        <w:rPr>
          <w:rFonts w:ascii="Times New Roman" w:hAnsi="Times New Roman" w:cs="Times New Roman"/>
          <w:sz w:val="28"/>
          <w:szCs w:val="28"/>
          <w:u w:val="single"/>
        </w:rPr>
        <w:t>– penalty for denial of joint inspection</w:t>
      </w:r>
      <w:r w:rsidR="005B0180" w:rsidRPr="00247C0A">
        <w:rPr>
          <w:rFonts w:ascii="Times New Roman" w:hAnsi="Times New Roman" w:cs="Times New Roman"/>
          <w:sz w:val="28"/>
          <w:szCs w:val="28"/>
          <w:u w:val="single"/>
        </w:rPr>
        <w:t>s</w:t>
      </w:r>
    </w:p>
    <w:p w14:paraId="5D876D3D" w14:textId="31DB07A1" w:rsidR="005B7DD4" w:rsidRPr="00247C0A" w:rsidRDefault="00C52987" w:rsidP="004A743C">
      <w:pPr>
        <w:rPr>
          <w:rFonts w:ascii="Times New Roman" w:hAnsi="Times New Roman" w:cs="Times New Roman"/>
          <w:sz w:val="28"/>
          <w:szCs w:val="28"/>
        </w:rPr>
      </w:pPr>
      <w:r w:rsidRPr="00247C0A">
        <w:rPr>
          <w:rFonts w:ascii="Times New Roman" w:hAnsi="Times New Roman" w:cs="Times New Roman"/>
          <w:color w:val="000000"/>
          <w:sz w:val="28"/>
          <w:szCs w:val="28"/>
        </w:rPr>
        <w:t xml:space="preserve">The 2023 legislature added a requirement that the landlord allow the tenant a joint move-in inspection during the opening 14 days of the tenancy. </w:t>
      </w:r>
      <w:hyperlink r:id="rId39" w:history="1">
        <w:r w:rsidRPr="00247C0A">
          <w:rPr>
            <w:rStyle w:val="Hyperlink"/>
            <w:rFonts w:ascii="Times New Roman" w:hAnsi="Times New Roman" w:cs="Times New Roman"/>
            <w:sz w:val="28"/>
            <w:szCs w:val="28"/>
          </w:rPr>
          <w:t>Minn. Stat. § 504B.182</w:t>
        </w:r>
      </w:hyperlink>
      <w:r w:rsidRPr="00247C0A">
        <w:rPr>
          <w:rFonts w:ascii="Times New Roman" w:hAnsi="Times New Roman" w:cs="Times New Roman"/>
          <w:color w:val="000000"/>
          <w:sz w:val="28"/>
          <w:szCs w:val="28"/>
        </w:rPr>
        <w:t xml:space="preserve">, </w:t>
      </w:r>
      <w:hyperlink r:id="rId40" w:anchor="laws.19.85.0" w:history="1">
        <w:r w:rsidRPr="00247C0A">
          <w:rPr>
            <w:rStyle w:val="Hyperlink"/>
            <w:rFonts w:ascii="Times New Roman" w:hAnsi="Times New Roman" w:cs="Times New Roman"/>
            <w:sz w:val="28"/>
            <w:szCs w:val="28"/>
          </w:rPr>
          <w:t xml:space="preserve">2023 Minn. Laws </w:t>
        </w:r>
        <w:proofErr w:type="spellStart"/>
        <w:r w:rsidRPr="00247C0A">
          <w:rPr>
            <w:rStyle w:val="Hyperlink"/>
            <w:rFonts w:ascii="Times New Roman" w:hAnsi="Times New Roman" w:cs="Times New Roman"/>
            <w:sz w:val="28"/>
            <w:szCs w:val="28"/>
          </w:rPr>
          <w:t>ch.</w:t>
        </w:r>
        <w:proofErr w:type="spellEnd"/>
        <w:r w:rsidRPr="00247C0A">
          <w:rPr>
            <w:rStyle w:val="Hyperlink"/>
            <w:rFonts w:ascii="Times New Roman" w:hAnsi="Times New Roman" w:cs="Times New Roman"/>
            <w:sz w:val="28"/>
            <w:szCs w:val="28"/>
          </w:rPr>
          <w:t xml:space="preserve"> 52, art. 19, s. 86</w:t>
        </w:r>
      </w:hyperlink>
      <w:r w:rsidRPr="00247C0A">
        <w:rPr>
          <w:rFonts w:ascii="Times New Roman" w:hAnsi="Times New Roman" w:cs="Times New Roman"/>
          <w:color w:val="000000"/>
          <w:sz w:val="28"/>
          <w:szCs w:val="28"/>
        </w:rPr>
        <w:t xml:space="preserve">. The purpose of the inspection is to identify existing damages so the tenant is not held liable at the end of the tenancy for problems she did not cause. </w:t>
      </w:r>
      <w:hyperlink r:id="rId41" w:anchor="laws.19.85.0" w:history="1">
        <w:r w:rsidRPr="00247C0A">
          <w:rPr>
            <w:rStyle w:val="Hyperlink"/>
            <w:rFonts w:ascii="Times New Roman" w:hAnsi="Times New Roman" w:cs="Times New Roman"/>
            <w:i/>
            <w:iCs/>
            <w:color w:val="2B6DAD"/>
            <w:sz w:val="28"/>
            <w:szCs w:val="28"/>
            <w:u w:val="none"/>
            <w:shd w:val="clear" w:color="auto" w:fill="FFFFFF"/>
          </w:rPr>
          <w:t>Id.</w:t>
        </w:r>
      </w:hyperlink>
      <w:r w:rsidRPr="00247C0A">
        <w:rPr>
          <w:rFonts w:ascii="Times New Roman" w:hAnsi="Times New Roman" w:cs="Times New Roman"/>
          <w:sz w:val="28"/>
          <w:szCs w:val="28"/>
        </w:rPr>
        <w:t xml:space="preserve"> </w:t>
      </w:r>
      <w:r w:rsidRPr="00247C0A">
        <w:rPr>
          <w:rFonts w:ascii="Times New Roman" w:hAnsi="Times New Roman" w:cs="Times New Roman"/>
          <w:color w:val="000000"/>
          <w:sz w:val="28"/>
          <w:szCs w:val="28"/>
        </w:rPr>
        <w:t>If the tenant agrees, instead of an inspection “</w:t>
      </w:r>
      <w:r w:rsidRPr="00247C0A">
        <w:rPr>
          <w:rFonts w:ascii="Times New Roman" w:hAnsi="Times New Roman" w:cs="Times New Roman"/>
          <w:color w:val="000000"/>
          <w:sz w:val="28"/>
          <w:szCs w:val="28"/>
          <w:shd w:val="clear" w:color="auto" w:fill="FFFFFF"/>
        </w:rPr>
        <w:t xml:space="preserve">a landlord may provide written acknowledgment to the tenant of photos or videos of a rental unit and agree to the condition of the rental unit at the start or end of the tenancy.” </w:t>
      </w:r>
      <w:hyperlink r:id="rId42" w:anchor="laws.19.85.0" w:history="1">
        <w:r w:rsidRPr="00247C0A">
          <w:rPr>
            <w:rStyle w:val="Hyperlink"/>
            <w:rFonts w:ascii="Times New Roman" w:hAnsi="Times New Roman" w:cs="Times New Roman"/>
            <w:i/>
            <w:iCs/>
            <w:color w:val="2B6DAD"/>
            <w:sz w:val="28"/>
            <w:szCs w:val="28"/>
            <w:u w:val="none"/>
            <w:shd w:val="clear" w:color="auto" w:fill="FFFFFF"/>
          </w:rPr>
          <w:t>Id.</w:t>
        </w:r>
      </w:hyperlink>
      <w:r w:rsidRPr="00247C0A">
        <w:rPr>
          <w:rFonts w:ascii="Times New Roman" w:hAnsi="Times New Roman" w:cs="Times New Roman"/>
          <w:sz w:val="28"/>
          <w:szCs w:val="28"/>
        </w:rPr>
        <w:t xml:space="preserve"> </w:t>
      </w:r>
      <w:r w:rsidR="00681E44" w:rsidRPr="00247C0A">
        <w:rPr>
          <w:rFonts w:ascii="Times New Roman" w:hAnsi="Times New Roman" w:cs="Times New Roman"/>
          <w:sz w:val="28"/>
          <w:szCs w:val="28"/>
        </w:rPr>
        <w:t>Furthermore,</w:t>
      </w:r>
      <w:r w:rsidRPr="00247C0A">
        <w:rPr>
          <w:rFonts w:ascii="Times New Roman" w:hAnsi="Times New Roman" w:cs="Times New Roman"/>
          <w:sz w:val="28"/>
          <w:szCs w:val="28"/>
        </w:rPr>
        <w:t xml:space="preserve"> </w:t>
      </w:r>
      <w:r w:rsidR="00681E44" w:rsidRPr="00247C0A">
        <w:rPr>
          <w:rFonts w:ascii="Times New Roman" w:hAnsi="Times New Roman" w:cs="Times New Roman"/>
          <w:sz w:val="28"/>
          <w:szCs w:val="28"/>
        </w:rPr>
        <w:t>during</w:t>
      </w:r>
      <w:r w:rsidRPr="00247C0A">
        <w:rPr>
          <w:rFonts w:ascii="Times New Roman" w:hAnsi="Times New Roman" w:cs="Times New Roman"/>
          <w:sz w:val="28"/>
          <w:szCs w:val="28"/>
        </w:rPr>
        <w:t xml:space="preserve"> the ending </w:t>
      </w:r>
      <w:r w:rsidR="001F2BB2" w:rsidRPr="00247C0A">
        <w:rPr>
          <w:rFonts w:ascii="Times New Roman" w:hAnsi="Times New Roman" w:cs="Times New Roman"/>
          <w:sz w:val="28"/>
          <w:szCs w:val="28"/>
        </w:rPr>
        <w:t>5</w:t>
      </w:r>
      <w:r w:rsidRPr="00247C0A">
        <w:rPr>
          <w:rFonts w:ascii="Times New Roman" w:hAnsi="Times New Roman" w:cs="Times New Roman"/>
          <w:sz w:val="28"/>
          <w:szCs w:val="28"/>
        </w:rPr>
        <w:t xml:space="preserve"> days of the tenancy the landlord must allow the tenant a joint move-out inspection to identify </w:t>
      </w:r>
      <w:r w:rsidR="001F2BB2" w:rsidRPr="00247C0A">
        <w:rPr>
          <w:rFonts w:ascii="Times New Roman" w:hAnsi="Times New Roman" w:cs="Times New Roman"/>
          <w:sz w:val="28"/>
          <w:szCs w:val="28"/>
        </w:rPr>
        <w:t>deficiencies</w:t>
      </w:r>
      <w:r w:rsidR="00681E44" w:rsidRPr="00247C0A">
        <w:rPr>
          <w:rFonts w:ascii="Times New Roman" w:hAnsi="Times New Roman" w:cs="Times New Roman"/>
          <w:sz w:val="28"/>
          <w:szCs w:val="28"/>
        </w:rPr>
        <w:t xml:space="preserve">; the tenant is then allowed to correct </w:t>
      </w:r>
      <w:r w:rsidR="001F2BB2" w:rsidRPr="00247C0A">
        <w:rPr>
          <w:rFonts w:ascii="Times New Roman" w:hAnsi="Times New Roman" w:cs="Times New Roman"/>
          <w:sz w:val="28"/>
          <w:szCs w:val="28"/>
        </w:rPr>
        <w:t>those</w:t>
      </w:r>
      <w:r w:rsidR="00681E44" w:rsidRPr="00247C0A">
        <w:rPr>
          <w:rFonts w:ascii="Times New Roman" w:hAnsi="Times New Roman" w:cs="Times New Roman"/>
          <w:sz w:val="28"/>
          <w:szCs w:val="28"/>
        </w:rPr>
        <w:t xml:space="preserve"> deficiencies to avoid deduction</w:t>
      </w:r>
      <w:r w:rsidR="009A349D" w:rsidRPr="00247C0A">
        <w:rPr>
          <w:rFonts w:ascii="Times New Roman" w:hAnsi="Times New Roman" w:cs="Times New Roman"/>
          <w:sz w:val="28"/>
          <w:szCs w:val="28"/>
        </w:rPr>
        <w:t>s</w:t>
      </w:r>
      <w:r w:rsidR="00681E44" w:rsidRPr="00247C0A">
        <w:rPr>
          <w:rFonts w:ascii="Times New Roman" w:hAnsi="Times New Roman" w:cs="Times New Roman"/>
          <w:sz w:val="28"/>
          <w:szCs w:val="28"/>
        </w:rPr>
        <w:t xml:space="preserve"> from the deposit. </w:t>
      </w:r>
      <w:hyperlink r:id="rId43" w:anchor="laws.19.85.0" w:history="1">
        <w:r w:rsidR="00681E44" w:rsidRPr="00247C0A">
          <w:rPr>
            <w:rStyle w:val="Hyperlink"/>
            <w:rFonts w:ascii="Times New Roman" w:hAnsi="Times New Roman" w:cs="Times New Roman"/>
            <w:i/>
            <w:iCs/>
            <w:color w:val="2B6DAD"/>
            <w:sz w:val="28"/>
            <w:szCs w:val="28"/>
            <w:u w:val="none"/>
            <w:shd w:val="clear" w:color="auto" w:fill="FFFFFF"/>
          </w:rPr>
          <w:t>Id.</w:t>
        </w:r>
      </w:hyperlink>
    </w:p>
    <w:p w14:paraId="34496013" w14:textId="7CB09140" w:rsidR="005B0180" w:rsidRPr="00247C0A" w:rsidRDefault="005B0180" w:rsidP="004A743C">
      <w:pPr>
        <w:rPr>
          <w:rFonts w:ascii="Times New Roman" w:hAnsi="Times New Roman" w:cs="Times New Roman"/>
          <w:color w:val="000000"/>
          <w:sz w:val="28"/>
          <w:szCs w:val="28"/>
        </w:rPr>
      </w:pPr>
      <w:r w:rsidRPr="00247C0A">
        <w:rPr>
          <w:rFonts w:ascii="Times New Roman" w:hAnsi="Times New Roman" w:cs="Times New Roman"/>
          <w:color w:val="000000"/>
          <w:sz w:val="28"/>
          <w:szCs w:val="28"/>
        </w:rPr>
        <w:t>If the landlord does not correctly allow either of these two inspections, the landlord is subject to the same penalt</w:t>
      </w:r>
      <w:r w:rsidR="00AB6BB5" w:rsidRPr="00247C0A">
        <w:rPr>
          <w:rFonts w:ascii="Times New Roman" w:hAnsi="Times New Roman" w:cs="Times New Roman"/>
          <w:color w:val="000000"/>
          <w:sz w:val="28"/>
          <w:szCs w:val="28"/>
        </w:rPr>
        <w:t xml:space="preserve">y </w:t>
      </w:r>
      <w:r w:rsidR="0083323B">
        <w:rPr>
          <w:rFonts w:ascii="Times New Roman" w:hAnsi="Times New Roman" w:cs="Times New Roman"/>
          <w:color w:val="000000"/>
          <w:sz w:val="28"/>
          <w:szCs w:val="28"/>
        </w:rPr>
        <w:t xml:space="preserve">that is </w:t>
      </w:r>
      <w:r w:rsidR="009A349D" w:rsidRPr="00247C0A">
        <w:rPr>
          <w:rFonts w:ascii="Times New Roman" w:hAnsi="Times New Roman" w:cs="Times New Roman"/>
          <w:color w:val="000000"/>
          <w:sz w:val="28"/>
          <w:szCs w:val="28"/>
        </w:rPr>
        <w:t xml:space="preserve">imposed </w:t>
      </w:r>
      <w:r w:rsidR="00AB6BB5" w:rsidRPr="00247C0A">
        <w:rPr>
          <w:rFonts w:ascii="Times New Roman" w:hAnsi="Times New Roman" w:cs="Times New Roman"/>
          <w:color w:val="000000"/>
          <w:sz w:val="28"/>
          <w:szCs w:val="28"/>
        </w:rPr>
        <w:t>for delay</w:t>
      </w:r>
      <w:r w:rsidR="009A349D" w:rsidRPr="00247C0A">
        <w:rPr>
          <w:rFonts w:ascii="Times New Roman" w:hAnsi="Times New Roman" w:cs="Times New Roman"/>
          <w:color w:val="000000"/>
          <w:sz w:val="28"/>
          <w:szCs w:val="28"/>
        </w:rPr>
        <w:t>ed return of the deposit</w:t>
      </w:r>
      <w:r w:rsidR="00AB6BB5" w:rsidRPr="00247C0A">
        <w:rPr>
          <w:rFonts w:ascii="Times New Roman" w:hAnsi="Times New Roman" w:cs="Times New Roman"/>
          <w:color w:val="000000"/>
          <w:sz w:val="28"/>
          <w:szCs w:val="28"/>
        </w:rPr>
        <w:t>.</w:t>
      </w:r>
      <w:r w:rsidRPr="00247C0A">
        <w:rPr>
          <w:rFonts w:ascii="Times New Roman" w:hAnsi="Times New Roman" w:cs="Times New Roman"/>
          <w:color w:val="000000"/>
          <w:sz w:val="28"/>
          <w:szCs w:val="28"/>
        </w:rPr>
        <w:t xml:space="preserve"> </w:t>
      </w:r>
      <w:hyperlink r:id="rId44" w:history="1">
        <w:r w:rsidRPr="00247C0A">
          <w:rPr>
            <w:rStyle w:val="Hyperlink"/>
            <w:rFonts w:ascii="Times New Roman" w:hAnsi="Times New Roman" w:cs="Times New Roman"/>
            <w:sz w:val="28"/>
            <w:szCs w:val="28"/>
          </w:rPr>
          <w:t xml:space="preserve">Minn. Stat. § 504B.178, subd. </w:t>
        </w:r>
        <w:r w:rsidR="00AB6BB5" w:rsidRPr="00247C0A">
          <w:rPr>
            <w:rStyle w:val="Hyperlink"/>
            <w:rFonts w:ascii="Times New Roman" w:hAnsi="Times New Roman" w:cs="Times New Roman"/>
            <w:sz w:val="28"/>
            <w:szCs w:val="28"/>
          </w:rPr>
          <w:t>4(4)</w:t>
        </w:r>
        <w:r w:rsidRPr="00247C0A">
          <w:rPr>
            <w:rStyle w:val="Hyperlink"/>
            <w:rFonts w:ascii="Times New Roman" w:hAnsi="Times New Roman" w:cs="Times New Roman"/>
            <w:sz w:val="28"/>
            <w:szCs w:val="28"/>
          </w:rPr>
          <w:t xml:space="preserve"> (2023)</w:t>
        </w:r>
      </w:hyperlink>
      <w:r w:rsidRPr="00247C0A">
        <w:rPr>
          <w:rFonts w:ascii="Times New Roman" w:hAnsi="Times New Roman" w:cs="Times New Roman"/>
          <w:color w:val="000000"/>
          <w:sz w:val="28"/>
          <w:szCs w:val="28"/>
        </w:rPr>
        <w:t xml:space="preserve">, </w:t>
      </w:r>
      <w:hyperlink r:id="rId45" w:anchor="laws.19.85.0" w:history="1">
        <w:r w:rsidRPr="00247C0A">
          <w:rPr>
            <w:rStyle w:val="Hyperlink"/>
            <w:rFonts w:ascii="Times New Roman" w:hAnsi="Times New Roman" w:cs="Times New Roman"/>
            <w:sz w:val="28"/>
            <w:szCs w:val="28"/>
          </w:rPr>
          <w:t xml:space="preserve">2023 Minn. Laws </w:t>
        </w:r>
        <w:proofErr w:type="spellStart"/>
        <w:r w:rsidRPr="00247C0A">
          <w:rPr>
            <w:rStyle w:val="Hyperlink"/>
            <w:rFonts w:ascii="Times New Roman" w:hAnsi="Times New Roman" w:cs="Times New Roman"/>
            <w:sz w:val="28"/>
            <w:szCs w:val="28"/>
          </w:rPr>
          <w:t>ch.</w:t>
        </w:r>
        <w:proofErr w:type="spellEnd"/>
        <w:r w:rsidRPr="00247C0A">
          <w:rPr>
            <w:rStyle w:val="Hyperlink"/>
            <w:rFonts w:ascii="Times New Roman" w:hAnsi="Times New Roman" w:cs="Times New Roman"/>
            <w:sz w:val="28"/>
            <w:szCs w:val="28"/>
          </w:rPr>
          <w:t xml:space="preserve"> 52, art. 19, s. 8</w:t>
        </w:r>
      </w:hyperlink>
      <w:r w:rsidRPr="00247C0A">
        <w:rPr>
          <w:rFonts w:ascii="Times New Roman" w:hAnsi="Times New Roman" w:cs="Times New Roman"/>
          <w:color w:val="000000"/>
          <w:sz w:val="28"/>
          <w:szCs w:val="28"/>
          <w:u w:val="single"/>
        </w:rPr>
        <w:t>5</w:t>
      </w:r>
      <w:r w:rsidRPr="00247C0A">
        <w:rPr>
          <w:rFonts w:ascii="Times New Roman" w:hAnsi="Times New Roman" w:cs="Times New Roman"/>
          <w:color w:val="000000"/>
          <w:sz w:val="28"/>
          <w:szCs w:val="28"/>
        </w:rPr>
        <w:t xml:space="preserve">. </w:t>
      </w:r>
    </w:p>
    <w:p w14:paraId="7B9FD3EB" w14:textId="77777777" w:rsidR="00DF34C6" w:rsidRPr="00247C0A" w:rsidRDefault="00DF34C6" w:rsidP="004A743C">
      <w:pPr>
        <w:rPr>
          <w:rFonts w:ascii="Times New Roman" w:hAnsi="Times New Roman" w:cs="Times New Roman"/>
          <w:color w:val="000000"/>
          <w:sz w:val="28"/>
          <w:szCs w:val="28"/>
          <w:u w:val="single"/>
        </w:rPr>
      </w:pPr>
      <w:r w:rsidRPr="00247C0A">
        <w:rPr>
          <w:rFonts w:ascii="Times New Roman" w:hAnsi="Times New Roman" w:cs="Times New Roman"/>
          <w:color w:val="000000"/>
          <w:sz w:val="28"/>
          <w:szCs w:val="28"/>
          <w:u w:val="single"/>
        </w:rPr>
        <w:t>Subdivision 7 – bad faith withholding</w:t>
      </w:r>
    </w:p>
    <w:p w14:paraId="3D91D330" w14:textId="77777777" w:rsidR="00DF34C6" w:rsidRPr="00247C0A" w:rsidRDefault="004E7287" w:rsidP="004A743C">
      <w:pPr>
        <w:rPr>
          <w:rFonts w:ascii="Times New Roman" w:hAnsi="Times New Roman" w:cs="Times New Roman"/>
          <w:color w:val="000000"/>
          <w:sz w:val="28"/>
          <w:szCs w:val="28"/>
          <w:shd w:val="clear" w:color="auto" w:fill="FFFFFF"/>
        </w:rPr>
      </w:pPr>
      <w:r w:rsidRPr="00247C0A">
        <w:rPr>
          <w:rFonts w:ascii="Times New Roman" w:hAnsi="Times New Roman" w:cs="Times New Roman"/>
          <w:color w:val="000000"/>
          <w:sz w:val="28"/>
          <w:szCs w:val="28"/>
        </w:rPr>
        <w:t>The unscrupulous landlord might well make sure to make his deadline to account for the deposit but then make up false or exaggerated damage claims in his “accounting” and keep all the deposit. The legislature thought of this as well and enacted subdivision 7 which says, “</w:t>
      </w:r>
      <w:r w:rsidRPr="00247C0A">
        <w:rPr>
          <w:rFonts w:ascii="Times New Roman" w:hAnsi="Times New Roman" w:cs="Times New Roman"/>
          <w:color w:val="000000"/>
          <w:sz w:val="28"/>
          <w:szCs w:val="28"/>
          <w:shd w:val="clear" w:color="auto" w:fill="FFFFFF"/>
        </w:rPr>
        <w:t>The bad faith retention by a landlord of a deposit, the interest thereon, or any portion thereof, in violation of this section shall subject the landlord to punitive damages not to exceed $500 for each deposit….”</w:t>
      </w:r>
    </w:p>
    <w:p w14:paraId="1E5FA9BD" w14:textId="77777777" w:rsidR="00271ED8" w:rsidRPr="00247C0A" w:rsidRDefault="004E7287" w:rsidP="00271ED8">
      <w:pPr>
        <w:rPr>
          <w:rStyle w:val="Hyperlink"/>
          <w:rFonts w:ascii="Times New Roman" w:hAnsi="Times New Roman" w:cs="Times New Roman"/>
          <w:sz w:val="28"/>
          <w:szCs w:val="28"/>
        </w:rPr>
      </w:pPr>
      <w:r w:rsidRPr="00247C0A">
        <w:rPr>
          <w:rFonts w:ascii="Times New Roman" w:hAnsi="Times New Roman" w:cs="Times New Roman"/>
          <w:color w:val="000000"/>
          <w:sz w:val="28"/>
          <w:szCs w:val="28"/>
          <w:shd w:val="clear" w:color="auto" w:fill="FFFFFF"/>
        </w:rPr>
        <w:t>Note the “each deposit” language. If there are two deposits, the landlord is on the hook for</w:t>
      </w:r>
      <w:r w:rsidR="00B824A6" w:rsidRPr="00247C0A">
        <w:rPr>
          <w:rFonts w:ascii="Times New Roman" w:hAnsi="Times New Roman" w:cs="Times New Roman"/>
          <w:color w:val="000000"/>
          <w:sz w:val="28"/>
          <w:szCs w:val="28"/>
          <w:shd w:val="clear" w:color="auto" w:fill="FFFFFF"/>
        </w:rPr>
        <w:t xml:space="preserve"> up to $1,000 (twice</w:t>
      </w:r>
      <w:r w:rsidRPr="00247C0A">
        <w:rPr>
          <w:rFonts w:ascii="Times New Roman" w:hAnsi="Times New Roman" w:cs="Times New Roman"/>
          <w:color w:val="000000"/>
          <w:sz w:val="28"/>
          <w:szCs w:val="28"/>
          <w:shd w:val="clear" w:color="auto" w:fill="FFFFFF"/>
        </w:rPr>
        <w:t xml:space="preserve"> $500</w:t>
      </w:r>
      <w:r w:rsidR="00B824A6" w:rsidRPr="00247C0A">
        <w:rPr>
          <w:rFonts w:ascii="Times New Roman" w:hAnsi="Times New Roman" w:cs="Times New Roman"/>
          <w:color w:val="000000"/>
          <w:sz w:val="28"/>
          <w:szCs w:val="28"/>
          <w:shd w:val="clear" w:color="auto" w:fill="FFFFFF"/>
        </w:rPr>
        <w:t>)</w:t>
      </w:r>
      <w:r w:rsidRPr="00247C0A">
        <w:rPr>
          <w:rFonts w:ascii="Times New Roman" w:hAnsi="Times New Roman" w:cs="Times New Roman"/>
          <w:color w:val="000000"/>
          <w:sz w:val="28"/>
          <w:szCs w:val="28"/>
          <w:shd w:val="clear" w:color="auto" w:fill="FFFFFF"/>
        </w:rPr>
        <w:t>, exactly happened in</w:t>
      </w:r>
      <w:r w:rsidR="00271ED8" w:rsidRPr="00247C0A">
        <w:rPr>
          <w:rFonts w:ascii="Times New Roman" w:hAnsi="Times New Roman" w:cs="Times New Roman"/>
          <w:sz w:val="28"/>
          <w:szCs w:val="28"/>
        </w:rPr>
        <w:t xml:space="preserve"> </w:t>
      </w:r>
      <w:hyperlink r:id="rId46" w:history="1">
        <w:r w:rsidR="00271ED8" w:rsidRPr="00247C0A">
          <w:rPr>
            <w:rStyle w:val="Hyperlink"/>
            <w:rFonts w:ascii="Times New Roman" w:hAnsi="Times New Roman" w:cs="Times New Roman"/>
            <w:i/>
            <w:iCs/>
            <w:sz w:val="28"/>
            <w:szCs w:val="28"/>
          </w:rPr>
          <w:t xml:space="preserve">Kaeding v. </w:t>
        </w:r>
        <w:proofErr w:type="spellStart"/>
        <w:r w:rsidR="00271ED8" w:rsidRPr="00247C0A">
          <w:rPr>
            <w:rStyle w:val="Hyperlink"/>
            <w:rFonts w:ascii="Times New Roman" w:hAnsi="Times New Roman" w:cs="Times New Roman"/>
            <w:i/>
            <w:iCs/>
            <w:sz w:val="28"/>
            <w:szCs w:val="28"/>
          </w:rPr>
          <w:t>Auleciems</w:t>
        </w:r>
        <w:proofErr w:type="spellEnd"/>
        <w:r w:rsidR="00271ED8" w:rsidRPr="00247C0A">
          <w:rPr>
            <w:rStyle w:val="Hyperlink"/>
            <w:rFonts w:ascii="Times New Roman" w:hAnsi="Times New Roman" w:cs="Times New Roman"/>
            <w:i/>
            <w:iCs/>
            <w:sz w:val="28"/>
            <w:szCs w:val="28"/>
          </w:rPr>
          <w:t>, supra</w:t>
        </w:r>
      </w:hyperlink>
      <w:r w:rsidR="00271ED8" w:rsidRPr="00247C0A">
        <w:rPr>
          <w:rStyle w:val="Hyperlink"/>
          <w:rFonts w:ascii="Times New Roman" w:hAnsi="Times New Roman" w:cs="Times New Roman"/>
          <w:sz w:val="28"/>
          <w:szCs w:val="28"/>
        </w:rPr>
        <w:t>.</w:t>
      </w:r>
    </w:p>
    <w:p w14:paraId="56FF6E35" w14:textId="77777777" w:rsidR="004E7287" w:rsidRPr="00247C0A" w:rsidRDefault="00271ED8" w:rsidP="004A743C">
      <w:pPr>
        <w:rPr>
          <w:rFonts w:ascii="Times New Roman" w:hAnsi="Times New Roman" w:cs="Times New Roman"/>
          <w:color w:val="000000"/>
          <w:sz w:val="28"/>
          <w:szCs w:val="28"/>
          <w:shd w:val="clear" w:color="auto" w:fill="FFFFFF"/>
        </w:rPr>
      </w:pPr>
      <w:r w:rsidRPr="00247C0A">
        <w:rPr>
          <w:rFonts w:ascii="Times New Roman" w:hAnsi="Times New Roman" w:cs="Times New Roman"/>
          <w:color w:val="000000"/>
          <w:sz w:val="28"/>
          <w:szCs w:val="28"/>
          <w:shd w:val="clear" w:color="auto" w:fill="FFFFFF"/>
        </w:rPr>
        <w:t>Also note the “not to exceed $500” language. Unlike the doubling penalty, the bad faith penalty is discretionary (although maybe the court would have to award at least 1¢</w:t>
      </w:r>
      <w:r w:rsidR="009B427D" w:rsidRPr="00247C0A">
        <w:rPr>
          <w:rFonts w:ascii="Times New Roman" w:hAnsi="Times New Roman" w:cs="Times New Roman"/>
          <w:color w:val="000000"/>
          <w:sz w:val="28"/>
          <w:szCs w:val="28"/>
          <w:shd w:val="clear" w:color="auto" w:fill="FFFFFF"/>
        </w:rPr>
        <w:t xml:space="preserve"> if it finds bad faith)</w:t>
      </w:r>
      <w:r w:rsidRPr="00247C0A">
        <w:rPr>
          <w:rFonts w:ascii="Times New Roman" w:hAnsi="Times New Roman" w:cs="Times New Roman"/>
          <w:color w:val="000000"/>
          <w:sz w:val="28"/>
          <w:szCs w:val="28"/>
          <w:shd w:val="clear" w:color="auto" w:fill="FFFFFF"/>
        </w:rPr>
        <w:t>.</w:t>
      </w:r>
    </w:p>
    <w:p w14:paraId="2033CA16" w14:textId="77777777" w:rsidR="009B427D" w:rsidRPr="00247C0A" w:rsidRDefault="009B427D" w:rsidP="009B427D">
      <w:pPr>
        <w:rPr>
          <w:rFonts w:ascii="Times New Roman" w:hAnsi="Times New Roman" w:cs="Times New Roman"/>
          <w:sz w:val="28"/>
          <w:szCs w:val="28"/>
        </w:rPr>
      </w:pPr>
      <w:r w:rsidRPr="00247C0A">
        <w:rPr>
          <w:rFonts w:ascii="Times New Roman" w:hAnsi="Times New Roman" w:cs="Times New Roman"/>
          <w:color w:val="000000"/>
          <w:sz w:val="28"/>
          <w:szCs w:val="28"/>
          <w:shd w:val="clear" w:color="auto" w:fill="FFFFFF"/>
        </w:rPr>
        <w:lastRenderedPageBreak/>
        <w:t xml:space="preserve">“Bad faith” is not defined in </w:t>
      </w:r>
      <w:r w:rsidRPr="00247C0A">
        <w:rPr>
          <w:rFonts w:ascii="Times New Roman" w:hAnsi="Times New Roman" w:cs="Times New Roman"/>
          <w:sz w:val="28"/>
          <w:szCs w:val="28"/>
        </w:rPr>
        <w:t xml:space="preserve">Minn. Stat. § 504B.178. The leading case defining the term is </w:t>
      </w:r>
      <w:hyperlink r:id="rId47" w:history="1">
        <w:r w:rsidRPr="00247C0A">
          <w:rPr>
            <w:rStyle w:val="Hyperlink"/>
            <w:rFonts w:ascii="Times New Roman" w:hAnsi="Times New Roman" w:cs="Times New Roman"/>
            <w:i/>
            <w:iCs/>
            <w:sz w:val="28"/>
            <w:szCs w:val="28"/>
          </w:rPr>
          <w:t>Lassen v. First Bank Eden Prairie</w:t>
        </w:r>
        <w:r w:rsidRPr="00247C0A">
          <w:rPr>
            <w:rStyle w:val="Hyperlink"/>
            <w:rFonts w:ascii="Times New Roman" w:hAnsi="Times New Roman" w:cs="Times New Roman"/>
            <w:sz w:val="28"/>
            <w:szCs w:val="28"/>
          </w:rPr>
          <w:t>, 514 N.W.2d 831,837 (Minn. Ct. App. 1994)</w:t>
        </w:r>
      </w:hyperlink>
      <w:r w:rsidR="00CD317D" w:rsidRPr="00247C0A">
        <w:rPr>
          <w:rFonts w:ascii="Times New Roman" w:hAnsi="Times New Roman" w:cs="Times New Roman"/>
          <w:i/>
          <w:iCs/>
          <w:sz w:val="28"/>
          <w:szCs w:val="28"/>
        </w:rPr>
        <w:t xml:space="preserve"> </w:t>
      </w:r>
      <w:r w:rsidR="00CD317D" w:rsidRPr="00247C0A">
        <w:rPr>
          <w:rFonts w:ascii="Times New Roman" w:hAnsi="Times New Roman" w:cs="Times New Roman"/>
          <w:iCs/>
          <w:sz w:val="28"/>
          <w:szCs w:val="28"/>
        </w:rPr>
        <w:t>which stated</w:t>
      </w:r>
      <w:r w:rsidR="00CD317D" w:rsidRPr="00247C0A">
        <w:rPr>
          <w:rFonts w:ascii="Times New Roman" w:hAnsi="Times New Roman" w:cs="Times New Roman"/>
          <w:sz w:val="28"/>
          <w:szCs w:val="28"/>
        </w:rPr>
        <w:t>:</w:t>
      </w:r>
    </w:p>
    <w:p w14:paraId="7DDC77DE" w14:textId="77777777" w:rsidR="009B427D" w:rsidRPr="00247C0A" w:rsidRDefault="009B427D" w:rsidP="00CD317D">
      <w:pPr>
        <w:ind w:left="720"/>
        <w:rPr>
          <w:rFonts w:ascii="Times New Roman" w:hAnsi="Times New Roman" w:cs="Times New Roman"/>
          <w:sz w:val="28"/>
          <w:szCs w:val="28"/>
        </w:rPr>
      </w:pPr>
      <w:r w:rsidRPr="00247C0A">
        <w:rPr>
          <w:rFonts w:ascii="Times New Roman" w:hAnsi="Times New Roman" w:cs="Times New Roman"/>
          <w:sz w:val="28"/>
          <w:szCs w:val="28"/>
        </w:rPr>
        <w:t xml:space="preserve"> </w:t>
      </w:r>
      <w:r w:rsidR="00CD317D" w:rsidRPr="00247C0A">
        <w:rPr>
          <w:rFonts w:ascii="Times New Roman" w:hAnsi="Times New Roman" w:cs="Times New Roman"/>
          <w:sz w:val="28"/>
          <w:szCs w:val="28"/>
        </w:rPr>
        <w:t xml:space="preserve">“Bad faith” generally means a </w:t>
      </w:r>
      <w:r w:rsidR="00184659" w:rsidRPr="00247C0A">
        <w:rPr>
          <w:rFonts w:ascii="Times New Roman" w:hAnsi="Times New Roman" w:cs="Times New Roman"/>
          <w:sz w:val="28"/>
          <w:szCs w:val="28"/>
        </w:rPr>
        <w:t>refusal to fulfill some duty or contractual obligation not prompted by an honest mistake as to one’s rights or duties, but r</w:t>
      </w:r>
      <w:r w:rsidR="00CD317D" w:rsidRPr="00247C0A">
        <w:rPr>
          <w:rFonts w:ascii="Times New Roman" w:hAnsi="Times New Roman" w:cs="Times New Roman"/>
          <w:sz w:val="28"/>
          <w:szCs w:val="28"/>
        </w:rPr>
        <w:t>ather by some ulterior motive.</w:t>
      </w:r>
    </w:p>
    <w:p w14:paraId="0DEF839A" w14:textId="77777777" w:rsidR="009B427D" w:rsidRPr="00247C0A" w:rsidRDefault="009B427D" w:rsidP="009B427D">
      <w:pPr>
        <w:rPr>
          <w:rFonts w:ascii="Times New Roman" w:hAnsi="Times New Roman" w:cs="Times New Roman"/>
          <w:color w:val="000000"/>
          <w:sz w:val="28"/>
          <w:szCs w:val="28"/>
          <w:shd w:val="clear" w:color="auto" w:fill="FFFFFF"/>
        </w:rPr>
      </w:pPr>
      <w:r w:rsidRPr="00247C0A">
        <w:rPr>
          <w:rFonts w:ascii="Times New Roman" w:hAnsi="Times New Roman" w:cs="Times New Roman"/>
          <w:sz w:val="28"/>
          <w:szCs w:val="28"/>
        </w:rPr>
        <w:t>Another case state</w:t>
      </w:r>
      <w:r w:rsidR="0007641B" w:rsidRPr="00247C0A">
        <w:rPr>
          <w:rFonts w:ascii="Times New Roman" w:hAnsi="Times New Roman" w:cs="Times New Roman"/>
          <w:sz w:val="28"/>
          <w:szCs w:val="28"/>
        </w:rPr>
        <w:t>d</w:t>
      </w:r>
      <w:r w:rsidRPr="00247C0A">
        <w:rPr>
          <w:rFonts w:ascii="Times New Roman" w:hAnsi="Times New Roman" w:cs="Times New Roman"/>
          <w:sz w:val="28"/>
          <w:szCs w:val="28"/>
        </w:rPr>
        <w:t xml:space="preserve">, </w:t>
      </w:r>
      <w:r w:rsidR="00184659" w:rsidRPr="00247C0A">
        <w:rPr>
          <w:rFonts w:ascii="Times New Roman" w:hAnsi="Times New Roman" w:cs="Times New Roman"/>
          <w:sz w:val="28"/>
          <w:szCs w:val="28"/>
        </w:rPr>
        <w:t>“bad-faith … [is] the commission</w:t>
      </w:r>
      <w:r w:rsidRPr="00247C0A">
        <w:rPr>
          <w:rFonts w:ascii="Times New Roman" w:hAnsi="Times New Roman" w:cs="Times New Roman"/>
          <w:sz w:val="28"/>
          <w:szCs w:val="28"/>
        </w:rPr>
        <w:t xml:space="preserve"> of a malicious, willful wrong.” </w:t>
      </w:r>
      <w:hyperlink r:id="rId48" w:history="1">
        <w:r w:rsidRPr="00247C0A">
          <w:rPr>
            <w:rStyle w:val="Hyperlink"/>
            <w:rFonts w:ascii="Times New Roman" w:hAnsi="Times New Roman" w:cs="Times New Roman"/>
            <w:i/>
            <w:iCs/>
            <w:sz w:val="28"/>
            <w:szCs w:val="28"/>
          </w:rPr>
          <w:t>Mjolsness v. Riley,</w:t>
        </w:r>
        <w:r w:rsidRPr="00247C0A">
          <w:rPr>
            <w:rStyle w:val="Hyperlink"/>
            <w:rFonts w:ascii="Times New Roman" w:hAnsi="Times New Roman" w:cs="Times New Roman"/>
            <w:sz w:val="28"/>
            <w:szCs w:val="28"/>
          </w:rPr>
          <w:t xml:space="preserve"> 524 N.W.2d 528, 530 (Minn. App. 1994)</w:t>
        </w:r>
      </w:hyperlink>
      <w:r w:rsidRPr="00247C0A">
        <w:rPr>
          <w:rFonts w:ascii="Times New Roman" w:hAnsi="Times New Roman" w:cs="Times New Roman"/>
          <w:sz w:val="28"/>
          <w:szCs w:val="28"/>
        </w:rPr>
        <w:t xml:space="preserve">. Subsequent cases generally cite one or both of these two cases. While the Court of Appeals decision in </w:t>
      </w:r>
      <w:hyperlink r:id="rId49" w:history="1">
        <w:r w:rsidRPr="00247C0A">
          <w:rPr>
            <w:rStyle w:val="Hyperlink"/>
            <w:rFonts w:ascii="Times New Roman" w:hAnsi="Times New Roman" w:cs="Times New Roman"/>
            <w:i/>
            <w:iCs/>
            <w:sz w:val="28"/>
            <w:szCs w:val="28"/>
          </w:rPr>
          <w:t xml:space="preserve">Kaeding v. </w:t>
        </w:r>
        <w:proofErr w:type="spellStart"/>
        <w:r w:rsidRPr="00247C0A">
          <w:rPr>
            <w:rStyle w:val="Hyperlink"/>
            <w:rFonts w:ascii="Times New Roman" w:hAnsi="Times New Roman" w:cs="Times New Roman"/>
            <w:i/>
            <w:iCs/>
            <w:sz w:val="28"/>
            <w:szCs w:val="28"/>
          </w:rPr>
          <w:t>Auleciems</w:t>
        </w:r>
        <w:proofErr w:type="spellEnd"/>
        <w:r w:rsidRPr="00247C0A">
          <w:rPr>
            <w:rStyle w:val="Hyperlink"/>
            <w:rFonts w:ascii="Times New Roman" w:hAnsi="Times New Roman" w:cs="Times New Roman"/>
            <w:i/>
            <w:iCs/>
            <w:sz w:val="28"/>
            <w:szCs w:val="28"/>
          </w:rPr>
          <w:t>, supra</w:t>
        </w:r>
      </w:hyperlink>
      <w:r w:rsidRPr="00247C0A">
        <w:rPr>
          <w:rStyle w:val="Hyperlink"/>
          <w:rFonts w:ascii="Times New Roman" w:hAnsi="Times New Roman" w:cs="Times New Roman"/>
          <w:sz w:val="28"/>
          <w:szCs w:val="28"/>
        </w:rPr>
        <w:t xml:space="preserve"> </w:t>
      </w:r>
      <w:r w:rsidRPr="00247C0A">
        <w:rPr>
          <w:rFonts w:ascii="Times New Roman" w:hAnsi="Times New Roman" w:cs="Times New Roman"/>
          <w:color w:val="000000"/>
          <w:sz w:val="28"/>
          <w:szCs w:val="28"/>
          <w:shd w:val="clear" w:color="auto" w:fill="FFFFFF"/>
        </w:rPr>
        <w:t xml:space="preserve">did not define “bad faith” it did affirm the </w:t>
      </w:r>
      <w:hyperlink r:id="rId50" w:history="1">
        <w:r w:rsidRPr="00247C0A">
          <w:rPr>
            <w:rStyle w:val="Hyperlink"/>
            <w:rFonts w:ascii="Times New Roman" w:hAnsi="Times New Roman" w:cs="Times New Roman"/>
            <w:sz w:val="28"/>
            <w:szCs w:val="28"/>
            <w:shd w:val="clear" w:color="auto" w:fill="FFFFFF"/>
          </w:rPr>
          <w:t>trial court order</w:t>
        </w:r>
      </w:hyperlink>
      <w:r w:rsidR="00BF09A8" w:rsidRPr="00247C0A">
        <w:rPr>
          <w:rFonts w:ascii="Times New Roman" w:hAnsi="Times New Roman" w:cs="Times New Roman"/>
          <w:color w:val="000000"/>
          <w:sz w:val="28"/>
          <w:szCs w:val="28"/>
          <w:shd w:val="clear" w:color="auto" w:fill="FFFFFF"/>
        </w:rPr>
        <w:t>, which c</w:t>
      </w:r>
      <w:r w:rsidR="00EF3631" w:rsidRPr="00247C0A">
        <w:rPr>
          <w:rFonts w:ascii="Times New Roman" w:hAnsi="Times New Roman" w:cs="Times New Roman"/>
          <w:color w:val="000000"/>
          <w:sz w:val="28"/>
          <w:szCs w:val="28"/>
          <w:shd w:val="clear" w:color="auto" w:fill="FFFFFF"/>
        </w:rPr>
        <w:t>ited</w:t>
      </w:r>
      <w:r w:rsidRPr="00247C0A">
        <w:rPr>
          <w:rFonts w:ascii="Times New Roman" w:hAnsi="Times New Roman" w:cs="Times New Roman"/>
          <w:color w:val="000000"/>
          <w:sz w:val="28"/>
          <w:szCs w:val="28"/>
          <w:shd w:val="clear" w:color="auto" w:fill="FFFFFF"/>
        </w:rPr>
        <w:t xml:space="preserve"> the </w:t>
      </w:r>
      <w:r w:rsidRPr="00247C0A">
        <w:rPr>
          <w:rFonts w:ascii="Times New Roman" w:hAnsi="Times New Roman" w:cs="Times New Roman"/>
          <w:i/>
          <w:color w:val="000000"/>
          <w:sz w:val="28"/>
          <w:szCs w:val="28"/>
          <w:shd w:val="clear" w:color="auto" w:fill="FFFFFF"/>
        </w:rPr>
        <w:t>Lassen</w:t>
      </w:r>
      <w:r w:rsidRPr="00247C0A">
        <w:rPr>
          <w:rFonts w:ascii="Times New Roman" w:hAnsi="Times New Roman" w:cs="Times New Roman"/>
          <w:color w:val="000000"/>
          <w:sz w:val="28"/>
          <w:szCs w:val="28"/>
          <w:shd w:val="clear" w:color="auto" w:fill="FFFFFF"/>
        </w:rPr>
        <w:t xml:space="preserve"> definition. Most trial courts use the </w:t>
      </w:r>
      <w:r w:rsidRPr="00247C0A">
        <w:rPr>
          <w:rFonts w:ascii="Times New Roman" w:hAnsi="Times New Roman" w:cs="Times New Roman"/>
          <w:i/>
          <w:color w:val="000000"/>
          <w:sz w:val="28"/>
          <w:szCs w:val="28"/>
          <w:shd w:val="clear" w:color="auto" w:fill="FFFFFF"/>
        </w:rPr>
        <w:t>Lassen</w:t>
      </w:r>
      <w:r w:rsidRPr="00247C0A">
        <w:rPr>
          <w:rFonts w:ascii="Times New Roman" w:hAnsi="Times New Roman" w:cs="Times New Roman"/>
          <w:color w:val="000000"/>
          <w:sz w:val="28"/>
          <w:szCs w:val="28"/>
          <w:shd w:val="clear" w:color="auto" w:fill="FFFFFF"/>
        </w:rPr>
        <w:t xml:space="preserve"> definition or something like it.</w:t>
      </w:r>
    </w:p>
    <w:p w14:paraId="3898597A" w14:textId="77777777" w:rsidR="009B427D" w:rsidRPr="00247C0A" w:rsidRDefault="0068238E" w:rsidP="009B427D">
      <w:pPr>
        <w:rPr>
          <w:rFonts w:ascii="Times New Roman" w:hAnsi="Times New Roman" w:cs="Times New Roman"/>
          <w:sz w:val="28"/>
          <w:szCs w:val="28"/>
        </w:rPr>
      </w:pPr>
      <w:r w:rsidRPr="00247C0A">
        <w:rPr>
          <w:rFonts w:ascii="Times New Roman" w:hAnsi="Times New Roman" w:cs="Times New Roman"/>
          <w:color w:val="000000"/>
          <w:sz w:val="28"/>
          <w:szCs w:val="28"/>
          <w:shd w:val="clear" w:color="auto" w:fill="FFFFFF"/>
        </w:rPr>
        <w:t>If the landlord misses the deadline and then still does not return the deposit within two weeks of being sued for the deposit, bad faith is presumed (on top of the doubling penalty).</w:t>
      </w:r>
    </w:p>
    <w:p w14:paraId="47AD6F71" w14:textId="77777777" w:rsidR="006E055D" w:rsidRPr="00247C0A" w:rsidRDefault="004F363A" w:rsidP="004F363A">
      <w:pPr>
        <w:rPr>
          <w:rFonts w:ascii="Times New Roman" w:hAnsi="Times New Roman" w:cs="Times New Roman"/>
          <w:sz w:val="28"/>
          <w:szCs w:val="28"/>
        </w:rPr>
      </w:pPr>
      <w:r w:rsidRPr="00247C0A">
        <w:rPr>
          <w:rFonts w:ascii="Times New Roman" w:hAnsi="Times New Roman" w:cs="Times New Roman"/>
          <w:sz w:val="28"/>
          <w:szCs w:val="28"/>
        </w:rPr>
        <w:t xml:space="preserve">The $500 bad-faith claim is probably the only punitive damages claim available to the tenant. </w:t>
      </w:r>
      <w:hyperlink r:id="rId51" w:history="1">
        <w:r w:rsidR="00184659" w:rsidRPr="00247C0A">
          <w:rPr>
            <w:rStyle w:val="Hyperlink"/>
            <w:rFonts w:ascii="Times New Roman" w:hAnsi="Times New Roman" w:cs="Times New Roman"/>
            <w:i/>
            <w:iCs/>
            <w:sz w:val="28"/>
            <w:szCs w:val="28"/>
          </w:rPr>
          <w:t>Barr/Nelson, Inc. v. Tonto's, Inc.,</w:t>
        </w:r>
        <w:r w:rsidR="00184659" w:rsidRPr="00247C0A">
          <w:rPr>
            <w:rStyle w:val="Hyperlink"/>
            <w:rFonts w:ascii="Times New Roman" w:hAnsi="Times New Roman" w:cs="Times New Roman"/>
            <w:sz w:val="28"/>
            <w:szCs w:val="28"/>
          </w:rPr>
          <w:t xml:space="preserve"> 336 N.W.2d 46 (Minn.1983) (Minn. Stat. §549.20 does not apply to a contract claim without independent tort)</w:t>
        </w:r>
        <w:r w:rsidRPr="00247C0A">
          <w:rPr>
            <w:rStyle w:val="Hyperlink"/>
            <w:rFonts w:ascii="Times New Roman" w:hAnsi="Times New Roman" w:cs="Times New Roman"/>
            <w:sz w:val="28"/>
            <w:szCs w:val="28"/>
          </w:rPr>
          <w:t>.</w:t>
        </w:r>
      </w:hyperlink>
    </w:p>
    <w:p w14:paraId="63991EE3" w14:textId="77777777" w:rsidR="006E055D" w:rsidRPr="00247C0A" w:rsidRDefault="004F363A" w:rsidP="004F363A">
      <w:pPr>
        <w:rPr>
          <w:rFonts w:ascii="Times New Roman" w:hAnsi="Times New Roman" w:cs="Times New Roman"/>
          <w:sz w:val="28"/>
          <w:szCs w:val="28"/>
        </w:rPr>
      </w:pPr>
      <w:r w:rsidRPr="00247C0A">
        <w:rPr>
          <w:rFonts w:ascii="Times New Roman" w:hAnsi="Times New Roman" w:cs="Times New Roman"/>
          <w:sz w:val="28"/>
          <w:szCs w:val="28"/>
        </w:rPr>
        <w:t xml:space="preserve">The $500 bad-faith claim is not available to a successor landlord, just the tenant. </w:t>
      </w:r>
      <w:hyperlink r:id="rId52" w:history="1">
        <w:proofErr w:type="spellStart"/>
        <w:r w:rsidR="00184659" w:rsidRPr="00247C0A">
          <w:rPr>
            <w:rStyle w:val="Hyperlink"/>
            <w:rFonts w:ascii="Times New Roman" w:hAnsi="Times New Roman" w:cs="Times New Roman"/>
            <w:i/>
            <w:iCs/>
            <w:sz w:val="28"/>
            <w:szCs w:val="28"/>
          </w:rPr>
          <w:t>Townridge</w:t>
        </w:r>
        <w:proofErr w:type="spellEnd"/>
        <w:r w:rsidR="00184659" w:rsidRPr="00247C0A">
          <w:rPr>
            <w:rStyle w:val="Hyperlink"/>
            <w:rFonts w:ascii="Times New Roman" w:hAnsi="Times New Roman" w:cs="Times New Roman"/>
            <w:i/>
            <w:iCs/>
            <w:sz w:val="28"/>
            <w:szCs w:val="28"/>
          </w:rPr>
          <w:t xml:space="preserve"> Apartments v. Silver Crest Partnership</w:t>
        </w:r>
        <w:r w:rsidR="00184659" w:rsidRPr="00247C0A">
          <w:rPr>
            <w:rStyle w:val="Hyperlink"/>
            <w:rFonts w:ascii="Times New Roman" w:hAnsi="Times New Roman" w:cs="Times New Roman"/>
            <w:sz w:val="28"/>
            <w:szCs w:val="28"/>
          </w:rPr>
          <w:t>, Minn. Ct. App. File No. A03-887 (D</w:t>
        </w:r>
        <w:r w:rsidRPr="00247C0A">
          <w:rPr>
            <w:rStyle w:val="Hyperlink"/>
            <w:rFonts w:ascii="Times New Roman" w:hAnsi="Times New Roman" w:cs="Times New Roman"/>
            <w:sz w:val="28"/>
            <w:szCs w:val="28"/>
          </w:rPr>
          <w:t>ec. 16, 1997) (nonprecedential)</w:t>
        </w:r>
      </w:hyperlink>
      <w:r w:rsidRPr="00247C0A">
        <w:rPr>
          <w:rFonts w:ascii="Times New Roman" w:hAnsi="Times New Roman" w:cs="Times New Roman"/>
          <w:sz w:val="28"/>
          <w:szCs w:val="28"/>
        </w:rPr>
        <w:t>.</w:t>
      </w:r>
    </w:p>
    <w:p w14:paraId="0442C655" w14:textId="77777777" w:rsidR="009B427D" w:rsidRPr="00247C0A" w:rsidRDefault="00C34165" w:rsidP="004A743C">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Subdivisions 5 and 6 – sales and other transfers</w:t>
      </w:r>
    </w:p>
    <w:p w14:paraId="10BF5285" w14:textId="77777777" w:rsidR="00C34165" w:rsidRPr="00247C0A" w:rsidRDefault="000C57B4" w:rsidP="004A743C">
      <w:pPr>
        <w:rPr>
          <w:rFonts w:ascii="Times New Roman" w:hAnsi="Times New Roman" w:cs="Times New Roman"/>
          <w:sz w:val="28"/>
          <w:szCs w:val="28"/>
        </w:rPr>
      </w:pPr>
      <w:r w:rsidRPr="00247C0A">
        <w:rPr>
          <w:rFonts w:ascii="Times New Roman" w:hAnsi="Times New Roman" w:cs="Times New Roman"/>
          <w:sz w:val="28"/>
          <w:szCs w:val="28"/>
        </w:rPr>
        <w:t xml:space="preserve">These subdivisions govern transfers from one landlord to another, either voluntary (by sale) or involuntary (by mortgage foreclosure, contract for deed cancellation, </w:t>
      </w:r>
      <w:proofErr w:type="spellStart"/>
      <w:r w:rsidRPr="00247C0A">
        <w:rPr>
          <w:rFonts w:ascii="Times New Roman" w:hAnsi="Times New Roman" w:cs="Times New Roman"/>
          <w:sz w:val="28"/>
          <w:szCs w:val="28"/>
        </w:rPr>
        <w:t>etc</w:t>
      </w:r>
      <w:proofErr w:type="spellEnd"/>
      <w:r w:rsidRPr="00247C0A">
        <w:rPr>
          <w:rFonts w:ascii="Times New Roman" w:hAnsi="Times New Roman" w:cs="Times New Roman"/>
          <w:sz w:val="28"/>
          <w:szCs w:val="28"/>
        </w:rPr>
        <w:t>). No distinction is made between the two types of transfer.</w:t>
      </w:r>
    </w:p>
    <w:p w14:paraId="16CD6F2B" w14:textId="77777777" w:rsidR="000C57B4" w:rsidRPr="00247C0A" w:rsidRDefault="000C57B4" w:rsidP="004A743C">
      <w:pPr>
        <w:rPr>
          <w:rFonts w:ascii="Times New Roman" w:hAnsi="Times New Roman" w:cs="Times New Roman"/>
          <w:sz w:val="28"/>
          <w:szCs w:val="28"/>
        </w:rPr>
      </w:pPr>
      <w:r w:rsidRPr="00247C0A">
        <w:rPr>
          <w:rFonts w:ascii="Times New Roman" w:hAnsi="Times New Roman" w:cs="Times New Roman"/>
          <w:sz w:val="28"/>
          <w:szCs w:val="28"/>
        </w:rPr>
        <w:t>The predecessor landlord (seller in a sale) is on the hook for the deposit</w:t>
      </w:r>
      <w:r w:rsidR="006F080D" w:rsidRPr="00247C0A">
        <w:rPr>
          <w:rFonts w:ascii="Times New Roman" w:hAnsi="Times New Roman" w:cs="Times New Roman"/>
          <w:sz w:val="28"/>
          <w:szCs w:val="28"/>
        </w:rPr>
        <w:t xml:space="preserve"> + interest </w:t>
      </w:r>
      <w:r w:rsidRPr="00247C0A">
        <w:rPr>
          <w:rFonts w:ascii="Times New Roman" w:hAnsi="Times New Roman" w:cs="Times New Roman"/>
          <w:sz w:val="28"/>
          <w:szCs w:val="28"/>
        </w:rPr>
        <w:t>unless within 60 days of transfer</w:t>
      </w:r>
      <w:r w:rsidR="00840414" w:rsidRPr="00247C0A">
        <w:rPr>
          <w:rFonts w:ascii="Times New Roman" w:hAnsi="Times New Roman" w:cs="Times New Roman"/>
          <w:sz w:val="28"/>
          <w:szCs w:val="28"/>
        </w:rPr>
        <w:t xml:space="preserve"> she</w:t>
      </w:r>
      <w:r w:rsidRPr="00247C0A">
        <w:rPr>
          <w:rFonts w:ascii="Times New Roman" w:hAnsi="Times New Roman" w:cs="Times New Roman"/>
          <w:sz w:val="28"/>
          <w:szCs w:val="28"/>
        </w:rPr>
        <w:t xml:space="preserve"> [</w:t>
      </w:r>
      <w:proofErr w:type="spellStart"/>
      <w:r w:rsidRPr="00247C0A">
        <w:rPr>
          <w:rFonts w:ascii="Times New Roman" w:hAnsi="Times New Roman" w:cs="Times New Roman"/>
          <w:sz w:val="28"/>
          <w:szCs w:val="28"/>
        </w:rPr>
        <w:t>i</w:t>
      </w:r>
      <w:proofErr w:type="spellEnd"/>
      <w:r w:rsidRPr="00247C0A">
        <w:rPr>
          <w:rFonts w:ascii="Times New Roman" w:hAnsi="Times New Roman" w:cs="Times New Roman"/>
          <w:sz w:val="28"/>
          <w:szCs w:val="28"/>
        </w:rPr>
        <w:t>] returns or accounts for the deposit + interest to the tenant; or [ii] accounts for the deposit + interest, sends the money to the successor (buyer in a sale), and notifies</w:t>
      </w:r>
      <w:r w:rsidR="00B824A6" w:rsidRPr="00247C0A">
        <w:rPr>
          <w:rFonts w:ascii="Times New Roman" w:hAnsi="Times New Roman" w:cs="Times New Roman"/>
          <w:sz w:val="28"/>
          <w:szCs w:val="28"/>
        </w:rPr>
        <w:t xml:space="preserve"> the</w:t>
      </w:r>
      <w:r w:rsidRPr="00247C0A">
        <w:rPr>
          <w:rFonts w:ascii="Times New Roman" w:hAnsi="Times New Roman" w:cs="Times New Roman"/>
          <w:sz w:val="28"/>
          <w:szCs w:val="28"/>
        </w:rPr>
        <w:t xml:space="preserve"> tenant, who has 20 days to object </w:t>
      </w:r>
      <w:r w:rsidR="00B824A6" w:rsidRPr="00247C0A">
        <w:rPr>
          <w:rFonts w:ascii="Times New Roman" w:hAnsi="Times New Roman" w:cs="Times New Roman"/>
          <w:sz w:val="28"/>
          <w:szCs w:val="28"/>
        </w:rPr>
        <w:t xml:space="preserve">to the successor that </w:t>
      </w:r>
      <w:r w:rsidRPr="00247C0A">
        <w:rPr>
          <w:rFonts w:ascii="Times New Roman" w:hAnsi="Times New Roman" w:cs="Times New Roman"/>
          <w:sz w:val="28"/>
          <w:szCs w:val="28"/>
        </w:rPr>
        <w:t>the stated amount</w:t>
      </w:r>
      <w:r w:rsidR="00B824A6" w:rsidRPr="00247C0A">
        <w:rPr>
          <w:rFonts w:ascii="Times New Roman" w:hAnsi="Times New Roman" w:cs="Times New Roman"/>
          <w:sz w:val="28"/>
          <w:szCs w:val="28"/>
        </w:rPr>
        <w:t xml:space="preserve"> is incorrect</w:t>
      </w:r>
      <w:r w:rsidRPr="00247C0A">
        <w:rPr>
          <w:rFonts w:ascii="Times New Roman" w:hAnsi="Times New Roman" w:cs="Times New Roman"/>
          <w:sz w:val="28"/>
          <w:szCs w:val="28"/>
        </w:rPr>
        <w:t>. Notice must include</w:t>
      </w:r>
      <w:r w:rsidR="00B824A6" w:rsidRPr="00247C0A">
        <w:rPr>
          <w:rFonts w:ascii="Times New Roman" w:hAnsi="Times New Roman" w:cs="Times New Roman"/>
          <w:sz w:val="28"/>
          <w:szCs w:val="28"/>
        </w:rPr>
        <w:t xml:space="preserve"> a</w:t>
      </w:r>
      <w:r w:rsidRPr="00247C0A">
        <w:rPr>
          <w:rFonts w:ascii="Times New Roman" w:hAnsi="Times New Roman" w:cs="Times New Roman"/>
          <w:sz w:val="28"/>
          <w:szCs w:val="28"/>
        </w:rPr>
        <w:t xml:space="preserve"> stamped envelope addressed to </w:t>
      </w:r>
      <w:r w:rsidR="006F080D" w:rsidRPr="00247C0A">
        <w:rPr>
          <w:rFonts w:ascii="Times New Roman" w:hAnsi="Times New Roman" w:cs="Times New Roman"/>
          <w:sz w:val="28"/>
          <w:szCs w:val="28"/>
        </w:rPr>
        <w:t>the successor.</w:t>
      </w:r>
    </w:p>
    <w:p w14:paraId="2B88AB58" w14:textId="6B546ABB" w:rsidR="00130335" w:rsidRPr="00247C0A" w:rsidRDefault="006F080D" w:rsidP="004A743C">
      <w:pPr>
        <w:rPr>
          <w:rFonts w:ascii="Times New Roman" w:hAnsi="Times New Roman" w:cs="Times New Roman"/>
          <w:sz w:val="28"/>
          <w:szCs w:val="28"/>
          <w:u w:val="single"/>
        </w:rPr>
      </w:pPr>
      <w:r w:rsidRPr="00247C0A">
        <w:rPr>
          <w:rFonts w:ascii="Times New Roman" w:hAnsi="Times New Roman" w:cs="Times New Roman"/>
          <w:sz w:val="28"/>
          <w:szCs w:val="28"/>
        </w:rPr>
        <w:t>The successor (buyer in a sale) is on the hook for the deposit + interest, limited only by the un</w:t>
      </w:r>
      <w:r w:rsidR="00681F9A" w:rsidRPr="00247C0A">
        <w:rPr>
          <w:rFonts w:ascii="Times New Roman" w:hAnsi="Times New Roman" w:cs="Times New Roman"/>
          <w:sz w:val="28"/>
          <w:szCs w:val="28"/>
        </w:rPr>
        <w:t>-</w:t>
      </w:r>
      <w:r w:rsidRPr="00247C0A">
        <w:rPr>
          <w:rFonts w:ascii="Times New Roman" w:hAnsi="Times New Roman" w:cs="Times New Roman"/>
          <w:sz w:val="28"/>
          <w:szCs w:val="28"/>
        </w:rPr>
        <w:t>objected-to transferred amount.</w:t>
      </w:r>
      <w:r w:rsidR="0078472A" w:rsidRPr="00247C0A">
        <w:rPr>
          <w:rFonts w:ascii="Times New Roman" w:hAnsi="Times New Roman" w:cs="Times New Roman"/>
          <w:sz w:val="28"/>
          <w:szCs w:val="28"/>
        </w:rPr>
        <w:t xml:space="preserve"> </w:t>
      </w:r>
      <w:r w:rsidR="00C514F5" w:rsidRPr="00247C0A">
        <w:rPr>
          <w:rFonts w:ascii="Times New Roman" w:hAnsi="Times New Roman" w:cs="Times New Roman"/>
          <w:sz w:val="28"/>
          <w:szCs w:val="28"/>
        </w:rPr>
        <w:t xml:space="preserve">Two cases illustrate the rule being </w:t>
      </w:r>
      <w:r w:rsidR="00C514F5" w:rsidRPr="00247C0A">
        <w:rPr>
          <w:rFonts w:ascii="Times New Roman" w:hAnsi="Times New Roman" w:cs="Times New Roman"/>
          <w:sz w:val="28"/>
          <w:szCs w:val="28"/>
        </w:rPr>
        <w:lastRenderedPageBreak/>
        <w:t xml:space="preserve">applied to voluntary-transfer situations: </w:t>
      </w:r>
      <w:hyperlink r:id="rId53" w:history="1">
        <w:proofErr w:type="spellStart"/>
        <w:r w:rsidR="00C514F5" w:rsidRPr="00247C0A">
          <w:rPr>
            <w:rStyle w:val="Hyperlink"/>
            <w:rFonts w:ascii="Times New Roman" w:hAnsi="Times New Roman" w:cs="Times New Roman"/>
            <w:i/>
            <w:iCs/>
            <w:sz w:val="28"/>
            <w:szCs w:val="28"/>
          </w:rPr>
          <w:t>Schadweiler</w:t>
        </w:r>
        <w:proofErr w:type="spellEnd"/>
        <w:r w:rsidR="00C514F5" w:rsidRPr="00247C0A">
          <w:rPr>
            <w:rStyle w:val="Hyperlink"/>
            <w:rFonts w:ascii="Times New Roman" w:hAnsi="Times New Roman" w:cs="Times New Roman"/>
            <w:i/>
            <w:iCs/>
            <w:sz w:val="28"/>
            <w:szCs w:val="28"/>
          </w:rPr>
          <w:t xml:space="preserve"> v. Kallenbach</w:t>
        </w:r>
        <w:r w:rsidR="00C514F5" w:rsidRPr="00247C0A">
          <w:rPr>
            <w:rStyle w:val="Hyperlink"/>
            <w:rFonts w:ascii="Times New Roman" w:hAnsi="Times New Roman" w:cs="Times New Roman"/>
            <w:sz w:val="28"/>
            <w:szCs w:val="28"/>
          </w:rPr>
          <w:t>, No. AC-88-14279 (Minn. Dist. Ct. 4th Dist. Feb. 17, 1989) (</w:t>
        </w:r>
        <w:r w:rsidR="00AC79AC" w:rsidRPr="00247C0A">
          <w:rPr>
            <w:rStyle w:val="Hyperlink"/>
            <w:rFonts w:ascii="Times New Roman" w:hAnsi="Times New Roman" w:cs="Times New Roman"/>
            <w:sz w:val="28"/>
            <w:szCs w:val="28"/>
          </w:rPr>
          <w:t xml:space="preserve">apparently </w:t>
        </w:r>
        <w:r w:rsidR="00C514F5" w:rsidRPr="00247C0A">
          <w:rPr>
            <w:rStyle w:val="Hyperlink"/>
            <w:rFonts w:ascii="Times New Roman" w:hAnsi="Times New Roman" w:cs="Times New Roman"/>
            <w:sz w:val="28"/>
            <w:szCs w:val="28"/>
          </w:rPr>
          <w:t>a sale);</w:t>
        </w:r>
      </w:hyperlink>
      <w:r w:rsidR="00C514F5" w:rsidRPr="00247C0A">
        <w:rPr>
          <w:rFonts w:ascii="Times New Roman" w:hAnsi="Times New Roman" w:cs="Times New Roman"/>
          <w:sz w:val="28"/>
          <w:szCs w:val="28"/>
        </w:rPr>
        <w:t xml:space="preserve"> </w:t>
      </w:r>
      <w:hyperlink r:id="rId54" w:history="1">
        <w:r w:rsidR="00C514F5" w:rsidRPr="00247C0A">
          <w:rPr>
            <w:rStyle w:val="Hyperlink"/>
            <w:rFonts w:ascii="Times New Roman" w:hAnsi="Times New Roman" w:cs="Times New Roman"/>
            <w:i/>
            <w:iCs/>
            <w:sz w:val="28"/>
            <w:szCs w:val="28"/>
          </w:rPr>
          <w:t>Neadeau v. Meldahl</w:t>
        </w:r>
        <w:r w:rsidR="00C514F5" w:rsidRPr="00247C0A">
          <w:rPr>
            <w:rStyle w:val="Hyperlink"/>
            <w:rFonts w:ascii="Times New Roman" w:hAnsi="Times New Roman" w:cs="Times New Roman"/>
            <w:sz w:val="28"/>
            <w:szCs w:val="28"/>
          </w:rPr>
          <w:t>, Nos. DC- 758638</w:t>
        </w:r>
        <w:r w:rsidR="00962FA0" w:rsidRPr="00247C0A">
          <w:rPr>
            <w:rStyle w:val="Hyperlink"/>
            <w:rFonts w:ascii="Times New Roman" w:hAnsi="Times New Roman" w:cs="Times New Roman"/>
            <w:sz w:val="28"/>
            <w:szCs w:val="28"/>
          </w:rPr>
          <w:t xml:space="preserve"> &amp; MC-41395 </w:t>
        </w:r>
        <w:r w:rsidR="00C514F5" w:rsidRPr="00247C0A">
          <w:rPr>
            <w:rStyle w:val="Hyperlink"/>
            <w:rFonts w:ascii="Times New Roman" w:hAnsi="Times New Roman" w:cs="Times New Roman"/>
            <w:sz w:val="28"/>
            <w:szCs w:val="28"/>
          </w:rPr>
          <w:t>(Minn. Dist. Ct. 4th Dist. Dec. 13, 1979) (three judge appella</w:t>
        </w:r>
        <w:r w:rsidR="00962FA0" w:rsidRPr="00247C0A">
          <w:rPr>
            <w:rStyle w:val="Hyperlink"/>
            <w:rFonts w:ascii="Times New Roman" w:hAnsi="Times New Roman" w:cs="Times New Roman"/>
            <w:sz w:val="28"/>
            <w:szCs w:val="28"/>
          </w:rPr>
          <w:t>te panel</w:t>
        </w:r>
        <w:r w:rsidR="00844DBA" w:rsidRPr="00247C0A">
          <w:rPr>
            <w:rStyle w:val="Hyperlink"/>
            <w:rFonts w:ascii="Times New Roman" w:hAnsi="Times New Roman" w:cs="Times New Roman"/>
            <w:sz w:val="28"/>
            <w:szCs w:val="28"/>
            <w:vertAlign w:val="superscript"/>
          </w:rPr>
          <w:footnoteReference w:id="16"/>
        </w:r>
        <w:r w:rsidR="00962FA0" w:rsidRPr="00247C0A">
          <w:rPr>
            <w:rStyle w:val="Hyperlink"/>
            <w:rFonts w:ascii="Times New Roman" w:hAnsi="Times New Roman" w:cs="Times New Roman"/>
            <w:sz w:val="28"/>
            <w:szCs w:val="28"/>
          </w:rPr>
          <w:t xml:space="preserve">; </w:t>
        </w:r>
        <w:r w:rsidR="00AC79AC" w:rsidRPr="00247C0A">
          <w:rPr>
            <w:rStyle w:val="Hyperlink"/>
            <w:rFonts w:ascii="Times New Roman" w:hAnsi="Times New Roman" w:cs="Times New Roman"/>
            <w:sz w:val="28"/>
            <w:szCs w:val="28"/>
          </w:rPr>
          <w:t>apparently</w:t>
        </w:r>
        <w:r w:rsidR="00C514F5" w:rsidRPr="00247C0A">
          <w:rPr>
            <w:rStyle w:val="Hyperlink"/>
            <w:rFonts w:ascii="Times New Roman" w:hAnsi="Times New Roman" w:cs="Times New Roman"/>
            <w:sz w:val="28"/>
            <w:szCs w:val="28"/>
          </w:rPr>
          <w:t xml:space="preserve"> a series of sales).</w:t>
        </w:r>
      </w:hyperlink>
      <w:r w:rsidR="00C514F5" w:rsidRPr="00247C0A">
        <w:rPr>
          <w:rFonts w:ascii="Times New Roman" w:hAnsi="Times New Roman" w:cs="Times New Roman"/>
          <w:sz w:val="28"/>
          <w:szCs w:val="28"/>
        </w:rPr>
        <w:t xml:space="preserve"> Two</w:t>
      </w:r>
      <w:r w:rsidR="00840414" w:rsidRPr="00247C0A">
        <w:rPr>
          <w:rFonts w:ascii="Times New Roman" w:hAnsi="Times New Roman" w:cs="Times New Roman"/>
          <w:sz w:val="28"/>
          <w:szCs w:val="28"/>
        </w:rPr>
        <w:t xml:space="preserve"> </w:t>
      </w:r>
      <w:r w:rsidR="00EF13C4">
        <w:rPr>
          <w:rFonts w:ascii="Times New Roman" w:hAnsi="Times New Roman" w:cs="Times New Roman"/>
          <w:sz w:val="28"/>
          <w:szCs w:val="28"/>
        </w:rPr>
        <w:t xml:space="preserve">other </w:t>
      </w:r>
      <w:r w:rsidR="00840414" w:rsidRPr="00247C0A">
        <w:rPr>
          <w:rFonts w:ascii="Times New Roman" w:hAnsi="Times New Roman" w:cs="Times New Roman"/>
          <w:sz w:val="28"/>
          <w:szCs w:val="28"/>
        </w:rPr>
        <w:t>cases illustrate</w:t>
      </w:r>
      <w:r w:rsidR="0078472A" w:rsidRPr="00247C0A">
        <w:rPr>
          <w:rFonts w:ascii="Times New Roman" w:hAnsi="Times New Roman" w:cs="Times New Roman"/>
          <w:sz w:val="28"/>
          <w:szCs w:val="28"/>
        </w:rPr>
        <w:t xml:space="preserve"> that even if the transfer is involuntary, the successor remains on the hook</w:t>
      </w:r>
      <w:r w:rsidR="00C514F5" w:rsidRPr="00247C0A">
        <w:rPr>
          <w:rFonts w:ascii="Times New Roman" w:hAnsi="Times New Roman" w:cs="Times New Roman"/>
          <w:sz w:val="28"/>
          <w:szCs w:val="28"/>
        </w:rPr>
        <w:t>:</w:t>
      </w:r>
      <w:r w:rsidR="00CA64E1" w:rsidRPr="00247C0A">
        <w:rPr>
          <w:rFonts w:ascii="Times New Roman" w:hAnsi="Times New Roman" w:cs="Times New Roman"/>
          <w:sz w:val="28"/>
          <w:szCs w:val="28"/>
        </w:rPr>
        <w:t xml:space="preserve"> </w:t>
      </w:r>
      <w:hyperlink r:id="rId55" w:history="1">
        <w:r w:rsidR="00CA64E1" w:rsidRPr="00247C0A">
          <w:rPr>
            <w:rStyle w:val="Hyperlink"/>
            <w:rFonts w:ascii="Times New Roman" w:hAnsi="Times New Roman" w:cs="Times New Roman"/>
            <w:i/>
            <w:iCs/>
            <w:sz w:val="28"/>
            <w:szCs w:val="28"/>
          </w:rPr>
          <w:t>Reed v. Rooms Plus LLC</w:t>
        </w:r>
        <w:r w:rsidR="00CA64E1" w:rsidRPr="00247C0A">
          <w:rPr>
            <w:rStyle w:val="Hyperlink"/>
            <w:rFonts w:ascii="Times New Roman" w:hAnsi="Times New Roman" w:cs="Times New Roman"/>
            <w:sz w:val="28"/>
            <w:szCs w:val="28"/>
          </w:rPr>
          <w:t>, Minn. Ct. App. File No. A05-141 (Oct. 4, 2005) (nonprecedential; change of management companies)</w:t>
        </w:r>
      </w:hyperlink>
      <w:r w:rsidR="00CA64E1" w:rsidRPr="00247C0A">
        <w:rPr>
          <w:rFonts w:ascii="Times New Roman" w:hAnsi="Times New Roman" w:cs="Times New Roman"/>
          <w:sz w:val="28"/>
          <w:szCs w:val="28"/>
        </w:rPr>
        <w:t xml:space="preserve">; </w:t>
      </w:r>
      <w:hyperlink r:id="rId56" w:history="1">
        <w:proofErr w:type="spellStart"/>
        <w:r w:rsidR="00611619" w:rsidRPr="00247C0A">
          <w:rPr>
            <w:rStyle w:val="Hyperlink"/>
            <w:rFonts w:ascii="Times New Roman" w:hAnsi="Times New Roman" w:cs="Times New Roman"/>
            <w:i/>
            <w:iCs/>
            <w:sz w:val="28"/>
            <w:szCs w:val="28"/>
          </w:rPr>
          <w:t>Praschad</w:t>
        </w:r>
        <w:proofErr w:type="spellEnd"/>
        <w:r w:rsidR="00611619" w:rsidRPr="00247C0A">
          <w:rPr>
            <w:rStyle w:val="Hyperlink"/>
            <w:rFonts w:ascii="Times New Roman" w:hAnsi="Times New Roman" w:cs="Times New Roman"/>
            <w:i/>
            <w:iCs/>
            <w:sz w:val="28"/>
            <w:szCs w:val="28"/>
          </w:rPr>
          <w:t xml:space="preserve"> v. Maciosek</w:t>
        </w:r>
        <w:r w:rsidR="00611619" w:rsidRPr="00247C0A">
          <w:rPr>
            <w:rStyle w:val="Hyperlink"/>
            <w:rFonts w:ascii="Times New Roman" w:hAnsi="Times New Roman" w:cs="Times New Roman"/>
            <w:sz w:val="28"/>
            <w:szCs w:val="28"/>
          </w:rPr>
          <w:t>, No. AC-89-13447 (Minn. Dist. Ct. 4th Dist. Nov. 8, 1989) (contract for deed cancellation)</w:t>
        </w:r>
        <w:r w:rsidR="00844DBA" w:rsidRPr="00247C0A">
          <w:rPr>
            <w:rStyle w:val="Hyperlink"/>
            <w:rFonts w:ascii="Times New Roman" w:hAnsi="Times New Roman" w:cs="Times New Roman"/>
            <w:sz w:val="28"/>
            <w:szCs w:val="28"/>
          </w:rPr>
          <w:t>.</w:t>
        </w:r>
      </w:hyperlink>
    </w:p>
    <w:p w14:paraId="352207B1" w14:textId="77777777" w:rsidR="00153986" w:rsidRPr="00247C0A" w:rsidRDefault="008605F7" w:rsidP="004A743C">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8 – last month’s rent</w:t>
      </w:r>
    </w:p>
    <w:p w14:paraId="758DD808" w14:textId="77777777" w:rsidR="00A7170D" w:rsidRPr="00247C0A" w:rsidRDefault="008605F7" w:rsidP="00D7533D">
      <w:pPr>
        <w:rPr>
          <w:rFonts w:ascii="Times New Roman" w:hAnsi="Times New Roman" w:cs="Times New Roman"/>
          <w:sz w:val="28"/>
          <w:szCs w:val="28"/>
        </w:rPr>
      </w:pPr>
      <w:r w:rsidRPr="00247C0A">
        <w:rPr>
          <w:rFonts w:ascii="Times New Roman" w:hAnsi="Times New Roman" w:cs="Times New Roman"/>
          <w:sz w:val="28"/>
          <w:szCs w:val="28"/>
        </w:rPr>
        <w:t>The</w:t>
      </w:r>
      <w:r w:rsidR="00C82727" w:rsidRPr="00247C0A">
        <w:rPr>
          <w:rFonts w:ascii="Times New Roman" w:hAnsi="Times New Roman" w:cs="Times New Roman"/>
          <w:sz w:val="28"/>
          <w:szCs w:val="28"/>
        </w:rPr>
        <w:t xml:space="preserve"> t</w:t>
      </w:r>
      <w:r w:rsidR="00A7170D" w:rsidRPr="00247C0A">
        <w:rPr>
          <w:rFonts w:ascii="Times New Roman" w:hAnsi="Times New Roman" w:cs="Times New Roman"/>
          <w:sz w:val="28"/>
          <w:szCs w:val="28"/>
        </w:rPr>
        <w:t>enant cannot unilaterally “pay” his last month of rent with the deposit</w:t>
      </w:r>
      <w:r w:rsidR="00D7533D" w:rsidRPr="00247C0A">
        <w:rPr>
          <w:rFonts w:ascii="Times New Roman" w:hAnsi="Times New Roman" w:cs="Times New Roman"/>
          <w:sz w:val="28"/>
          <w:szCs w:val="28"/>
        </w:rPr>
        <w:t xml:space="preserve">, unless the </w:t>
      </w:r>
      <w:r w:rsidR="00A7170D" w:rsidRPr="00247C0A">
        <w:rPr>
          <w:rFonts w:ascii="Times New Roman" w:hAnsi="Times New Roman" w:cs="Times New Roman"/>
          <w:sz w:val="28"/>
          <w:szCs w:val="28"/>
        </w:rPr>
        <w:t xml:space="preserve">landlord is in </w:t>
      </w:r>
      <w:r w:rsidR="00B824A6" w:rsidRPr="00247C0A">
        <w:rPr>
          <w:rFonts w:ascii="Times New Roman" w:hAnsi="Times New Roman" w:cs="Times New Roman"/>
          <w:sz w:val="28"/>
          <w:szCs w:val="28"/>
        </w:rPr>
        <w:t xml:space="preserve">the </w:t>
      </w:r>
      <w:r w:rsidR="00A7170D" w:rsidRPr="00247C0A">
        <w:rPr>
          <w:rFonts w:ascii="Times New Roman" w:hAnsi="Times New Roman" w:cs="Times New Roman"/>
          <w:sz w:val="28"/>
          <w:szCs w:val="28"/>
        </w:rPr>
        <w:t>last month of cancellation or foreclosure</w:t>
      </w:r>
      <w:r w:rsidR="00D7533D" w:rsidRPr="00247C0A">
        <w:rPr>
          <w:rFonts w:ascii="Times New Roman" w:hAnsi="Times New Roman" w:cs="Times New Roman"/>
          <w:sz w:val="28"/>
          <w:szCs w:val="28"/>
        </w:rPr>
        <w:t>.</w:t>
      </w:r>
    </w:p>
    <w:p w14:paraId="5DA596BA" w14:textId="77777777" w:rsidR="008605F7" w:rsidRPr="00247C0A" w:rsidRDefault="00D7533D" w:rsidP="00C82727">
      <w:pPr>
        <w:rPr>
          <w:rFonts w:ascii="Times New Roman" w:hAnsi="Times New Roman" w:cs="Times New Roman"/>
          <w:sz w:val="28"/>
          <w:szCs w:val="28"/>
        </w:rPr>
      </w:pPr>
      <w:r w:rsidRPr="00247C0A">
        <w:rPr>
          <w:rFonts w:ascii="Times New Roman" w:hAnsi="Times New Roman" w:cs="Times New Roman"/>
          <w:sz w:val="28"/>
          <w:szCs w:val="28"/>
        </w:rPr>
        <w:t>The landlord has two recourses</w:t>
      </w:r>
      <w:r w:rsidR="00B824A6" w:rsidRPr="00247C0A">
        <w:rPr>
          <w:rFonts w:ascii="Times New Roman" w:hAnsi="Times New Roman" w:cs="Times New Roman"/>
          <w:sz w:val="28"/>
          <w:szCs w:val="28"/>
        </w:rPr>
        <w:t xml:space="preserve"> in addition to just suing for the unpaid rent</w:t>
      </w:r>
      <w:r w:rsidRPr="00247C0A">
        <w:rPr>
          <w:rFonts w:ascii="Times New Roman" w:hAnsi="Times New Roman" w:cs="Times New Roman"/>
          <w:sz w:val="28"/>
          <w:szCs w:val="28"/>
        </w:rPr>
        <w:t>. [</w:t>
      </w:r>
      <w:proofErr w:type="spellStart"/>
      <w:r w:rsidRPr="00247C0A">
        <w:rPr>
          <w:rFonts w:ascii="Times New Roman" w:hAnsi="Times New Roman" w:cs="Times New Roman"/>
          <w:sz w:val="28"/>
          <w:szCs w:val="28"/>
        </w:rPr>
        <w:t>i</w:t>
      </w:r>
      <w:proofErr w:type="spellEnd"/>
      <w:r w:rsidRPr="00247C0A">
        <w:rPr>
          <w:rFonts w:ascii="Times New Roman" w:hAnsi="Times New Roman" w:cs="Times New Roman"/>
          <w:sz w:val="28"/>
          <w:szCs w:val="28"/>
        </w:rPr>
        <w:t>] He can file an</w:t>
      </w:r>
      <w:r w:rsidR="00A7170D" w:rsidRPr="00247C0A">
        <w:rPr>
          <w:rFonts w:ascii="Times New Roman" w:hAnsi="Times New Roman" w:cs="Times New Roman"/>
          <w:sz w:val="28"/>
          <w:szCs w:val="28"/>
        </w:rPr>
        <w:t xml:space="preserve"> eviction action for </w:t>
      </w:r>
      <w:r w:rsidR="00055E52" w:rsidRPr="00247C0A">
        <w:rPr>
          <w:rFonts w:ascii="Times New Roman" w:hAnsi="Times New Roman" w:cs="Times New Roman"/>
          <w:sz w:val="28"/>
          <w:szCs w:val="28"/>
        </w:rPr>
        <w:t>nonpayment</w:t>
      </w:r>
      <w:r w:rsidR="00A7170D" w:rsidRPr="00247C0A">
        <w:rPr>
          <w:rFonts w:ascii="Times New Roman" w:hAnsi="Times New Roman" w:cs="Times New Roman"/>
          <w:sz w:val="28"/>
          <w:szCs w:val="28"/>
        </w:rPr>
        <w:t>.</w:t>
      </w:r>
      <w:r w:rsidRPr="00247C0A">
        <w:rPr>
          <w:rFonts w:ascii="Times New Roman" w:hAnsi="Times New Roman" w:cs="Times New Roman"/>
          <w:sz w:val="28"/>
          <w:szCs w:val="28"/>
        </w:rPr>
        <w:t xml:space="preserve"> [ii] He can demand the rent and give the tenant notice of subdivision 8. If the</w:t>
      </w:r>
      <w:r w:rsidR="00B824A6" w:rsidRPr="00247C0A">
        <w:rPr>
          <w:rFonts w:ascii="Times New Roman" w:hAnsi="Times New Roman" w:cs="Times New Roman"/>
          <w:sz w:val="28"/>
          <w:szCs w:val="28"/>
        </w:rPr>
        <w:t xml:space="preserve"> tenant </w:t>
      </w:r>
      <w:r w:rsidR="00C82727" w:rsidRPr="00247C0A">
        <w:rPr>
          <w:rFonts w:ascii="Times New Roman" w:hAnsi="Times New Roman" w:cs="Times New Roman"/>
          <w:sz w:val="28"/>
          <w:szCs w:val="28"/>
        </w:rPr>
        <w:t xml:space="preserve">still doesn’t pay, effectively this doubles any physical damage claim the landlord has and the tenant loses the accrued interest on the deposit. </w:t>
      </w:r>
      <w:r w:rsidR="00450EF7" w:rsidRPr="00247C0A">
        <w:rPr>
          <w:rFonts w:ascii="Times New Roman" w:hAnsi="Times New Roman" w:cs="Times New Roman"/>
          <w:sz w:val="28"/>
          <w:szCs w:val="28"/>
        </w:rPr>
        <w:t xml:space="preserve">The </w:t>
      </w:r>
      <w:r w:rsidR="00C82727" w:rsidRPr="00247C0A">
        <w:rPr>
          <w:rFonts w:ascii="Times New Roman" w:hAnsi="Times New Roman" w:cs="Times New Roman"/>
          <w:sz w:val="28"/>
          <w:szCs w:val="28"/>
        </w:rPr>
        <w:t>legislative history</w:t>
      </w:r>
      <w:r w:rsidR="00450EF7" w:rsidRPr="00247C0A">
        <w:rPr>
          <w:rFonts w:ascii="Times New Roman" w:hAnsi="Times New Roman" w:cs="Times New Roman"/>
          <w:sz w:val="28"/>
          <w:szCs w:val="28"/>
        </w:rPr>
        <w:t xml:space="preserve"> of the subdivision 8</w:t>
      </w:r>
      <w:r w:rsidR="000232D0" w:rsidRPr="00247C0A">
        <w:rPr>
          <w:rStyle w:val="FootnoteReference"/>
          <w:rFonts w:ascii="Times New Roman" w:hAnsi="Times New Roman" w:cs="Times New Roman"/>
          <w:sz w:val="28"/>
          <w:szCs w:val="28"/>
        </w:rPr>
        <w:footnoteReference w:id="17"/>
      </w:r>
      <w:r w:rsidR="00C82727" w:rsidRPr="00247C0A">
        <w:rPr>
          <w:rFonts w:ascii="Times New Roman" w:hAnsi="Times New Roman" w:cs="Times New Roman"/>
          <w:sz w:val="28"/>
          <w:szCs w:val="28"/>
        </w:rPr>
        <w:t xml:space="preserve"> shows </w:t>
      </w:r>
      <w:r w:rsidR="004874C8" w:rsidRPr="00247C0A">
        <w:rPr>
          <w:rFonts w:ascii="Times New Roman" w:hAnsi="Times New Roman" w:cs="Times New Roman"/>
          <w:sz w:val="28"/>
          <w:szCs w:val="28"/>
        </w:rPr>
        <w:t xml:space="preserve">the </w:t>
      </w:r>
      <w:r w:rsidR="00C82727" w:rsidRPr="00247C0A">
        <w:rPr>
          <w:rFonts w:ascii="Times New Roman" w:hAnsi="Times New Roman" w:cs="Times New Roman"/>
          <w:sz w:val="28"/>
          <w:szCs w:val="28"/>
        </w:rPr>
        <w:t xml:space="preserve">legislature really did mean </w:t>
      </w:r>
      <w:r w:rsidR="00C82727" w:rsidRPr="00247C0A">
        <w:rPr>
          <w:rFonts w:ascii="Times New Roman" w:hAnsi="Times New Roman" w:cs="Times New Roman"/>
          <w:sz w:val="28"/>
          <w:szCs w:val="28"/>
          <w:u w:val="single"/>
        </w:rPr>
        <w:t>not</w:t>
      </w:r>
      <w:r w:rsidR="00C82727" w:rsidRPr="00247C0A">
        <w:rPr>
          <w:rFonts w:ascii="Times New Roman" w:hAnsi="Times New Roman" w:cs="Times New Roman"/>
          <w:sz w:val="28"/>
          <w:szCs w:val="28"/>
        </w:rPr>
        <w:t xml:space="preserve"> to double </w:t>
      </w:r>
      <w:r w:rsidR="00292EC0" w:rsidRPr="00247C0A">
        <w:rPr>
          <w:rFonts w:ascii="Times New Roman" w:hAnsi="Times New Roman" w:cs="Times New Roman"/>
          <w:sz w:val="28"/>
          <w:szCs w:val="28"/>
        </w:rPr>
        <w:t xml:space="preserve">the tenant’s </w:t>
      </w:r>
      <w:r w:rsidR="00C82727" w:rsidRPr="00247C0A">
        <w:rPr>
          <w:rFonts w:ascii="Times New Roman" w:hAnsi="Times New Roman" w:cs="Times New Roman"/>
          <w:sz w:val="28"/>
          <w:szCs w:val="28"/>
        </w:rPr>
        <w:t>rent debt</w:t>
      </w:r>
      <w:r w:rsidR="00450EF7" w:rsidRPr="00247C0A">
        <w:rPr>
          <w:rFonts w:ascii="Times New Roman" w:hAnsi="Times New Roman" w:cs="Times New Roman"/>
          <w:sz w:val="28"/>
          <w:szCs w:val="28"/>
        </w:rPr>
        <w:t>.</w:t>
      </w:r>
    </w:p>
    <w:p w14:paraId="34944619" w14:textId="77777777" w:rsidR="00D253CB" w:rsidRPr="00247C0A" w:rsidRDefault="00673B3D" w:rsidP="00C82727">
      <w:pPr>
        <w:rPr>
          <w:rFonts w:ascii="Times New Roman" w:hAnsi="Times New Roman" w:cs="Times New Roman"/>
          <w:sz w:val="28"/>
          <w:szCs w:val="28"/>
          <w:u w:val="single"/>
        </w:rPr>
      </w:pPr>
      <w:r w:rsidRPr="00247C0A">
        <w:rPr>
          <w:rFonts w:ascii="Times New Roman" w:hAnsi="Times New Roman" w:cs="Times New Roman"/>
          <w:sz w:val="28"/>
          <w:szCs w:val="28"/>
          <w:u w:val="single"/>
        </w:rPr>
        <w:t>Subdivision 9 – where to sue</w:t>
      </w:r>
    </w:p>
    <w:p w14:paraId="3751EF78" w14:textId="77777777" w:rsidR="00673B3D" w:rsidRPr="00247C0A" w:rsidRDefault="00673B3D" w:rsidP="00C82727">
      <w:pPr>
        <w:rPr>
          <w:rFonts w:ascii="Times New Roman" w:hAnsi="Times New Roman" w:cs="Times New Roman"/>
          <w:sz w:val="28"/>
          <w:szCs w:val="28"/>
        </w:rPr>
      </w:pPr>
      <w:r w:rsidRPr="00247C0A">
        <w:rPr>
          <w:rFonts w:ascii="Times New Roman" w:hAnsi="Times New Roman" w:cs="Times New Roman"/>
          <w:sz w:val="28"/>
          <w:szCs w:val="28"/>
        </w:rPr>
        <w:t xml:space="preserve">The tenant can sue for his deposit, interest, and available penalties in either district or conciliation court. If he wishes to sue in conciliation court, he can sue </w:t>
      </w:r>
      <w:r w:rsidR="00207A6A" w:rsidRPr="00247C0A">
        <w:rPr>
          <w:rFonts w:ascii="Times New Roman" w:hAnsi="Times New Roman" w:cs="Times New Roman"/>
          <w:sz w:val="28"/>
          <w:szCs w:val="28"/>
        </w:rPr>
        <w:t>either in the county where the rental property is located or in the county of the landlord's residence.</w:t>
      </w:r>
    </w:p>
    <w:p w14:paraId="5D5CA5E2" w14:textId="77777777" w:rsidR="00207A6A" w:rsidRPr="00247C0A" w:rsidRDefault="00000000" w:rsidP="00207A6A">
      <w:pPr>
        <w:rPr>
          <w:rFonts w:ascii="Times New Roman" w:hAnsi="Times New Roman" w:cs="Times New Roman"/>
          <w:sz w:val="28"/>
          <w:szCs w:val="28"/>
        </w:rPr>
      </w:pPr>
      <w:hyperlink r:id="rId57" w:history="1">
        <w:r w:rsidR="00207A6A" w:rsidRPr="00247C0A">
          <w:rPr>
            <w:rStyle w:val="Hyperlink"/>
            <w:rFonts w:ascii="Times New Roman" w:hAnsi="Times New Roman" w:cs="Times New Roman"/>
            <w:sz w:val="28"/>
            <w:szCs w:val="28"/>
          </w:rPr>
          <w:t>Minn. Stat. § 491A.01, subd. 9</w:t>
        </w:r>
      </w:hyperlink>
      <w:r w:rsidR="00207A6A" w:rsidRPr="00247C0A">
        <w:rPr>
          <w:rFonts w:ascii="Times New Roman" w:hAnsi="Times New Roman" w:cs="Times New Roman"/>
          <w:sz w:val="28"/>
          <w:szCs w:val="28"/>
        </w:rPr>
        <w:t xml:space="preserve"> provides for the same rights. It also allows the landlord to sue the tenant in a case arising out of the landlord-tenant relationship or </w:t>
      </w:r>
      <w:r w:rsidR="00207A6A" w:rsidRPr="00247C0A">
        <w:rPr>
          <w:rFonts w:ascii="Times New Roman" w:hAnsi="Times New Roman" w:cs="Times New Roman"/>
          <w:sz w:val="28"/>
          <w:szCs w:val="28"/>
        </w:rPr>
        <w:lastRenderedPageBreak/>
        <w:t>chapter 504B either in the county where the rental property is located or in the county of the tenant’s residence</w:t>
      </w:r>
      <w:r w:rsidR="00C223B4" w:rsidRPr="00247C0A">
        <w:rPr>
          <w:rFonts w:ascii="Times New Roman" w:hAnsi="Times New Roman" w:cs="Times New Roman"/>
          <w:sz w:val="28"/>
          <w:szCs w:val="28"/>
        </w:rPr>
        <w:t xml:space="preserve"> (and vice-versa)</w:t>
      </w:r>
      <w:r w:rsidR="00207A6A" w:rsidRPr="00247C0A">
        <w:rPr>
          <w:rFonts w:ascii="Times New Roman" w:hAnsi="Times New Roman" w:cs="Times New Roman"/>
          <w:sz w:val="28"/>
          <w:szCs w:val="28"/>
        </w:rPr>
        <w:t>.</w:t>
      </w:r>
    </w:p>
    <w:p w14:paraId="4654C065" w14:textId="77777777" w:rsidR="00F23F81" w:rsidRPr="00247C0A" w:rsidRDefault="00F23F81" w:rsidP="00207A6A">
      <w:pPr>
        <w:rPr>
          <w:rFonts w:ascii="Times New Roman" w:hAnsi="Times New Roman" w:cs="Times New Roman"/>
          <w:sz w:val="28"/>
          <w:szCs w:val="28"/>
          <w:u w:val="single"/>
        </w:rPr>
      </w:pPr>
      <w:r w:rsidRPr="00247C0A">
        <w:rPr>
          <w:rFonts w:ascii="Times New Roman" w:hAnsi="Times New Roman" w:cs="Times New Roman"/>
          <w:sz w:val="28"/>
          <w:szCs w:val="28"/>
          <w:u w:val="single"/>
        </w:rPr>
        <w:t>Is there a cap on the amount of the deposit?</w:t>
      </w:r>
    </w:p>
    <w:p w14:paraId="3C65AEBF" w14:textId="77777777" w:rsidR="00F23F81" w:rsidRPr="00247C0A" w:rsidRDefault="00F23F81" w:rsidP="00F23F81">
      <w:pPr>
        <w:rPr>
          <w:rFonts w:ascii="Times New Roman" w:hAnsi="Times New Roman" w:cs="Times New Roman"/>
          <w:sz w:val="28"/>
          <w:szCs w:val="28"/>
        </w:rPr>
      </w:pPr>
      <w:r w:rsidRPr="00247C0A">
        <w:rPr>
          <w:rFonts w:ascii="Times New Roman" w:hAnsi="Times New Roman" w:cs="Times New Roman"/>
          <w:sz w:val="28"/>
          <w:szCs w:val="28"/>
        </w:rPr>
        <w:t xml:space="preserve">Minn. Stat. § 504B.178 does not cap the deposit. </w:t>
      </w:r>
    </w:p>
    <w:p w14:paraId="23ED96E0" w14:textId="77777777" w:rsidR="00FD7302" w:rsidRPr="00247C0A" w:rsidRDefault="00FD7302" w:rsidP="00FD7302">
      <w:pPr>
        <w:rPr>
          <w:rFonts w:ascii="Times New Roman" w:hAnsi="Times New Roman" w:cs="Times New Roman"/>
          <w:sz w:val="28"/>
          <w:szCs w:val="28"/>
        </w:rPr>
      </w:pPr>
      <w:r w:rsidRPr="00247C0A">
        <w:rPr>
          <w:rFonts w:ascii="Times New Roman" w:hAnsi="Times New Roman" w:cs="Times New Roman"/>
          <w:sz w:val="28"/>
          <w:szCs w:val="28"/>
        </w:rPr>
        <w:t>Deposits on r</w:t>
      </w:r>
      <w:r w:rsidR="00F23F81" w:rsidRPr="00247C0A">
        <w:rPr>
          <w:rFonts w:ascii="Times New Roman" w:hAnsi="Times New Roman" w:cs="Times New Roman"/>
          <w:sz w:val="28"/>
          <w:szCs w:val="28"/>
        </w:rPr>
        <w:t>entals of lots in a m</w:t>
      </w:r>
      <w:r w:rsidR="001014ED" w:rsidRPr="00247C0A">
        <w:rPr>
          <w:rFonts w:ascii="Times New Roman" w:hAnsi="Times New Roman" w:cs="Times New Roman"/>
          <w:sz w:val="28"/>
          <w:szCs w:val="28"/>
        </w:rPr>
        <w:t>anufactured-home</w:t>
      </w:r>
      <w:r w:rsidR="00F23F81" w:rsidRPr="00247C0A">
        <w:rPr>
          <w:rFonts w:ascii="Times New Roman" w:hAnsi="Times New Roman" w:cs="Times New Roman"/>
          <w:sz w:val="28"/>
          <w:szCs w:val="28"/>
        </w:rPr>
        <w:t xml:space="preserve"> park are subject to a 2-months-of-rent cap</w:t>
      </w:r>
      <w:r w:rsidR="001014ED" w:rsidRPr="00247C0A">
        <w:rPr>
          <w:rFonts w:ascii="Times New Roman" w:hAnsi="Times New Roman" w:cs="Times New Roman"/>
          <w:sz w:val="28"/>
          <w:szCs w:val="28"/>
        </w:rPr>
        <w:t xml:space="preserve">. </w:t>
      </w:r>
      <w:hyperlink r:id="rId58" w:history="1">
        <w:r w:rsidRPr="00247C0A">
          <w:rPr>
            <w:rStyle w:val="Hyperlink"/>
            <w:rFonts w:ascii="Times New Roman" w:hAnsi="Times New Roman" w:cs="Times New Roman"/>
            <w:sz w:val="28"/>
            <w:szCs w:val="28"/>
          </w:rPr>
          <w:t>Minn. Stat. §327C.03, subd. 4</w:t>
        </w:r>
      </w:hyperlink>
      <w:r w:rsidRPr="00247C0A">
        <w:rPr>
          <w:rFonts w:ascii="Times New Roman" w:hAnsi="Times New Roman" w:cs="Times New Roman"/>
          <w:sz w:val="28"/>
          <w:szCs w:val="28"/>
        </w:rPr>
        <w:t xml:space="preserve"> </w:t>
      </w:r>
    </w:p>
    <w:p w14:paraId="6CC1DFC5" w14:textId="77777777" w:rsidR="00FD7302" w:rsidRPr="00247C0A" w:rsidRDefault="00FD7302" w:rsidP="00FD7302">
      <w:pPr>
        <w:rPr>
          <w:rFonts w:ascii="Times New Roman" w:hAnsi="Times New Roman" w:cs="Times New Roman"/>
          <w:sz w:val="28"/>
          <w:szCs w:val="28"/>
        </w:rPr>
      </w:pPr>
      <w:r w:rsidRPr="00247C0A">
        <w:rPr>
          <w:rFonts w:ascii="Times New Roman" w:hAnsi="Times New Roman" w:cs="Times New Roman"/>
          <w:sz w:val="28"/>
          <w:szCs w:val="28"/>
        </w:rPr>
        <w:t xml:space="preserve">At least two city ordinances limit the deposit to one month of rent but with some exceptions. </w:t>
      </w:r>
      <w:hyperlink r:id="rId59" w:history="1">
        <w:r w:rsidRPr="00247C0A">
          <w:rPr>
            <w:rStyle w:val="Hyperlink"/>
            <w:rFonts w:ascii="Times New Roman" w:hAnsi="Times New Roman" w:cs="Times New Roman"/>
            <w:sz w:val="28"/>
            <w:szCs w:val="28"/>
          </w:rPr>
          <w:t>Minneapolis Ordinance § 244.2040</w:t>
        </w:r>
      </w:hyperlink>
      <w:r w:rsidRPr="00247C0A">
        <w:rPr>
          <w:rFonts w:ascii="Times New Roman" w:hAnsi="Times New Roman" w:cs="Times New Roman"/>
          <w:sz w:val="28"/>
          <w:szCs w:val="28"/>
        </w:rPr>
        <w:t xml:space="preserve"> and </w:t>
      </w:r>
      <w:hyperlink r:id="rId60" w:history="1">
        <w:r w:rsidR="00131C7B" w:rsidRPr="00247C0A">
          <w:rPr>
            <w:rStyle w:val="Hyperlink"/>
            <w:rFonts w:ascii="Times New Roman" w:hAnsi="Times New Roman" w:cs="Times New Roman"/>
            <w:sz w:val="28"/>
            <w:szCs w:val="28"/>
          </w:rPr>
          <w:t>St. Paul Ordinance § 193.03</w:t>
        </w:r>
        <w:r w:rsidRPr="00247C0A">
          <w:rPr>
            <w:rStyle w:val="Hyperlink"/>
            <w:rFonts w:ascii="Times New Roman" w:hAnsi="Times New Roman" w:cs="Times New Roman"/>
            <w:sz w:val="28"/>
            <w:szCs w:val="28"/>
          </w:rPr>
          <w:t xml:space="preserve"> (enacted as Ordinance 20-14)</w:t>
        </w:r>
      </w:hyperlink>
    </w:p>
    <w:p w14:paraId="2FA325D6" w14:textId="3B559042" w:rsidR="00130335" w:rsidRPr="00247C0A" w:rsidRDefault="00FD7302">
      <w:pPr>
        <w:rPr>
          <w:rFonts w:ascii="Times New Roman" w:hAnsi="Times New Roman" w:cs="Times New Roman"/>
          <w:sz w:val="28"/>
          <w:szCs w:val="28"/>
        </w:rPr>
      </w:pPr>
      <w:r w:rsidRPr="00247C0A">
        <w:rPr>
          <w:rFonts w:ascii="Times New Roman" w:hAnsi="Times New Roman" w:cs="Times New Roman"/>
          <w:sz w:val="28"/>
          <w:szCs w:val="28"/>
        </w:rPr>
        <w:t>Many f</w:t>
      </w:r>
      <w:r w:rsidR="001014ED" w:rsidRPr="00247C0A">
        <w:rPr>
          <w:rFonts w:ascii="Times New Roman" w:hAnsi="Times New Roman" w:cs="Times New Roman"/>
          <w:sz w:val="28"/>
          <w:szCs w:val="28"/>
        </w:rPr>
        <w:t>ederally subsidized housing programs</w:t>
      </w:r>
      <w:r w:rsidRPr="00247C0A">
        <w:rPr>
          <w:rFonts w:ascii="Times New Roman" w:hAnsi="Times New Roman" w:cs="Times New Roman"/>
          <w:sz w:val="28"/>
          <w:szCs w:val="28"/>
        </w:rPr>
        <w:t xml:space="preserve"> limit the deposit</w:t>
      </w:r>
      <w:r w:rsidR="001014ED" w:rsidRPr="00247C0A">
        <w:rPr>
          <w:rFonts w:ascii="Times New Roman" w:hAnsi="Times New Roman" w:cs="Times New Roman"/>
          <w:sz w:val="28"/>
          <w:szCs w:val="28"/>
        </w:rPr>
        <w:t xml:space="preserve">. </w:t>
      </w:r>
      <w:r w:rsidRPr="00247C0A">
        <w:rPr>
          <w:rFonts w:ascii="Times New Roman" w:hAnsi="Times New Roman" w:cs="Times New Roman"/>
          <w:sz w:val="28"/>
          <w:szCs w:val="28"/>
        </w:rPr>
        <w:t>E.g. see 24 C</w:t>
      </w:r>
      <w:r w:rsidR="00437AAE" w:rsidRPr="00247C0A">
        <w:rPr>
          <w:rFonts w:ascii="Times New Roman" w:hAnsi="Times New Roman" w:cs="Times New Roman"/>
          <w:sz w:val="28"/>
          <w:szCs w:val="28"/>
        </w:rPr>
        <w:t>.</w:t>
      </w:r>
      <w:r w:rsidRPr="00247C0A">
        <w:rPr>
          <w:rFonts w:ascii="Times New Roman" w:hAnsi="Times New Roman" w:cs="Times New Roman"/>
          <w:sz w:val="28"/>
          <w:szCs w:val="28"/>
        </w:rPr>
        <w:t>F</w:t>
      </w:r>
      <w:r w:rsidR="00437AAE" w:rsidRPr="00247C0A">
        <w:rPr>
          <w:rFonts w:ascii="Times New Roman" w:hAnsi="Times New Roman" w:cs="Times New Roman"/>
          <w:sz w:val="28"/>
          <w:szCs w:val="28"/>
        </w:rPr>
        <w:t>.</w:t>
      </w:r>
      <w:r w:rsidRPr="00247C0A">
        <w:rPr>
          <w:rFonts w:ascii="Times New Roman" w:hAnsi="Times New Roman" w:cs="Times New Roman"/>
          <w:sz w:val="28"/>
          <w:szCs w:val="28"/>
        </w:rPr>
        <w:t>R §§ 880.</w:t>
      </w:r>
      <w:r w:rsidR="00BD59C9" w:rsidRPr="00247C0A">
        <w:rPr>
          <w:rFonts w:ascii="Times New Roman" w:hAnsi="Times New Roman" w:cs="Times New Roman"/>
          <w:sz w:val="28"/>
          <w:szCs w:val="28"/>
        </w:rPr>
        <w:t>608</w:t>
      </w:r>
      <w:r w:rsidR="00395D54" w:rsidRPr="00247C0A">
        <w:rPr>
          <w:rFonts w:ascii="Times New Roman" w:hAnsi="Times New Roman" w:cs="Times New Roman"/>
          <w:sz w:val="28"/>
          <w:szCs w:val="28"/>
        </w:rPr>
        <w:t xml:space="preserve">, </w:t>
      </w:r>
      <w:r w:rsidR="00BD59C9" w:rsidRPr="00247C0A">
        <w:rPr>
          <w:rFonts w:ascii="Times New Roman" w:hAnsi="Times New Roman" w:cs="Times New Roman"/>
          <w:sz w:val="28"/>
          <w:szCs w:val="28"/>
        </w:rPr>
        <w:t>882.414</w:t>
      </w:r>
      <w:r w:rsidR="00437AAE" w:rsidRPr="00247C0A">
        <w:rPr>
          <w:rFonts w:ascii="Times New Roman" w:hAnsi="Times New Roman" w:cs="Times New Roman"/>
          <w:sz w:val="28"/>
          <w:szCs w:val="28"/>
        </w:rPr>
        <w:t>,</w:t>
      </w:r>
      <w:r w:rsidR="00BD59C9" w:rsidRPr="00247C0A">
        <w:rPr>
          <w:rFonts w:ascii="Times New Roman" w:hAnsi="Times New Roman" w:cs="Times New Roman"/>
          <w:sz w:val="28"/>
          <w:szCs w:val="28"/>
        </w:rPr>
        <w:t xml:space="preserve"> </w:t>
      </w:r>
      <w:r w:rsidR="00437AAE" w:rsidRPr="00247C0A">
        <w:rPr>
          <w:rFonts w:ascii="Times New Roman" w:hAnsi="Times New Roman" w:cs="Times New Roman"/>
          <w:sz w:val="28"/>
          <w:szCs w:val="28"/>
        </w:rPr>
        <w:t>884.115, 886.116, 886.315, 886.116, 891.435, 891.635, 891.775, 966.4(e)(8), 982.313, 983.259; 7 C.F.R. § 3560.629.</w:t>
      </w:r>
      <w:r w:rsidR="00437AAE" w:rsidRPr="00247C0A">
        <w:rPr>
          <w:rStyle w:val="FootnoteReference"/>
          <w:rFonts w:ascii="Times New Roman" w:hAnsi="Times New Roman" w:cs="Times New Roman"/>
          <w:sz w:val="28"/>
          <w:szCs w:val="28"/>
        </w:rPr>
        <w:footnoteReference w:id="18"/>
      </w:r>
    </w:p>
    <w:p w14:paraId="20EF4821" w14:textId="77777777" w:rsidR="00800472" w:rsidRPr="00247C0A" w:rsidRDefault="00800472" w:rsidP="00734161">
      <w:pPr>
        <w:jc w:val="center"/>
        <w:rPr>
          <w:rFonts w:ascii="Times New Roman" w:hAnsi="Times New Roman" w:cs="Times New Roman"/>
          <w:b/>
          <w:smallCaps/>
          <w:sz w:val="28"/>
          <w:szCs w:val="28"/>
          <w:u w:val="single"/>
        </w:rPr>
      </w:pPr>
      <w:r w:rsidRPr="00247C0A">
        <w:rPr>
          <w:rFonts w:ascii="Times New Roman" w:hAnsi="Times New Roman" w:cs="Times New Roman"/>
          <w:b/>
          <w:smallCaps/>
          <w:sz w:val="28"/>
          <w:szCs w:val="28"/>
          <w:u w:val="single"/>
        </w:rPr>
        <w:t>Other security-deposit issues</w:t>
      </w:r>
    </w:p>
    <w:p w14:paraId="16AED51C" w14:textId="77777777" w:rsidR="00207A6A" w:rsidRPr="00247C0A" w:rsidRDefault="00207A6A" w:rsidP="00C82727">
      <w:pPr>
        <w:rPr>
          <w:rFonts w:ascii="Times New Roman" w:hAnsi="Times New Roman" w:cs="Times New Roman"/>
          <w:sz w:val="28"/>
          <w:szCs w:val="28"/>
          <w:u w:val="single"/>
        </w:rPr>
      </w:pPr>
      <w:r w:rsidRPr="00247C0A">
        <w:rPr>
          <w:rFonts w:ascii="Times New Roman" w:hAnsi="Times New Roman" w:cs="Times New Roman"/>
          <w:sz w:val="28"/>
          <w:szCs w:val="28"/>
          <w:u w:val="single"/>
        </w:rPr>
        <w:t>When to sue</w:t>
      </w:r>
    </w:p>
    <w:p w14:paraId="4C3252B6" w14:textId="559534EB" w:rsidR="00A7170D" w:rsidRPr="00247C0A" w:rsidRDefault="00207A6A" w:rsidP="00207A6A">
      <w:pPr>
        <w:rPr>
          <w:rFonts w:ascii="Times New Roman" w:hAnsi="Times New Roman" w:cs="Times New Roman"/>
          <w:sz w:val="28"/>
          <w:szCs w:val="28"/>
        </w:rPr>
      </w:pPr>
      <w:r w:rsidRPr="00247C0A">
        <w:rPr>
          <w:rFonts w:ascii="Times New Roman" w:hAnsi="Times New Roman" w:cs="Times New Roman"/>
          <w:sz w:val="28"/>
          <w:szCs w:val="28"/>
        </w:rPr>
        <w:t>The general statute of limitations for civil suits is six</w:t>
      </w:r>
      <w:r w:rsidR="00A7170D" w:rsidRPr="00247C0A">
        <w:rPr>
          <w:rFonts w:ascii="Times New Roman" w:hAnsi="Times New Roman" w:cs="Times New Roman"/>
          <w:sz w:val="28"/>
          <w:szCs w:val="28"/>
        </w:rPr>
        <w:t xml:space="preserve"> years. </w:t>
      </w:r>
      <w:hyperlink r:id="rId61" w:history="1">
        <w:r w:rsidR="00A7170D" w:rsidRPr="00247C0A">
          <w:rPr>
            <w:rStyle w:val="Hyperlink"/>
            <w:rFonts w:ascii="Times New Roman" w:hAnsi="Times New Roman" w:cs="Times New Roman"/>
            <w:sz w:val="28"/>
            <w:szCs w:val="28"/>
          </w:rPr>
          <w:t>Minn. Stat. § 541.05</w:t>
        </w:r>
      </w:hyperlink>
      <w:r w:rsidR="00A7170D" w:rsidRPr="00247C0A">
        <w:rPr>
          <w:rFonts w:ascii="Times New Roman" w:hAnsi="Times New Roman" w:cs="Times New Roman"/>
          <w:sz w:val="28"/>
          <w:szCs w:val="28"/>
        </w:rPr>
        <w:t>.</w:t>
      </w:r>
      <w:r w:rsidRPr="00247C0A">
        <w:rPr>
          <w:rFonts w:ascii="Times New Roman" w:hAnsi="Times New Roman" w:cs="Times New Roman"/>
          <w:sz w:val="28"/>
          <w:szCs w:val="28"/>
        </w:rPr>
        <w:t xml:space="preserve"> However, a suit for </w:t>
      </w:r>
      <w:r w:rsidR="00A7170D" w:rsidRPr="00247C0A">
        <w:rPr>
          <w:rFonts w:ascii="Times New Roman" w:hAnsi="Times New Roman" w:cs="Times New Roman"/>
          <w:sz w:val="28"/>
          <w:szCs w:val="28"/>
        </w:rPr>
        <w:t>the statutory penalties for delay</w:t>
      </w:r>
      <w:r w:rsidR="00943F18">
        <w:rPr>
          <w:rFonts w:ascii="Times New Roman" w:hAnsi="Times New Roman" w:cs="Times New Roman"/>
          <w:sz w:val="28"/>
          <w:szCs w:val="28"/>
        </w:rPr>
        <w:t>, lack of move-in-out inspection</w:t>
      </w:r>
      <w:r w:rsidR="00A7170D" w:rsidRPr="00247C0A">
        <w:rPr>
          <w:rFonts w:ascii="Times New Roman" w:hAnsi="Times New Roman" w:cs="Times New Roman"/>
          <w:sz w:val="28"/>
          <w:szCs w:val="28"/>
        </w:rPr>
        <w:t xml:space="preserve"> or bad faith</w:t>
      </w:r>
      <w:r w:rsidRPr="00247C0A">
        <w:rPr>
          <w:rFonts w:ascii="Times New Roman" w:hAnsi="Times New Roman" w:cs="Times New Roman"/>
          <w:sz w:val="28"/>
          <w:szCs w:val="28"/>
        </w:rPr>
        <w:t xml:space="preserve"> is only two</w:t>
      </w:r>
      <w:r w:rsidR="00A7170D" w:rsidRPr="00247C0A">
        <w:rPr>
          <w:rFonts w:ascii="Times New Roman" w:hAnsi="Times New Roman" w:cs="Times New Roman"/>
          <w:sz w:val="28"/>
          <w:szCs w:val="28"/>
        </w:rPr>
        <w:t xml:space="preserve"> years. </w:t>
      </w:r>
      <w:hyperlink r:id="rId62" w:history="1">
        <w:r w:rsidR="00A7170D" w:rsidRPr="00247C0A">
          <w:rPr>
            <w:rStyle w:val="Hyperlink"/>
            <w:rFonts w:ascii="Times New Roman" w:hAnsi="Times New Roman" w:cs="Times New Roman"/>
            <w:sz w:val="28"/>
            <w:szCs w:val="28"/>
          </w:rPr>
          <w:t>Minn. Stat. § 541.07(2)</w:t>
        </w:r>
      </w:hyperlink>
      <w:r w:rsidR="00A7170D" w:rsidRPr="00247C0A">
        <w:rPr>
          <w:rFonts w:ascii="Times New Roman" w:hAnsi="Times New Roman" w:cs="Times New Roman"/>
          <w:sz w:val="28"/>
          <w:szCs w:val="28"/>
        </w:rPr>
        <w:t>.</w:t>
      </w:r>
    </w:p>
    <w:p w14:paraId="419BEB28" w14:textId="77777777" w:rsidR="00C76FBA" w:rsidRPr="00247C0A" w:rsidRDefault="00CE28D8" w:rsidP="00207A6A">
      <w:pPr>
        <w:rPr>
          <w:rFonts w:ascii="Times New Roman" w:hAnsi="Times New Roman" w:cs="Times New Roman"/>
          <w:sz w:val="28"/>
          <w:szCs w:val="28"/>
          <w:u w:val="single"/>
        </w:rPr>
      </w:pPr>
      <w:r w:rsidRPr="00247C0A">
        <w:rPr>
          <w:rFonts w:ascii="Times New Roman" w:hAnsi="Times New Roman" w:cs="Times New Roman"/>
          <w:sz w:val="28"/>
          <w:szCs w:val="28"/>
          <w:u w:val="single"/>
        </w:rPr>
        <w:t>What happens if the landlord goes bankrupt?</w:t>
      </w:r>
    </w:p>
    <w:p w14:paraId="15992B9C" w14:textId="0DB31CD1" w:rsidR="00CE28D8" w:rsidRPr="00247C0A" w:rsidRDefault="00CE28D8" w:rsidP="00094685">
      <w:pPr>
        <w:ind w:left="720"/>
        <w:rPr>
          <w:rFonts w:ascii="Times New Roman" w:hAnsi="Times New Roman" w:cs="Times New Roman"/>
          <w:sz w:val="28"/>
          <w:szCs w:val="28"/>
          <w:u w:val="single"/>
        </w:rPr>
      </w:pPr>
      <w:r w:rsidRPr="00247C0A">
        <w:rPr>
          <w:rFonts w:ascii="Times New Roman" w:hAnsi="Times New Roman" w:cs="Times New Roman"/>
          <w:sz w:val="28"/>
          <w:szCs w:val="28"/>
          <w:u w:val="single"/>
        </w:rPr>
        <w:t>The landlord goes bankrupt before the tenant has reduced his claim to judgment</w:t>
      </w:r>
    </w:p>
    <w:p w14:paraId="302ABD7D" w14:textId="77777777" w:rsidR="000D456F" w:rsidRPr="00247C0A" w:rsidRDefault="00CE28D8" w:rsidP="00CE28D8">
      <w:pPr>
        <w:rPr>
          <w:rFonts w:ascii="Times New Roman" w:hAnsi="Times New Roman" w:cs="Times New Roman"/>
          <w:sz w:val="28"/>
          <w:szCs w:val="28"/>
        </w:rPr>
      </w:pPr>
      <w:r w:rsidRPr="00247C0A">
        <w:rPr>
          <w:rFonts w:ascii="Times New Roman" w:hAnsi="Times New Roman" w:cs="Times New Roman"/>
          <w:sz w:val="28"/>
          <w:szCs w:val="28"/>
        </w:rPr>
        <w:t>There is no Eighth Circuit case on point but there is one that is very close,</w:t>
      </w:r>
      <w:r w:rsidRPr="00247C0A">
        <w:rPr>
          <w:rFonts w:ascii="Times New Roman" w:eastAsiaTheme="minorEastAsia" w:hAnsi="Times New Roman" w:cs="Times New Roman"/>
          <w:i/>
          <w:iCs/>
          <w:color w:val="404040" w:themeColor="text1" w:themeTint="BF"/>
          <w:kern w:val="24"/>
          <w:sz w:val="28"/>
          <w:szCs w:val="28"/>
        </w:rPr>
        <w:t xml:space="preserve"> </w:t>
      </w:r>
      <w:hyperlink r:id="rId63" w:history="1">
        <w:proofErr w:type="spellStart"/>
        <w:r w:rsidR="00A7170D" w:rsidRPr="00247C0A">
          <w:rPr>
            <w:rStyle w:val="Hyperlink"/>
            <w:rFonts w:ascii="Times New Roman" w:hAnsi="Times New Roman" w:cs="Times New Roman"/>
            <w:i/>
            <w:iCs/>
            <w:sz w:val="28"/>
            <w:szCs w:val="28"/>
          </w:rPr>
          <w:t>Nat'l</w:t>
        </w:r>
        <w:proofErr w:type="spellEnd"/>
        <w:r w:rsidR="00A7170D" w:rsidRPr="00247C0A">
          <w:rPr>
            <w:rStyle w:val="Hyperlink"/>
            <w:rFonts w:ascii="Times New Roman" w:hAnsi="Times New Roman" w:cs="Times New Roman"/>
            <w:i/>
            <w:iCs/>
            <w:sz w:val="28"/>
            <w:szCs w:val="28"/>
          </w:rPr>
          <w:t xml:space="preserve"> Corp. for Housing Partnership v. Liberty State Bank,</w:t>
        </w:r>
        <w:r w:rsidR="00A7170D" w:rsidRPr="00247C0A">
          <w:rPr>
            <w:rStyle w:val="Hyperlink"/>
            <w:rFonts w:ascii="Times New Roman" w:hAnsi="Times New Roman" w:cs="Times New Roman"/>
            <w:sz w:val="28"/>
            <w:szCs w:val="28"/>
          </w:rPr>
          <w:t xml:space="preserve"> 836 F.2d 433 (8th Cir. 1988)</w:t>
        </w:r>
      </w:hyperlink>
      <w:r w:rsidR="00A7170D" w:rsidRPr="00247C0A">
        <w:rPr>
          <w:rFonts w:ascii="Times New Roman" w:hAnsi="Times New Roman" w:cs="Times New Roman"/>
          <w:sz w:val="28"/>
          <w:szCs w:val="28"/>
        </w:rPr>
        <w:t>.</w:t>
      </w:r>
      <w:r w:rsidRPr="00247C0A">
        <w:rPr>
          <w:rFonts w:ascii="Times New Roman" w:hAnsi="Times New Roman" w:cs="Times New Roman"/>
          <w:sz w:val="28"/>
          <w:szCs w:val="28"/>
        </w:rPr>
        <w:t xml:space="preserve"> </w:t>
      </w:r>
      <w:r w:rsidR="000D456F" w:rsidRPr="00247C0A">
        <w:rPr>
          <w:rFonts w:ascii="Times New Roman" w:hAnsi="Times New Roman" w:cs="Times New Roman"/>
          <w:sz w:val="28"/>
          <w:szCs w:val="28"/>
        </w:rPr>
        <w:t>The landlord of a huge complex had deposited about $335,000</w:t>
      </w:r>
      <w:r w:rsidR="00027E37" w:rsidRPr="00247C0A">
        <w:rPr>
          <w:rFonts w:ascii="Times New Roman" w:hAnsi="Times New Roman" w:cs="Times New Roman"/>
          <w:sz w:val="28"/>
          <w:szCs w:val="28"/>
        </w:rPr>
        <w:t xml:space="preserve"> of pooled deposits</w:t>
      </w:r>
      <w:r w:rsidR="000D456F" w:rsidRPr="00247C0A">
        <w:rPr>
          <w:rFonts w:ascii="Times New Roman" w:hAnsi="Times New Roman" w:cs="Times New Roman"/>
          <w:sz w:val="28"/>
          <w:szCs w:val="28"/>
        </w:rPr>
        <w:t xml:space="preserve"> in Liberty State Bank. His business failed and National Corporation for Housing Partnership was appointed as receiver for the complex. Both the receiver and the bank claimed the deposits. The bank’s theory was that the deposits had been the landlord’s money with the landlord then being in debt to each tenant for the deposit made by that tenant; since the landlord owed a large sum to the bank and the banking agreement allowed the bank a right of setoff, its setoff claim had priority </w:t>
      </w:r>
      <w:r w:rsidR="000D456F" w:rsidRPr="00247C0A">
        <w:rPr>
          <w:rFonts w:ascii="Times New Roman" w:hAnsi="Times New Roman" w:cs="Times New Roman"/>
          <w:sz w:val="28"/>
          <w:szCs w:val="28"/>
        </w:rPr>
        <w:lastRenderedPageBreak/>
        <w:t xml:space="preserve">over the landlord’s debts to the tenants. The receiver’s theory was that there was no debt to the tenants. Instead, the landlord was a bailee of the deposits and was simply holding onto the deposits owned by the tenants; the receiver thus now was holding onto the deposits for distribution to each tenant when she moved out. </w:t>
      </w:r>
    </w:p>
    <w:p w14:paraId="72B438A0" w14:textId="77777777" w:rsidR="00A7170D" w:rsidRPr="00247C0A" w:rsidRDefault="000D456F" w:rsidP="00CE28D8">
      <w:pPr>
        <w:rPr>
          <w:rFonts w:ascii="Times New Roman" w:hAnsi="Times New Roman" w:cs="Times New Roman"/>
          <w:sz w:val="28"/>
          <w:szCs w:val="28"/>
        </w:rPr>
      </w:pPr>
      <w:r w:rsidRPr="00247C0A">
        <w:rPr>
          <w:rFonts w:ascii="Times New Roman" w:hAnsi="Times New Roman" w:cs="Times New Roman"/>
          <w:sz w:val="28"/>
          <w:szCs w:val="28"/>
        </w:rPr>
        <w:t>The district court found for the receiver</w:t>
      </w:r>
      <w:r w:rsidR="00E94474" w:rsidRPr="00247C0A">
        <w:rPr>
          <w:rStyle w:val="FootnoteReference"/>
          <w:rFonts w:ascii="Times New Roman" w:hAnsi="Times New Roman" w:cs="Times New Roman"/>
          <w:sz w:val="28"/>
          <w:szCs w:val="28"/>
        </w:rPr>
        <w:footnoteReference w:id="19"/>
      </w:r>
      <w:r w:rsidRPr="00247C0A">
        <w:rPr>
          <w:rFonts w:ascii="Times New Roman" w:hAnsi="Times New Roman" w:cs="Times New Roman"/>
          <w:sz w:val="28"/>
          <w:szCs w:val="28"/>
        </w:rPr>
        <w:t xml:space="preserve"> and the Eighth Circuit affirmed. They held that since subdivision 2 of Minn. Stat. § 504.20</w:t>
      </w:r>
      <w:r w:rsidR="00E41570" w:rsidRPr="00247C0A">
        <w:rPr>
          <w:rFonts w:ascii="Times New Roman" w:hAnsi="Times New Roman" w:cs="Times New Roman"/>
          <w:sz w:val="28"/>
          <w:szCs w:val="28"/>
        </w:rPr>
        <w:t xml:space="preserve"> (now 504B.178) provided that the “deposit … shall be held by the landlord for the tenant</w:t>
      </w:r>
      <w:r w:rsidR="00395149" w:rsidRPr="00247C0A">
        <w:rPr>
          <w:rFonts w:ascii="Times New Roman" w:hAnsi="Times New Roman" w:cs="Times New Roman"/>
          <w:sz w:val="28"/>
          <w:szCs w:val="28"/>
        </w:rPr>
        <w:t>”</w:t>
      </w:r>
      <w:r w:rsidR="00E41570" w:rsidRPr="00247C0A">
        <w:rPr>
          <w:rFonts w:ascii="Times New Roman" w:hAnsi="Times New Roman" w:cs="Times New Roman"/>
          <w:sz w:val="28"/>
          <w:szCs w:val="28"/>
        </w:rPr>
        <w:t xml:space="preserve"> the deposits were not the landlord’s and the landlord owed no debt to the tenants since the money was simply the tenants’ money.</w:t>
      </w:r>
    </w:p>
    <w:p w14:paraId="06ED58A0" w14:textId="77777777" w:rsidR="00E41570" w:rsidRPr="00247C0A" w:rsidRDefault="00E41570" w:rsidP="00CE28D8">
      <w:pPr>
        <w:rPr>
          <w:rFonts w:ascii="Times New Roman" w:hAnsi="Times New Roman" w:cs="Times New Roman"/>
          <w:sz w:val="28"/>
          <w:szCs w:val="28"/>
        </w:rPr>
      </w:pPr>
      <w:r w:rsidRPr="00247C0A">
        <w:rPr>
          <w:rFonts w:ascii="Times New Roman" w:hAnsi="Times New Roman" w:cs="Times New Roman"/>
          <w:sz w:val="28"/>
          <w:szCs w:val="28"/>
        </w:rPr>
        <w:t>Based on this reasoning, when a landlord goes bankrupt, the bankruptcy does not discharge the deposit as a debt because it wasn’t a debt. It is still the tenant’s money (bailed to the landlord).</w:t>
      </w:r>
    </w:p>
    <w:p w14:paraId="5A6DA766" w14:textId="77777777" w:rsidR="00CE28D8" w:rsidRPr="00247C0A" w:rsidRDefault="00326885" w:rsidP="006D718A">
      <w:pPr>
        <w:ind w:left="720"/>
        <w:rPr>
          <w:rFonts w:ascii="Times New Roman" w:hAnsi="Times New Roman" w:cs="Times New Roman"/>
          <w:sz w:val="28"/>
          <w:szCs w:val="28"/>
        </w:rPr>
      </w:pPr>
      <w:r w:rsidRPr="00247C0A">
        <w:rPr>
          <w:rFonts w:ascii="Times New Roman" w:hAnsi="Times New Roman" w:cs="Times New Roman"/>
          <w:sz w:val="28"/>
          <w:szCs w:val="28"/>
          <w:u w:val="single"/>
        </w:rPr>
        <w:t xml:space="preserve">The landlord goes bankrupt </w:t>
      </w:r>
      <w:r w:rsidR="006D718A" w:rsidRPr="00247C0A">
        <w:rPr>
          <w:rFonts w:ascii="Times New Roman" w:hAnsi="Times New Roman" w:cs="Times New Roman"/>
          <w:sz w:val="28"/>
          <w:szCs w:val="28"/>
          <w:u w:val="single"/>
        </w:rPr>
        <w:t>after</w:t>
      </w:r>
      <w:r w:rsidRPr="00247C0A">
        <w:rPr>
          <w:rFonts w:ascii="Times New Roman" w:hAnsi="Times New Roman" w:cs="Times New Roman"/>
          <w:sz w:val="28"/>
          <w:szCs w:val="28"/>
          <w:u w:val="single"/>
        </w:rPr>
        <w:t xml:space="preserve"> the tenant has reduced his claim to judgment</w:t>
      </w:r>
    </w:p>
    <w:p w14:paraId="3BBBD384" w14:textId="77777777" w:rsidR="00A7170D" w:rsidRPr="00247C0A" w:rsidRDefault="00326885" w:rsidP="00326885">
      <w:pPr>
        <w:rPr>
          <w:rFonts w:ascii="Times New Roman" w:hAnsi="Times New Roman" w:cs="Times New Roman"/>
          <w:sz w:val="28"/>
          <w:szCs w:val="28"/>
        </w:rPr>
      </w:pPr>
      <w:r w:rsidRPr="00247C0A">
        <w:rPr>
          <w:rFonts w:ascii="Times New Roman" w:hAnsi="Times New Roman" w:cs="Times New Roman"/>
          <w:sz w:val="28"/>
          <w:szCs w:val="28"/>
        </w:rPr>
        <w:t xml:space="preserve">There is no Eighth Circuit case on point but there is one approving of the doctrine of defalcation and citing </w:t>
      </w:r>
      <w:hyperlink r:id="rId64" w:history="1">
        <w:r w:rsidR="003B6D4F" w:rsidRPr="00247C0A">
          <w:rPr>
            <w:rStyle w:val="Hyperlink"/>
            <w:rFonts w:ascii="Times New Roman" w:hAnsi="Times New Roman" w:cs="Times New Roman"/>
            <w:i/>
            <w:iCs/>
            <w:sz w:val="28"/>
            <w:szCs w:val="28"/>
          </w:rPr>
          <w:t>In re McGee,</w:t>
        </w:r>
        <w:r w:rsidR="003B6D4F" w:rsidRPr="00247C0A">
          <w:rPr>
            <w:rStyle w:val="Hyperlink"/>
            <w:rFonts w:ascii="Times New Roman" w:hAnsi="Times New Roman" w:cs="Times New Roman"/>
            <w:sz w:val="28"/>
            <w:szCs w:val="28"/>
          </w:rPr>
          <w:t xml:space="preserve"> 353 F.3d 537 (7th Cir.2003)</w:t>
        </w:r>
      </w:hyperlink>
      <w:r w:rsidR="003B6D4F" w:rsidRPr="00247C0A">
        <w:rPr>
          <w:rFonts w:ascii="Times New Roman" w:hAnsi="Times New Roman" w:cs="Times New Roman"/>
          <w:sz w:val="28"/>
          <w:szCs w:val="28"/>
        </w:rPr>
        <w:t xml:space="preserve"> </w:t>
      </w:r>
      <w:r w:rsidRPr="00247C0A">
        <w:rPr>
          <w:rFonts w:ascii="Times New Roman" w:hAnsi="Times New Roman" w:cs="Times New Roman"/>
          <w:sz w:val="28"/>
          <w:szCs w:val="28"/>
        </w:rPr>
        <w:t xml:space="preserve">for that doctrine. </w:t>
      </w:r>
      <w:hyperlink r:id="rId65" w:history="1">
        <w:r w:rsidR="00A7170D" w:rsidRPr="00247C0A">
          <w:rPr>
            <w:rStyle w:val="Hyperlink"/>
            <w:rFonts w:ascii="Times New Roman" w:hAnsi="Times New Roman" w:cs="Times New Roman"/>
            <w:i/>
            <w:iCs/>
            <w:sz w:val="28"/>
            <w:szCs w:val="28"/>
          </w:rPr>
          <w:t>In re Nail,</w:t>
        </w:r>
        <w:r w:rsidR="00A7170D" w:rsidRPr="00247C0A">
          <w:rPr>
            <w:rStyle w:val="Hyperlink"/>
            <w:rFonts w:ascii="Times New Roman" w:hAnsi="Times New Roman" w:cs="Times New Roman"/>
            <w:sz w:val="28"/>
            <w:szCs w:val="28"/>
          </w:rPr>
          <w:t xml:space="preserve"> 680 F.3d 1036, 1039 (8th Cir. 2012</w:t>
        </w:r>
        <w:r w:rsidRPr="00247C0A">
          <w:rPr>
            <w:rStyle w:val="Hyperlink"/>
            <w:rFonts w:ascii="Times New Roman" w:hAnsi="Times New Roman" w:cs="Times New Roman"/>
            <w:sz w:val="28"/>
            <w:szCs w:val="28"/>
          </w:rPr>
          <w:t>).</w:t>
        </w:r>
      </w:hyperlink>
    </w:p>
    <w:p w14:paraId="2FAE322A" w14:textId="77777777" w:rsidR="00326885" w:rsidRPr="00247C0A" w:rsidRDefault="003B6D4F" w:rsidP="00326885">
      <w:pPr>
        <w:rPr>
          <w:rFonts w:ascii="Times New Roman" w:hAnsi="Times New Roman" w:cs="Times New Roman"/>
          <w:sz w:val="28"/>
          <w:szCs w:val="28"/>
        </w:rPr>
      </w:pPr>
      <w:r w:rsidRPr="00247C0A">
        <w:rPr>
          <w:rFonts w:ascii="Times New Roman" w:hAnsi="Times New Roman" w:cs="Times New Roman"/>
          <w:i/>
          <w:sz w:val="28"/>
          <w:szCs w:val="28"/>
        </w:rPr>
        <w:t>McGee</w:t>
      </w:r>
      <w:r w:rsidR="00326885" w:rsidRPr="00247C0A">
        <w:rPr>
          <w:rFonts w:ascii="Times New Roman" w:hAnsi="Times New Roman" w:cs="Times New Roman"/>
          <w:sz w:val="28"/>
          <w:szCs w:val="28"/>
        </w:rPr>
        <w:t xml:space="preserve"> dealt with a tenant who had sued for his deposit against a Chicago landlord, won the case, and had </w:t>
      </w:r>
      <w:r w:rsidR="00613581" w:rsidRPr="00247C0A">
        <w:rPr>
          <w:rFonts w:ascii="Times New Roman" w:hAnsi="Times New Roman" w:cs="Times New Roman"/>
          <w:sz w:val="28"/>
          <w:szCs w:val="28"/>
        </w:rPr>
        <w:t xml:space="preserve">obtained a </w:t>
      </w:r>
      <w:r w:rsidR="00326885" w:rsidRPr="00247C0A">
        <w:rPr>
          <w:rFonts w:ascii="Times New Roman" w:hAnsi="Times New Roman" w:cs="Times New Roman"/>
          <w:sz w:val="28"/>
          <w:szCs w:val="28"/>
        </w:rPr>
        <w:t>judgment against the landlord as a result.</w:t>
      </w:r>
      <w:r w:rsidR="009644F2" w:rsidRPr="00247C0A">
        <w:rPr>
          <w:rFonts w:ascii="Times New Roman" w:hAnsi="Times New Roman" w:cs="Times New Roman"/>
          <w:sz w:val="28"/>
          <w:szCs w:val="28"/>
        </w:rPr>
        <w:t xml:space="preserve"> The Chicago rental code included this language:</w:t>
      </w:r>
    </w:p>
    <w:p w14:paraId="48C74C79" w14:textId="77777777" w:rsidR="009644F2" w:rsidRPr="00247C0A" w:rsidRDefault="009644F2" w:rsidP="00613581">
      <w:pPr>
        <w:ind w:left="720"/>
        <w:rPr>
          <w:rFonts w:ascii="Times New Roman" w:hAnsi="Times New Roman" w:cs="Times New Roman"/>
          <w:sz w:val="28"/>
          <w:szCs w:val="28"/>
        </w:rPr>
      </w:pPr>
      <w:r w:rsidRPr="00247C0A">
        <w:rPr>
          <w:rFonts w:ascii="Times New Roman" w:hAnsi="Times New Roman" w:cs="Times New Roman"/>
          <w:sz w:val="28"/>
          <w:szCs w:val="28"/>
        </w:rPr>
        <w:t>A security deposit and interest due thereon shall continue to be the property of the tenant making such deposit, shall not be commingled with the assets of the landlord, and shall not be subject to the claims of any creditor of the landlord or of the landlord's successors in interest, including a foreclosing mortgagee or trustee in bankruptcy.</w:t>
      </w:r>
    </w:p>
    <w:p w14:paraId="20CDA848" w14:textId="77777777" w:rsidR="009644F2" w:rsidRPr="00247C0A" w:rsidRDefault="009644F2" w:rsidP="00326885">
      <w:pPr>
        <w:rPr>
          <w:rFonts w:ascii="Times New Roman" w:hAnsi="Times New Roman" w:cs="Times New Roman"/>
          <w:sz w:val="28"/>
          <w:szCs w:val="28"/>
        </w:rPr>
      </w:pPr>
      <w:r w:rsidRPr="00247C0A">
        <w:rPr>
          <w:rFonts w:ascii="Times New Roman" w:hAnsi="Times New Roman" w:cs="Times New Roman"/>
          <w:sz w:val="28"/>
          <w:szCs w:val="28"/>
        </w:rPr>
        <w:t xml:space="preserve">The </w:t>
      </w:r>
      <w:r w:rsidR="00613581" w:rsidRPr="00247C0A">
        <w:rPr>
          <w:rFonts w:ascii="Times New Roman" w:hAnsi="Times New Roman" w:cs="Times New Roman"/>
          <w:i/>
          <w:sz w:val="28"/>
          <w:szCs w:val="28"/>
        </w:rPr>
        <w:t>McGee</w:t>
      </w:r>
      <w:r w:rsidR="00613581" w:rsidRPr="00247C0A">
        <w:rPr>
          <w:rFonts w:ascii="Times New Roman" w:hAnsi="Times New Roman" w:cs="Times New Roman"/>
          <w:sz w:val="28"/>
          <w:szCs w:val="28"/>
        </w:rPr>
        <w:t xml:space="preserve"> court </w:t>
      </w:r>
      <w:r w:rsidRPr="00247C0A">
        <w:rPr>
          <w:rFonts w:ascii="Times New Roman" w:hAnsi="Times New Roman" w:cs="Times New Roman"/>
          <w:sz w:val="28"/>
          <w:szCs w:val="28"/>
        </w:rPr>
        <w:t xml:space="preserve">held that the city code could not determine bankruptcy rights; that is up to the federal courts hearing bankruptcy cases. Similarly, the federal courts determine whether someone is a “fiduciary” under bankruptcy law. That word means different things under state law and bankruptcy law. Based primarily on the ordinance’s rule that the deposit remains the tenant's property while on </w:t>
      </w:r>
      <w:r w:rsidRPr="00247C0A">
        <w:rPr>
          <w:rFonts w:ascii="Times New Roman" w:hAnsi="Times New Roman" w:cs="Times New Roman"/>
          <w:sz w:val="28"/>
          <w:szCs w:val="28"/>
        </w:rPr>
        <w:lastRenderedPageBreak/>
        <w:t>deposit</w:t>
      </w:r>
      <w:r w:rsidR="00027E37" w:rsidRPr="00247C0A">
        <w:rPr>
          <w:rFonts w:ascii="Times New Roman" w:hAnsi="Times New Roman" w:cs="Times New Roman"/>
          <w:sz w:val="28"/>
          <w:szCs w:val="28"/>
        </w:rPr>
        <w:t>, and</w:t>
      </w:r>
      <w:r w:rsidRPr="00247C0A">
        <w:rPr>
          <w:rFonts w:ascii="Times New Roman" w:hAnsi="Times New Roman" w:cs="Times New Roman"/>
          <w:sz w:val="28"/>
          <w:szCs w:val="28"/>
        </w:rPr>
        <w:t xml:space="preserve"> to a lesser extent that the money must be deposited in an insured account in a financial institution </w:t>
      </w:r>
      <w:r w:rsidR="00E942C4" w:rsidRPr="00247C0A">
        <w:rPr>
          <w:rFonts w:ascii="Times New Roman" w:hAnsi="Times New Roman" w:cs="Times New Roman"/>
          <w:sz w:val="28"/>
          <w:szCs w:val="28"/>
        </w:rPr>
        <w:t>and not</w:t>
      </w:r>
      <w:r w:rsidRPr="00247C0A">
        <w:rPr>
          <w:rFonts w:ascii="Times New Roman" w:hAnsi="Times New Roman" w:cs="Times New Roman"/>
          <w:sz w:val="28"/>
          <w:szCs w:val="28"/>
        </w:rPr>
        <w:t xml:space="preserve"> be commingled with other assets</w:t>
      </w:r>
      <w:r w:rsidR="00E942C4" w:rsidRPr="00247C0A">
        <w:rPr>
          <w:rFonts w:ascii="Times New Roman" w:hAnsi="Times New Roman" w:cs="Times New Roman"/>
          <w:sz w:val="28"/>
          <w:szCs w:val="28"/>
        </w:rPr>
        <w:t xml:space="preserve">, the </w:t>
      </w:r>
      <w:r w:rsidR="00E942C4" w:rsidRPr="00247C0A">
        <w:rPr>
          <w:rFonts w:ascii="Times New Roman" w:hAnsi="Times New Roman" w:cs="Times New Roman"/>
          <w:i/>
          <w:sz w:val="28"/>
          <w:szCs w:val="28"/>
        </w:rPr>
        <w:t>McGee</w:t>
      </w:r>
      <w:r w:rsidR="00E942C4" w:rsidRPr="00247C0A">
        <w:rPr>
          <w:rFonts w:ascii="Times New Roman" w:hAnsi="Times New Roman" w:cs="Times New Roman"/>
          <w:sz w:val="28"/>
          <w:szCs w:val="28"/>
        </w:rPr>
        <w:t xml:space="preserve"> court held that the landlord was a </w:t>
      </w:r>
      <w:r w:rsidR="00027E37" w:rsidRPr="00247C0A">
        <w:rPr>
          <w:rFonts w:ascii="Times New Roman" w:hAnsi="Times New Roman" w:cs="Times New Roman"/>
          <w:sz w:val="28"/>
          <w:szCs w:val="28"/>
        </w:rPr>
        <w:t>“</w:t>
      </w:r>
      <w:r w:rsidR="00E942C4" w:rsidRPr="00247C0A">
        <w:rPr>
          <w:rFonts w:ascii="Times New Roman" w:hAnsi="Times New Roman" w:cs="Times New Roman"/>
          <w:sz w:val="28"/>
          <w:szCs w:val="28"/>
        </w:rPr>
        <w:t>fiduciary</w:t>
      </w:r>
      <w:r w:rsidR="00027E37" w:rsidRPr="00247C0A">
        <w:rPr>
          <w:rFonts w:ascii="Times New Roman" w:hAnsi="Times New Roman" w:cs="Times New Roman"/>
          <w:sz w:val="28"/>
          <w:szCs w:val="28"/>
        </w:rPr>
        <w:t xml:space="preserve">” within the meaning of bankruptcy law. As a result </w:t>
      </w:r>
      <w:r w:rsidR="00E942C4" w:rsidRPr="00247C0A">
        <w:rPr>
          <w:rFonts w:ascii="Times New Roman" w:hAnsi="Times New Roman" w:cs="Times New Roman"/>
          <w:sz w:val="28"/>
          <w:szCs w:val="28"/>
        </w:rPr>
        <w:t>under the defalcation doctrine</w:t>
      </w:r>
      <w:r w:rsidR="00027E37" w:rsidRPr="00247C0A">
        <w:rPr>
          <w:rFonts w:ascii="Times New Roman" w:hAnsi="Times New Roman" w:cs="Times New Roman"/>
          <w:sz w:val="28"/>
          <w:szCs w:val="28"/>
        </w:rPr>
        <w:t xml:space="preserve">, the landlord </w:t>
      </w:r>
      <w:r w:rsidR="00E942C4" w:rsidRPr="00247C0A">
        <w:rPr>
          <w:rFonts w:ascii="Times New Roman" w:hAnsi="Times New Roman" w:cs="Times New Roman"/>
          <w:sz w:val="28"/>
          <w:szCs w:val="28"/>
        </w:rPr>
        <w:t>co</w:t>
      </w:r>
      <w:r w:rsidR="00027E37" w:rsidRPr="00247C0A">
        <w:rPr>
          <w:rFonts w:ascii="Times New Roman" w:hAnsi="Times New Roman" w:cs="Times New Roman"/>
          <w:sz w:val="28"/>
          <w:szCs w:val="28"/>
        </w:rPr>
        <w:t xml:space="preserve">uld not discharge the judgment </w:t>
      </w:r>
      <w:r w:rsidR="00E942C4" w:rsidRPr="00247C0A">
        <w:rPr>
          <w:rFonts w:ascii="Times New Roman" w:hAnsi="Times New Roman" w:cs="Times New Roman"/>
          <w:sz w:val="28"/>
          <w:szCs w:val="28"/>
        </w:rPr>
        <w:t>in bankruptcy.</w:t>
      </w:r>
    </w:p>
    <w:p w14:paraId="0CBDA255" w14:textId="77777777" w:rsidR="00E942C4" w:rsidRPr="00247C0A" w:rsidRDefault="00E942C4" w:rsidP="00326885">
      <w:pPr>
        <w:rPr>
          <w:rFonts w:ascii="Times New Roman" w:hAnsi="Times New Roman" w:cs="Times New Roman"/>
          <w:sz w:val="28"/>
          <w:szCs w:val="28"/>
        </w:rPr>
      </w:pPr>
      <w:r w:rsidRPr="00247C0A">
        <w:rPr>
          <w:rFonts w:ascii="Times New Roman" w:hAnsi="Times New Roman" w:cs="Times New Roman"/>
          <w:sz w:val="28"/>
          <w:szCs w:val="28"/>
        </w:rPr>
        <w:t xml:space="preserve">The Chicago ordinance and subdivision 2 of Minn. Stat. § 504B.178 have the same key requirement that the deposit be held for the tenant. </w:t>
      </w:r>
      <w:r w:rsidR="00027E37" w:rsidRPr="00247C0A">
        <w:rPr>
          <w:rFonts w:ascii="Times New Roman" w:hAnsi="Times New Roman" w:cs="Times New Roman"/>
          <w:sz w:val="28"/>
          <w:szCs w:val="28"/>
        </w:rPr>
        <w:t xml:space="preserve">It </w:t>
      </w:r>
      <w:r w:rsidRPr="00247C0A">
        <w:rPr>
          <w:rFonts w:ascii="Times New Roman" w:hAnsi="Times New Roman" w:cs="Times New Roman"/>
          <w:sz w:val="28"/>
          <w:szCs w:val="28"/>
        </w:rPr>
        <w:t xml:space="preserve">should follow that the defalcation doctrine protects </w:t>
      </w:r>
      <w:r w:rsidR="00027E37" w:rsidRPr="00247C0A">
        <w:rPr>
          <w:rFonts w:ascii="Times New Roman" w:hAnsi="Times New Roman" w:cs="Times New Roman"/>
          <w:sz w:val="28"/>
          <w:szCs w:val="28"/>
        </w:rPr>
        <w:t>a Minnesota</w:t>
      </w:r>
      <w:r w:rsidRPr="00247C0A">
        <w:rPr>
          <w:rFonts w:ascii="Times New Roman" w:hAnsi="Times New Roman" w:cs="Times New Roman"/>
          <w:sz w:val="28"/>
          <w:szCs w:val="28"/>
        </w:rPr>
        <w:t xml:space="preserve"> tenant’s judgment for his deposit.</w:t>
      </w:r>
    </w:p>
    <w:p w14:paraId="620957FD" w14:textId="77777777" w:rsidR="00207A6A" w:rsidRPr="00247C0A" w:rsidRDefault="00624C05" w:rsidP="00C82727">
      <w:pPr>
        <w:rPr>
          <w:rFonts w:ascii="Times New Roman" w:hAnsi="Times New Roman" w:cs="Times New Roman"/>
          <w:sz w:val="28"/>
          <w:szCs w:val="28"/>
        </w:rPr>
      </w:pPr>
      <w:r w:rsidRPr="00247C0A">
        <w:rPr>
          <w:rFonts w:ascii="Times New Roman" w:hAnsi="Times New Roman" w:cs="Times New Roman"/>
          <w:sz w:val="28"/>
          <w:szCs w:val="28"/>
        </w:rPr>
        <w:t>Whether the</w:t>
      </w:r>
      <w:r w:rsidR="00E942C4" w:rsidRPr="00247C0A">
        <w:rPr>
          <w:rFonts w:ascii="Times New Roman" w:hAnsi="Times New Roman" w:cs="Times New Roman"/>
          <w:sz w:val="28"/>
          <w:szCs w:val="28"/>
        </w:rPr>
        <w:t xml:space="preserve"> part of the judgment based on the doubling penalty</w:t>
      </w:r>
      <w:r w:rsidRPr="00247C0A">
        <w:rPr>
          <w:rFonts w:ascii="Times New Roman" w:hAnsi="Times New Roman" w:cs="Times New Roman"/>
          <w:sz w:val="28"/>
          <w:szCs w:val="28"/>
        </w:rPr>
        <w:t xml:space="preserve"> in subdivision 4</w:t>
      </w:r>
      <w:r w:rsidR="00E942C4" w:rsidRPr="00247C0A">
        <w:rPr>
          <w:rFonts w:ascii="Times New Roman" w:hAnsi="Times New Roman" w:cs="Times New Roman"/>
          <w:sz w:val="28"/>
          <w:szCs w:val="28"/>
        </w:rPr>
        <w:t xml:space="preserve"> is probably an open question. </w:t>
      </w:r>
      <w:r w:rsidRPr="00247C0A">
        <w:rPr>
          <w:rFonts w:ascii="Times New Roman" w:hAnsi="Times New Roman" w:cs="Times New Roman"/>
          <w:sz w:val="28"/>
          <w:szCs w:val="28"/>
        </w:rPr>
        <w:t xml:space="preserve"> The part of the judgment based on subdivision 7 (bad faith) should survive the bankruptcy. </w:t>
      </w:r>
      <w:hyperlink r:id="rId66" w:history="1">
        <w:r w:rsidRPr="00247C0A">
          <w:rPr>
            <w:rStyle w:val="Hyperlink"/>
            <w:rFonts w:ascii="Times New Roman" w:hAnsi="Times New Roman" w:cs="Times New Roman"/>
            <w:sz w:val="28"/>
            <w:szCs w:val="28"/>
          </w:rPr>
          <w:t>11 U.S.C. § 523(a)(4</w:t>
        </w:r>
        <w:proofErr w:type="gramStart"/>
        <w:r w:rsidRPr="00247C0A">
          <w:rPr>
            <w:rStyle w:val="Hyperlink"/>
            <w:rFonts w:ascii="Times New Roman" w:hAnsi="Times New Roman" w:cs="Times New Roman"/>
            <w:sz w:val="28"/>
            <w:szCs w:val="28"/>
          </w:rPr>
          <w:t>),(</w:t>
        </w:r>
        <w:proofErr w:type="gramEnd"/>
        <w:r w:rsidRPr="00247C0A">
          <w:rPr>
            <w:rStyle w:val="Hyperlink"/>
            <w:rFonts w:ascii="Times New Roman" w:hAnsi="Times New Roman" w:cs="Times New Roman"/>
            <w:sz w:val="28"/>
            <w:szCs w:val="28"/>
          </w:rPr>
          <w:t>6)</w:t>
        </w:r>
      </w:hyperlink>
      <w:r w:rsidRPr="00247C0A">
        <w:rPr>
          <w:rStyle w:val="Emphasis"/>
          <w:rFonts w:ascii="Times New Roman" w:hAnsi="Times New Roman" w:cs="Times New Roman"/>
          <w:sz w:val="28"/>
          <w:szCs w:val="28"/>
        </w:rPr>
        <w:t xml:space="preserve"> (</w:t>
      </w:r>
      <w:r w:rsidRPr="00247C0A">
        <w:rPr>
          <w:rStyle w:val="Emphasis"/>
          <w:rFonts w:ascii="Times New Roman" w:hAnsi="Times New Roman" w:cs="Times New Roman"/>
          <w:i w:val="0"/>
          <w:sz w:val="28"/>
          <w:szCs w:val="28"/>
        </w:rPr>
        <w:t>respectively, no discharge for</w:t>
      </w:r>
      <w:r w:rsidRPr="00247C0A">
        <w:rPr>
          <w:rStyle w:val="Emphasis"/>
          <w:rFonts w:ascii="Times New Roman" w:hAnsi="Times New Roman" w:cs="Times New Roman"/>
          <w:sz w:val="28"/>
          <w:szCs w:val="28"/>
        </w:rPr>
        <w:t xml:space="preserve"> </w:t>
      </w:r>
      <w:r w:rsidRPr="00247C0A">
        <w:rPr>
          <w:rFonts w:ascii="Times New Roman" w:hAnsi="Times New Roman" w:cs="Times New Roman"/>
          <w:sz w:val="28"/>
          <w:szCs w:val="28"/>
        </w:rPr>
        <w:t>“fraud or defalcation while acting in a fiduciary capacity” or for “willful and malicious injury by the debtor [landlord] to another entity [tenant]”).</w:t>
      </w:r>
    </w:p>
    <w:p w14:paraId="1B817F32" w14:textId="77777777" w:rsidR="006D718A" w:rsidRPr="00247C0A" w:rsidRDefault="006D718A" w:rsidP="006D718A">
      <w:pPr>
        <w:ind w:left="720"/>
        <w:rPr>
          <w:rFonts w:ascii="Times New Roman" w:hAnsi="Times New Roman" w:cs="Times New Roman"/>
          <w:sz w:val="28"/>
          <w:szCs w:val="28"/>
          <w:u w:val="single"/>
        </w:rPr>
      </w:pPr>
      <w:r w:rsidRPr="00247C0A">
        <w:rPr>
          <w:rFonts w:ascii="Times New Roman" w:hAnsi="Times New Roman" w:cs="Times New Roman"/>
          <w:sz w:val="28"/>
          <w:szCs w:val="28"/>
          <w:u w:val="single"/>
        </w:rPr>
        <w:t>Minn. Stat. § 504B.178, subdivision 2 and bankruptcy</w:t>
      </w:r>
    </w:p>
    <w:p w14:paraId="51F9656C" w14:textId="77777777" w:rsidR="003072CF" w:rsidRPr="00247C0A" w:rsidRDefault="001532FB" w:rsidP="00C82727">
      <w:pPr>
        <w:rPr>
          <w:rFonts w:ascii="Times New Roman" w:hAnsi="Times New Roman" w:cs="Times New Roman"/>
          <w:sz w:val="28"/>
          <w:szCs w:val="28"/>
        </w:rPr>
      </w:pPr>
      <w:r w:rsidRPr="00247C0A">
        <w:rPr>
          <w:rFonts w:ascii="Times New Roman" w:hAnsi="Times New Roman" w:cs="Times New Roman"/>
          <w:sz w:val="28"/>
          <w:szCs w:val="28"/>
        </w:rPr>
        <w:t xml:space="preserve">The first clause of </w:t>
      </w:r>
      <w:r w:rsidR="00453070" w:rsidRPr="00247C0A">
        <w:rPr>
          <w:rFonts w:ascii="Times New Roman" w:hAnsi="Times New Roman" w:cs="Times New Roman"/>
          <w:sz w:val="28"/>
          <w:szCs w:val="28"/>
        </w:rPr>
        <w:t xml:space="preserve">Minn. Stat. § 504B.178, subdivision 2 </w:t>
      </w:r>
      <w:r w:rsidRPr="00247C0A">
        <w:rPr>
          <w:rFonts w:ascii="Times New Roman" w:hAnsi="Times New Roman" w:cs="Times New Roman"/>
          <w:sz w:val="28"/>
          <w:szCs w:val="28"/>
        </w:rPr>
        <w:t xml:space="preserve">– “Any deposit of money shall not be considered received in a fiduciary capacity within the meaning of section </w:t>
      </w:r>
      <w:hyperlink r:id="rId67" w:anchor="stat.82.55.26" w:history="1">
        <w:r w:rsidRPr="00247C0A">
          <w:rPr>
            <w:rStyle w:val="Hyperlink"/>
            <w:rFonts w:ascii="Times New Roman" w:hAnsi="Times New Roman" w:cs="Times New Roman"/>
            <w:sz w:val="28"/>
            <w:szCs w:val="28"/>
          </w:rPr>
          <w:t>82.55, subdivision 26</w:t>
        </w:r>
      </w:hyperlink>
      <w:r w:rsidRPr="00247C0A">
        <w:rPr>
          <w:rFonts w:ascii="Times New Roman" w:hAnsi="Times New Roman" w:cs="Times New Roman"/>
          <w:sz w:val="28"/>
          <w:szCs w:val="28"/>
        </w:rPr>
        <w:t xml:space="preserve"> – does not change this analysis. First, as discussed above, under bankruptcy law “fiduciary” has a meaning closer to a bailment than what it means under general state law</w:t>
      </w:r>
      <w:r w:rsidR="008B7537" w:rsidRPr="00247C0A">
        <w:rPr>
          <w:rFonts w:ascii="Times New Roman" w:hAnsi="Times New Roman" w:cs="Times New Roman"/>
          <w:sz w:val="28"/>
          <w:szCs w:val="28"/>
        </w:rPr>
        <w:t xml:space="preserve"> so whether the landlord is or is not a “fiduciary” under state law doesn’t matter.</w:t>
      </w:r>
    </w:p>
    <w:p w14:paraId="67B4CC47" w14:textId="77777777" w:rsidR="001532FB" w:rsidRPr="00247C0A" w:rsidRDefault="001532FB" w:rsidP="00C82727">
      <w:pPr>
        <w:rPr>
          <w:rFonts w:ascii="Times New Roman" w:hAnsi="Times New Roman" w:cs="Times New Roman"/>
          <w:sz w:val="28"/>
          <w:szCs w:val="28"/>
        </w:rPr>
      </w:pPr>
      <w:r w:rsidRPr="00247C0A">
        <w:rPr>
          <w:rFonts w:ascii="Times New Roman" w:hAnsi="Times New Roman" w:cs="Times New Roman"/>
          <w:sz w:val="28"/>
          <w:szCs w:val="28"/>
        </w:rPr>
        <w:t>Second</w:t>
      </w:r>
      <w:r w:rsidR="008B7537" w:rsidRPr="00247C0A">
        <w:rPr>
          <w:rFonts w:ascii="Times New Roman" w:hAnsi="Times New Roman" w:cs="Times New Roman"/>
          <w:sz w:val="28"/>
          <w:szCs w:val="28"/>
        </w:rPr>
        <w:t xml:space="preserve"> and perhaps more important</w:t>
      </w:r>
      <w:r w:rsidRPr="00247C0A">
        <w:rPr>
          <w:rFonts w:ascii="Times New Roman" w:hAnsi="Times New Roman" w:cs="Times New Roman"/>
          <w:sz w:val="28"/>
          <w:szCs w:val="28"/>
        </w:rPr>
        <w:t xml:space="preserve">, </w:t>
      </w:r>
      <w:r w:rsidR="00453070" w:rsidRPr="00247C0A">
        <w:rPr>
          <w:rFonts w:ascii="Times New Roman" w:hAnsi="Times New Roman" w:cs="Times New Roman"/>
          <w:sz w:val="28"/>
          <w:szCs w:val="28"/>
        </w:rPr>
        <w:t xml:space="preserve">note that what this clause says is not that the deposit isn’t held in a general sense in a fiduciary </w:t>
      </w:r>
      <w:r w:rsidR="008B7537" w:rsidRPr="00247C0A">
        <w:rPr>
          <w:rFonts w:ascii="Times New Roman" w:hAnsi="Times New Roman" w:cs="Times New Roman"/>
          <w:sz w:val="28"/>
          <w:szCs w:val="28"/>
        </w:rPr>
        <w:t>capacity</w:t>
      </w:r>
      <w:r w:rsidR="00453070" w:rsidRPr="00247C0A">
        <w:rPr>
          <w:rFonts w:ascii="Times New Roman" w:hAnsi="Times New Roman" w:cs="Times New Roman"/>
          <w:sz w:val="28"/>
          <w:szCs w:val="28"/>
        </w:rPr>
        <w:t xml:space="preserve"> but only that it is not held in a fiduciary capacity </w:t>
      </w:r>
      <w:r w:rsidR="00453070" w:rsidRPr="00247C0A">
        <w:rPr>
          <w:rFonts w:ascii="Times New Roman" w:hAnsi="Times New Roman" w:cs="Times New Roman"/>
          <w:sz w:val="28"/>
          <w:szCs w:val="28"/>
          <w:u w:val="single"/>
        </w:rPr>
        <w:t>within the meaning of section 82.55, subdivision 26</w:t>
      </w:r>
      <w:r w:rsidR="00453070" w:rsidRPr="00247C0A">
        <w:rPr>
          <w:rFonts w:ascii="Times New Roman" w:hAnsi="Times New Roman" w:cs="Times New Roman"/>
          <w:sz w:val="28"/>
          <w:szCs w:val="28"/>
        </w:rPr>
        <w:t xml:space="preserve">. That </w:t>
      </w:r>
      <w:r w:rsidR="006D718A" w:rsidRPr="00247C0A">
        <w:rPr>
          <w:rFonts w:ascii="Times New Roman" w:hAnsi="Times New Roman" w:cs="Times New Roman"/>
          <w:sz w:val="28"/>
          <w:szCs w:val="28"/>
        </w:rPr>
        <w:t xml:space="preserve">provision </w:t>
      </w:r>
      <w:r w:rsidR="00453070" w:rsidRPr="00247C0A">
        <w:rPr>
          <w:rFonts w:ascii="Times New Roman" w:hAnsi="Times New Roman" w:cs="Times New Roman"/>
          <w:sz w:val="28"/>
          <w:szCs w:val="28"/>
        </w:rPr>
        <w:t xml:space="preserve">ultimately requires a specific set of persons involved in the licensed real-estate business – brokers, salespersons, and closing agents – to hold certain funds in a special trust account that pays an amount of interest (0% in 1973, now </w:t>
      </w:r>
      <w:r w:rsidR="003072CF" w:rsidRPr="00247C0A">
        <w:rPr>
          <w:rFonts w:ascii="Times New Roman" w:hAnsi="Times New Roman" w:cs="Times New Roman"/>
          <w:sz w:val="28"/>
          <w:szCs w:val="28"/>
        </w:rPr>
        <w:t>the highest current passbook rate) rather than the 1% (5% in 1973) required under Minn. Stat. § 504B.178.</w:t>
      </w:r>
    </w:p>
    <w:p w14:paraId="1E0DBD27" w14:textId="77777777" w:rsidR="003072CF" w:rsidRPr="00247C0A" w:rsidRDefault="003072CF" w:rsidP="00C82727">
      <w:pPr>
        <w:rPr>
          <w:rFonts w:ascii="Times New Roman" w:hAnsi="Times New Roman" w:cs="Times New Roman"/>
          <w:sz w:val="28"/>
          <w:szCs w:val="28"/>
        </w:rPr>
      </w:pPr>
      <w:r w:rsidRPr="00247C0A">
        <w:rPr>
          <w:rFonts w:ascii="Times New Roman" w:hAnsi="Times New Roman" w:cs="Times New Roman"/>
          <w:sz w:val="28"/>
          <w:szCs w:val="28"/>
        </w:rPr>
        <w:t xml:space="preserve">The legislative history of the 1973 law accounts for this clause. The original bill as introduced did not include </w:t>
      </w:r>
      <w:r w:rsidR="00070334" w:rsidRPr="00247C0A">
        <w:rPr>
          <w:rFonts w:ascii="Times New Roman" w:hAnsi="Times New Roman" w:cs="Times New Roman"/>
          <w:sz w:val="28"/>
          <w:szCs w:val="28"/>
        </w:rPr>
        <w:t>the</w:t>
      </w:r>
      <w:r w:rsidRPr="00247C0A">
        <w:rPr>
          <w:rFonts w:ascii="Times New Roman" w:hAnsi="Times New Roman" w:cs="Times New Roman"/>
          <w:sz w:val="28"/>
          <w:szCs w:val="28"/>
        </w:rPr>
        <w:t xml:space="preserve"> clause. </w:t>
      </w:r>
      <w:r w:rsidR="00070334" w:rsidRPr="00247C0A">
        <w:rPr>
          <w:rFonts w:ascii="Times New Roman" w:hAnsi="Times New Roman" w:cs="Times New Roman"/>
          <w:sz w:val="28"/>
          <w:szCs w:val="28"/>
        </w:rPr>
        <w:t>R</w:t>
      </w:r>
      <w:r w:rsidRPr="00247C0A">
        <w:rPr>
          <w:rFonts w:ascii="Times New Roman" w:hAnsi="Times New Roman" w:cs="Times New Roman"/>
          <w:sz w:val="28"/>
          <w:szCs w:val="28"/>
        </w:rPr>
        <w:t>ealtors were concerned that they would have to simultaneously put funds into different accounts and simultaneously owe different amounts of interest. They wrote to</w:t>
      </w:r>
      <w:r w:rsidR="006D718A" w:rsidRPr="00247C0A">
        <w:rPr>
          <w:rFonts w:ascii="Times New Roman" w:hAnsi="Times New Roman" w:cs="Times New Roman"/>
          <w:sz w:val="28"/>
          <w:szCs w:val="28"/>
        </w:rPr>
        <w:t xml:space="preserve"> Robert Tennessen,</w:t>
      </w:r>
      <w:r w:rsidRPr="00247C0A">
        <w:rPr>
          <w:rFonts w:ascii="Times New Roman" w:hAnsi="Times New Roman" w:cs="Times New Roman"/>
          <w:sz w:val="28"/>
          <w:szCs w:val="28"/>
        </w:rPr>
        <w:t xml:space="preserve"> the chief author</w:t>
      </w:r>
      <w:r w:rsidR="006D718A" w:rsidRPr="00247C0A">
        <w:rPr>
          <w:rFonts w:ascii="Times New Roman" w:hAnsi="Times New Roman" w:cs="Times New Roman"/>
          <w:sz w:val="28"/>
          <w:szCs w:val="28"/>
        </w:rPr>
        <w:t xml:space="preserve"> </w:t>
      </w:r>
      <w:r w:rsidRPr="00247C0A">
        <w:rPr>
          <w:rFonts w:ascii="Times New Roman" w:hAnsi="Times New Roman" w:cs="Times New Roman"/>
          <w:sz w:val="28"/>
          <w:szCs w:val="28"/>
        </w:rPr>
        <w:t>in the State Senate</w:t>
      </w:r>
      <w:r w:rsidR="006D718A" w:rsidRPr="00247C0A">
        <w:rPr>
          <w:rFonts w:ascii="Times New Roman" w:hAnsi="Times New Roman" w:cs="Times New Roman"/>
          <w:sz w:val="28"/>
          <w:szCs w:val="28"/>
        </w:rPr>
        <w:t>,</w:t>
      </w:r>
      <w:r w:rsidRPr="00247C0A">
        <w:rPr>
          <w:rFonts w:ascii="Times New Roman" w:hAnsi="Times New Roman" w:cs="Times New Roman"/>
          <w:sz w:val="28"/>
          <w:szCs w:val="28"/>
        </w:rPr>
        <w:t xml:space="preserve"> asking for a fix.</w:t>
      </w:r>
      <w:r w:rsidR="00AF724A" w:rsidRPr="00247C0A">
        <w:rPr>
          <w:rFonts w:ascii="Times New Roman" w:hAnsi="Times New Roman" w:cs="Times New Roman"/>
          <w:sz w:val="28"/>
          <w:szCs w:val="28"/>
        </w:rPr>
        <w:t xml:space="preserve"> He did not adopt their precise fix but did introduce what is now the quoted clause in committee and his proposal was </w:t>
      </w:r>
      <w:r w:rsidR="00AF724A" w:rsidRPr="00247C0A">
        <w:rPr>
          <w:rFonts w:ascii="Times New Roman" w:hAnsi="Times New Roman" w:cs="Times New Roman"/>
          <w:sz w:val="28"/>
          <w:szCs w:val="28"/>
        </w:rPr>
        <w:lastRenderedPageBreak/>
        <w:t>adopted and incorporated into the session law (the exact citation to chapter 82 has changed over time due to recodification of that chapter).</w:t>
      </w:r>
      <w:r w:rsidR="00D47193" w:rsidRPr="00247C0A">
        <w:rPr>
          <w:rStyle w:val="FootnoteReference"/>
          <w:rFonts w:ascii="Times New Roman" w:hAnsi="Times New Roman" w:cs="Times New Roman"/>
          <w:sz w:val="28"/>
          <w:szCs w:val="28"/>
        </w:rPr>
        <w:footnoteReference w:id="20"/>
      </w:r>
    </w:p>
    <w:p w14:paraId="101E303A" w14:textId="77777777" w:rsidR="00E37597" w:rsidRPr="00247C0A" w:rsidRDefault="00421847" w:rsidP="00C82727">
      <w:pPr>
        <w:rPr>
          <w:rFonts w:ascii="Times New Roman" w:hAnsi="Times New Roman" w:cs="Times New Roman"/>
          <w:sz w:val="28"/>
          <w:szCs w:val="28"/>
          <w:u w:val="single"/>
        </w:rPr>
      </w:pPr>
      <w:r w:rsidRPr="00247C0A">
        <w:rPr>
          <w:rFonts w:ascii="Times New Roman" w:hAnsi="Times New Roman" w:cs="Times New Roman"/>
          <w:sz w:val="28"/>
          <w:szCs w:val="28"/>
          <w:u w:val="single"/>
        </w:rPr>
        <w:t>Suggestions for collecting against insolvent landlords or landlords who hide their assets</w:t>
      </w:r>
    </w:p>
    <w:p w14:paraId="712CD73E" w14:textId="77777777" w:rsidR="00421847" w:rsidRPr="00247C0A" w:rsidRDefault="00421847" w:rsidP="00F44181">
      <w:pPr>
        <w:ind w:left="720"/>
        <w:rPr>
          <w:rFonts w:ascii="Times New Roman" w:hAnsi="Times New Roman" w:cs="Times New Roman"/>
          <w:sz w:val="28"/>
          <w:szCs w:val="28"/>
          <w:u w:val="single"/>
        </w:rPr>
      </w:pPr>
      <w:r w:rsidRPr="00247C0A">
        <w:rPr>
          <w:rFonts w:ascii="Times New Roman" w:hAnsi="Times New Roman" w:cs="Times New Roman"/>
          <w:sz w:val="28"/>
          <w:szCs w:val="28"/>
          <w:u w:val="single"/>
        </w:rPr>
        <w:t>Realtor landlords</w:t>
      </w:r>
    </w:p>
    <w:p w14:paraId="604A4BE0" w14:textId="4D920333" w:rsidR="00A7170D" w:rsidRPr="00247C0A" w:rsidRDefault="00A7170D" w:rsidP="00421847">
      <w:pPr>
        <w:rPr>
          <w:rFonts w:ascii="Times New Roman" w:hAnsi="Times New Roman" w:cs="Times New Roman"/>
          <w:sz w:val="28"/>
          <w:szCs w:val="28"/>
        </w:rPr>
      </w:pPr>
      <w:r w:rsidRPr="00247C0A">
        <w:rPr>
          <w:rFonts w:ascii="Times New Roman" w:hAnsi="Times New Roman" w:cs="Times New Roman"/>
          <w:sz w:val="28"/>
          <w:szCs w:val="28"/>
        </w:rPr>
        <w:t xml:space="preserve">If landlord is a </w:t>
      </w:r>
      <w:r w:rsidR="00421847" w:rsidRPr="00247C0A">
        <w:rPr>
          <w:rFonts w:ascii="Times New Roman" w:hAnsi="Times New Roman" w:cs="Times New Roman"/>
          <w:sz w:val="28"/>
          <w:szCs w:val="28"/>
        </w:rPr>
        <w:t xml:space="preserve">holder of a realtor’s </w:t>
      </w:r>
      <w:r w:rsidR="001C1C0D" w:rsidRPr="00247C0A">
        <w:rPr>
          <w:rFonts w:ascii="Times New Roman" w:hAnsi="Times New Roman" w:cs="Times New Roman"/>
          <w:sz w:val="28"/>
          <w:szCs w:val="28"/>
        </w:rPr>
        <w:t xml:space="preserve">license and </w:t>
      </w:r>
      <w:r w:rsidR="00421847" w:rsidRPr="00247C0A">
        <w:rPr>
          <w:rFonts w:ascii="Times New Roman" w:hAnsi="Times New Roman" w:cs="Times New Roman"/>
          <w:sz w:val="28"/>
          <w:szCs w:val="28"/>
        </w:rPr>
        <w:t>the t</w:t>
      </w:r>
      <w:r w:rsidRPr="00247C0A">
        <w:rPr>
          <w:rFonts w:ascii="Times New Roman" w:hAnsi="Times New Roman" w:cs="Times New Roman"/>
          <w:sz w:val="28"/>
          <w:szCs w:val="28"/>
        </w:rPr>
        <w:t xml:space="preserve">enant wins </w:t>
      </w:r>
      <w:r w:rsidR="001C1C0D" w:rsidRPr="00247C0A">
        <w:rPr>
          <w:rFonts w:ascii="Times New Roman" w:hAnsi="Times New Roman" w:cs="Times New Roman"/>
          <w:sz w:val="28"/>
          <w:szCs w:val="28"/>
        </w:rPr>
        <w:t xml:space="preserve">a </w:t>
      </w:r>
      <w:r w:rsidRPr="00247C0A">
        <w:rPr>
          <w:rFonts w:ascii="Times New Roman" w:hAnsi="Times New Roman" w:cs="Times New Roman"/>
          <w:sz w:val="28"/>
          <w:szCs w:val="28"/>
        </w:rPr>
        <w:t xml:space="preserve">judgment against </w:t>
      </w:r>
      <w:r w:rsidR="00421847" w:rsidRPr="00247C0A">
        <w:rPr>
          <w:rFonts w:ascii="Times New Roman" w:hAnsi="Times New Roman" w:cs="Times New Roman"/>
          <w:sz w:val="28"/>
          <w:szCs w:val="28"/>
        </w:rPr>
        <w:t xml:space="preserve">the </w:t>
      </w:r>
      <w:r w:rsidRPr="00247C0A">
        <w:rPr>
          <w:rFonts w:ascii="Times New Roman" w:hAnsi="Times New Roman" w:cs="Times New Roman"/>
          <w:sz w:val="28"/>
          <w:szCs w:val="28"/>
        </w:rPr>
        <w:t xml:space="preserve">licensee “on grounds of fraudulent, deceptive, or dishonest practices, or conversion of trust funds arising directly out of any transaction when the judgment debtor was licensed and performed acts for which a license is required”, </w:t>
      </w:r>
      <w:r w:rsidR="00421847" w:rsidRPr="00247C0A">
        <w:rPr>
          <w:rFonts w:ascii="Times New Roman" w:hAnsi="Times New Roman" w:cs="Times New Roman"/>
          <w:sz w:val="28"/>
          <w:szCs w:val="28"/>
        </w:rPr>
        <w:t xml:space="preserve">the tenant can </w:t>
      </w:r>
      <w:r w:rsidRPr="00247C0A">
        <w:rPr>
          <w:rFonts w:ascii="Times New Roman" w:hAnsi="Times New Roman" w:cs="Times New Roman"/>
          <w:sz w:val="28"/>
          <w:szCs w:val="28"/>
        </w:rPr>
        <w:t xml:space="preserve">make a claim under </w:t>
      </w:r>
      <w:r w:rsidR="00421847" w:rsidRPr="00247C0A">
        <w:rPr>
          <w:rFonts w:ascii="Times New Roman" w:hAnsi="Times New Roman" w:cs="Times New Roman"/>
          <w:sz w:val="28"/>
          <w:szCs w:val="28"/>
        </w:rPr>
        <w:t>the Department</w:t>
      </w:r>
      <w:r w:rsidRPr="00247C0A">
        <w:rPr>
          <w:rFonts w:ascii="Times New Roman" w:hAnsi="Times New Roman" w:cs="Times New Roman"/>
          <w:sz w:val="28"/>
          <w:szCs w:val="28"/>
        </w:rPr>
        <w:t xml:space="preserve"> of Commerce Recovery Fund. </w:t>
      </w:r>
      <w:hyperlink r:id="rId68" w:history="1">
        <w:r w:rsidRPr="00247C0A">
          <w:rPr>
            <w:rStyle w:val="Hyperlink"/>
            <w:rFonts w:ascii="Times New Roman" w:hAnsi="Times New Roman" w:cs="Times New Roman"/>
            <w:i/>
            <w:iCs/>
            <w:sz w:val="28"/>
            <w:szCs w:val="28"/>
          </w:rPr>
          <w:t xml:space="preserve">In Re </w:t>
        </w:r>
        <w:proofErr w:type="gramStart"/>
        <w:r w:rsidRPr="00247C0A">
          <w:rPr>
            <w:rStyle w:val="Hyperlink"/>
            <w:rFonts w:ascii="Times New Roman" w:hAnsi="Times New Roman" w:cs="Times New Roman"/>
            <w:i/>
            <w:iCs/>
            <w:sz w:val="28"/>
            <w:szCs w:val="28"/>
          </w:rPr>
          <w:t>Dziuk</w:t>
        </w:r>
        <w:r w:rsidRPr="00247C0A">
          <w:rPr>
            <w:rStyle w:val="Hyperlink"/>
            <w:rFonts w:ascii="Times New Roman" w:hAnsi="Times New Roman" w:cs="Times New Roman"/>
            <w:sz w:val="28"/>
            <w:szCs w:val="28"/>
          </w:rPr>
          <w:t>,  Minn.</w:t>
        </w:r>
        <w:proofErr w:type="gramEnd"/>
        <w:r w:rsidRPr="00247C0A">
          <w:rPr>
            <w:rStyle w:val="Hyperlink"/>
            <w:rFonts w:ascii="Times New Roman" w:hAnsi="Times New Roman" w:cs="Times New Roman"/>
            <w:sz w:val="28"/>
            <w:szCs w:val="28"/>
          </w:rPr>
          <w:t xml:space="preserve"> Ct. App. File No. A14-0686 (Jan. 12, 2015)</w:t>
        </w:r>
        <w:r w:rsidR="00421847" w:rsidRPr="00247C0A">
          <w:rPr>
            <w:rStyle w:val="Hyperlink"/>
            <w:rFonts w:ascii="Times New Roman" w:hAnsi="Times New Roman" w:cs="Times New Roman"/>
            <w:sz w:val="28"/>
            <w:szCs w:val="28"/>
          </w:rPr>
          <w:t xml:space="preserve"> </w:t>
        </w:r>
        <w:r w:rsidRPr="00247C0A">
          <w:rPr>
            <w:rStyle w:val="Hyperlink"/>
            <w:rFonts w:ascii="Times New Roman" w:hAnsi="Times New Roman" w:cs="Times New Roman"/>
            <w:sz w:val="28"/>
            <w:szCs w:val="28"/>
          </w:rPr>
          <w:t>(nonprecedential)</w:t>
        </w:r>
      </w:hyperlink>
      <w:r w:rsidR="00421847" w:rsidRPr="00247C0A">
        <w:rPr>
          <w:rFonts w:ascii="Times New Roman" w:hAnsi="Times New Roman" w:cs="Times New Roman"/>
          <w:sz w:val="28"/>
          <w:szCs w:val="28"/>
        </w:rPr>
        <w:t>. These situations are unusual but when they occur, the Fund pays valid claims and then seeks reimbursement from the licens</w:t>
      </w:r>
      <w:r w:rsidR="001C1C0D" w:rsidRPr="00247C0A">
        <w:rPr>
          <w:rFonts w:ascii="Times New Roman" w:hAnsi="Times New Roman" w:cs="Times New Roman"/>
          <w:sz w:val="28"/>
          <w:szCs w:val="28"/>
        </w:rPr>
        <w:t>e</w:t>
      </w:r>
      <w:r w:rsidR="00421847" w:rsidRPr="00247C0A">
        <w:rPr>
          <w:rFonts w:ascii="Times New Roman" w:hAnsi="Times New Roman" w:cs="Times New Roman"/>
          <w:sz w:val="28"/>
          <w:szCs w:val="28"/>
        </w:rPr>
        <w:t>e</w:t>
      </w:r>
      <w:r w:rsidR="001C1C0D" w:rsidRPr="00247C0A">
        <w:rPr>
          <w:rFonts w:ascii="Times New Roman" w:hAnsi="Times New Roman" w:cs="Times New Roman"/>
          <w:sz w:val="28"/>
          <w:szCs w:val="28"/>
        </w:rPr>
        <w:t>, whose license</w:t>
      </w:r>
      <w:r w:rsidR="00421847" w:rsidRPr="00247C0A">
        <w:rPr>
          <w:rFonts w:ascii="Times New Roman" w:hAnsi="Times New Roman" w:cs="Times New Roman"/>
          <w:sz w:val="28"/>
          <w:szCs w:val="28"/>
        </w:rPr>
        <w:t xml:space="preserve"> is suspended until the fund is reimbursed. This both collects money (surely the tenant’s goal) and puts “the hurt” on the landlord (possibly a goal of the tenant</w:t>
      </w:r>
      <w:r w:rsidR="00712467">
        <w:rPr>
          <w:rFonts w:ascii="Times New Roman" w:hAnsi="Times New Roman" w:cs="Times New Roman"/>
          <w:sz w:val="28"/>
          <w:szCs w:val="28"/>
        </w:rPr>
        <w:t>)</w:t>
      </w:r>
      <w:r w:rsidR="00421847" w:rsidRPr="00247C0A">
        <w:rPr>
          <w:rFonts w:ascii="Times New Roman" w:hAnsi="Times New Roman" w:cs="Times New Roman"/>
          <w:sz w:val="28"/>
          <w:szCs w:val="28"/>
        </w:rPr>
        <w:t>.</w:t>
      </w:r>
    </w:p>
    <w:p w14:paraId="1D4DAF03" w14:textId="77777777" w:rsidR="00F44181" w:rsidRPr="00247C0A" w:rsidRDefault="00421847" w:rsidP="00F44181">
      <w:pPr>
        <w:ind w:left="720"/>
        <w:rPr>
          <w:rFonts w:ascii="Times New Roman" w:hAnsi="Times New Roman" w:cs="Times New Roman"/>
          <w:sz w:val="28"/>
          <w:szCs w:val="28"/>
          <w:u w:val="single"/>
        </w:rPr>
      </w:pPr>
      <w:r w:rsidRPr="00247C0A">
        <w:rPr>
          <w:rFonts w:ascii="Times New Roman" w:hAnsi="Times New Roman" w:cs="Times New Roman"/>
          <w:sz w:val="28"/>
          <w:szCs w:val="28"/>
        </w:rPr>
        <w:t xml:space="preserve"> </w:t>
      </w:r>
      <w:r w:rsidR="00F44181" w:rsidRPr="00247C0A">
        <w:rPr>
          <w:rFonts w:ascii="Times New Roman" w:hAnsi="Times New Roman" w:cs="Times New Roman"/>
          <w:sz w:val="28"/>
          <w:szCs w:val="28"/>
          <w:u w:val="single"/>
        </w:rPr>
        <w:t>Discharge the debt</w:t>
      </w:r>
    </w:p>
    <w:p w14:paraId="483FC960" w14:textId="703B24DD" w:rsidR="00A7170D" w:rsidRPr="00247C0A" w:rsidRDefault="00F44181" w:rsidP="00F44181">
      <w:pPr>
        <w:rPr>
          <w:rFonts w:ascii="Times New Roman" w:hAnsi="Times New Roman" w:cs="Times New Roman"/>
          <w:sz w:val="28"/>
          <w:szCs w:val="28"/>
        </w:rPr>
      </w:pPr>
      <w:r w:rsidRPr="00247C0A">
        <w:rPr>
          <w:rFonts w:ascii="Times New Roman" w:hAnsi="Times New Roman" w:cs="Times New Roman"/>
          <w:sz w:val="28"/>
          <w:szCs w:val="28"/>
        </w:rPr>
        <w:t>Although counterintuitive, sometimes it makes sense for the tenant to write off the debt, telling the landlord that the debt is discharged as uncollectable, or to allow the debt to lapse by expiration of the statute of limitations. At that point, the u</w:t>
      </w:r>
      <w:r w:rsidR="00A7170D" w:rsidRPr="00247C0A">
        <w:rPr>
          <w:rFonts w:ascii="Times New Roman" w:hAnsi="Times New Roman" w:cs="Times New Roman"/>
          <w:sz w:val="28"/>
          <w:szCs w:val="28"/>
        </w:rPr>
        <w:t xml:space="preserve">ncollectable deposit (not the interest or penalties) </w:t>
      </w:r>
      <w:r w:rsidRPr="00247C0A">
        <w:rPr>
          <w:rFonts w:ascii="Times New Roman" w:hAnsi="Times New Roman" w:cs="Times New Roman"/>
          <w:sz w:val="28"/>
          <w:szCs w:val="28"/>
        </w:rPr>
        <w:t xml:space="preserve">becomes </w:t>
      </w:r>
      <w:r w:rsidR="00A7170D" w:rsidRPr="00247C0A">
        <w:rPr>
          <w:rFonts w:ascii="Times New Roman" w:hAnsi="Times New Roman" w:cs="Times New Roman"/>
          <w:sz w:val="28"/>
          <w:szCs w:val="28"/>
        </w:rPr>
        <w:t>deductible as</w:t>
      </w:r>
      <w:r w:rsidR="001C1C0D" w:rsidRPr="00247C0A">
        <w:rPr>
          <w:rFonts w:ascii="Times New Roman" w:hAnsi="Times New Roman" w:cs="Times New Roman"/>
          <w:sz w:val="28"/>
          <w:szCs w:val="28"/>
        </w:rPr>
        <w:t xml:space="preserve"> a</w:t>
      </w:r>
      <w:r w:rsidR="00A7170D" w:rsidRPr="00247C0A">
        <w:rPr>
          <w:rFonts w:ascii="Times New Roman" w:hAnsi="Times New Roman" w:cs="Times New Roman"/>
          <w:sz w:val="28"/>
          <w:szCs w:val="28"/>
        </w:rPr>
        <w:t xml:space="preserve"> short-term capital loss</w:t>
      </w:r>
      <w:r w:rsidRPr="00247C0A">
        <w:rPr>
          <w:rFonts w:ascii="Times New Roman" w:hAnsi="Times New Roman" w:cs="Times New Roman"/>
          <w:sz w:val="28"/>
          <w:szCs w:val="28"/>
        </w:rPr>
        <w:t xml:space="preserve"> on the tenant’s next tax return</w:t>
      </w:r>
      <w:r w:rsidR="00A7170D" w:rsidRPr="00247C0A">
        <w:rPr>
          <w:rFonts w:ascii="Times New Roman" w:hAnsi="Times New Roman" w:cs="Times New Roman"/>
          <w:sz w:val="28"/>
          <w:szCs w:val="28"/>
        </w:rPr>
        <w:t>.</w:t>
      </w:r>
      <w:r w:rsidR="00A7170D" w:rsidRPr="00247C0A">
        <w:rPr>
          <w:rFonts w:ascii="Times New Roman" w:hAnsi="Times New Roman" w:cs="Times New Roman"/>
          <w:i/>
          <w:iCs/>
          <w:sz w:val="28"/>
          <w:szCs w:val="28"/>
        </w:rPr>
        <w:t xml:space="preserve"> Stahl v. United States,</w:t>
      </w:r>
      <w:r w:rsidR="00A7170D" w:rsidRPr="00247C0A">
        <w:rPr>
          <w:rFonts w:ascii="Times New Roman" w:hAnsi="Times New Roman" w:cs="Times New Roman"/>
          <w:sz w:val="28"/>
          <w:szCs w:val="28"/>
        </w:rPr>
        <w:t xml:space="preserve"> 441 F.2d 999 (D.C. Cir.1970) (non-returned bailment deductible as bad debt under 26 U.S.C. § 166(d)). T</w:t>
      </w:r>
      <w:r w:rsidRPr="00247C0A">
        <w:rPr>
          <w:rFonts w:ascii="Times New Roman" w:hAnsi="Times New Roman" w:cs="Times New Roman"/>
          <w:sz w:val="28"/>
          <w:szCs w:val="28"/>
        </w:rPr>
        <w:t>he t</w:t>
      </w:r>
      <w:r w:rsidR="00A7170D" w:rsidRPr="00247C0A">
        <w:rPr>
          <w:rFonts w:ascii="Times New Roman" w:hAnsi="Times New Roman" w:cs="Times New Roman"/>
          <w:sz w:val="28"/>
          <w:szCs w:val="28"/>
        </w:rPr>
        <w:t xml:space="preserve">enant need not itemize to claim this deduction. </w:t>
      </w:r>
      <w:hyperlink r:id="rId69" w:history="1">
        <w:r w:rsidRPr="00247C0A">
          <w:rPr>
            <w:rStyle w:val="Hyperlink"/>
            <w:rFonts w:ascii="Times New Roman" w:hAnsi="Times New Roman" w:cs="Times New Roman"/>
            <w:i/>
            <w:iCs/>
            <w:sz w:val="28"/>
            <w:szCs w:val="28"/>
          </w:rPr>
          <w:t>IRS Publication 453</w:t>
        </w:r>
      </w:hyperlink>
      <w:r w:rsidRPr="00247C0A">
        <w:rPr>
          <w:rFonts w:ascii="Times New Roman" w:hAnsi="Times New Roman" w:cs="Times New Roman"/>
          <w:i/>
          <w:iCs/>
          <w:sz w:val="28"/>
          <w:szCs w:val="28"/>
        </w:rPr>
        <w:t xml:space="preserve">. </w:t>
      </w:r>
      <w:r w:rsidRPr="00247C0A">
        <w:rPr>
          <w:rFonts w:ascii="Times New Roman" w:hAnsi="Times New Roman" w:cs="Times New Roman"/>
          <w:iCs/>
          <w:sz w:val="28"/>
          <w:szCs w:val="28"/>
        </w:rPr>
        <w:t>The tenant/taxpayer uses</w:t>
      </w:r>
      <w:r w:rsidR="00A7170D" w:rsidRPr="00247C0A">
        <w:rPr>
          <w:rFonts w:ascii="Times New Roman" w:hAnsi="Times New Roman" w:cs="Times New Roman"/>
          <w:sz w:val="28"/>
          <w:szCs w:val="28"/>
        </w:rPr>
        <w:t xml:space="preserve"> IRS Schedule D</w:t>
      </w:r>
      <w:r w:rsidR="003541EC" w:rsidRPr="00247C0A">
        <w:rPr>
          <w:rFonts w:ascii="Times New Roman" w:hAnsi="Times New Roman" w:cs="Times New Roman"/>
          <w:sz w:val="28"/>
          <w:szCs w:val="28"/>
        </w:rPr>
        <w:t xml:space="preserve"> </w:t>
      </w:r>
      <w:r w:rsidR="00A7170D" w:rsidRPr="00247C0A">
        <w:rPr>
          <w:rFonts w:ascii="Times New Roman" w:hAnsi="Times New Roman" w:cs="Times New Roman"/>
          <w:sz w:val="28"/>
          <w:szCs w:val="28"/>
        </w:rPr>
        <w:t>via Form 8949.</w:t>
      </w:r>
      <w:r w:rsidR="00070334" w:rsidRPr="00247C0A">
        <w:rPr>
          <w:rStyle w:val="FootnoteReference"/>
          <w:rFonts w:ascii="Times New Roman" w:hAnsi="Times New Roman" w:cs="Times New Roman"/>
          <w:sz w:val="28"/>
          <w:szCs w:val="28"/>
        </w:rPr>
        <w:footnoteReference w:id="21"/>
      </w:r>
      <w:r w:rsidRPr="00247C0A">
        <w:rPr>
          <w:rFonts w:ascii="Times New Roman" w:hAnsi="Times New Roman" w:cs="Times New Roman"/>
          <w:sz w:val="28"/>
          <w:szCs w:val="28"/>
        </w:rPr>
        <w:t xml:space="preserve"> </w:t>
      </w:r>
      <w:r w:rsidR="002460E2" w:rsidRPr="00247C0A">
        <w:rPr>
          <w:rFonts w:ascii="Times New Roman" w:hAnsi="Times New Roman" w:cs="Times New Roman"/>
          <w:sz w:val="28"/>
          <w:szCs w:val="28"/>
        </w:rPr>
        <w:t xml:space="preserve">For a </w:t>
      </w:r>
      <w:r w:rsidR="002460E2" w:rsidRPr="00247C0A">
        <w:rPr>
          <w:rFonts w:ascii="Times New Roman" w:hAnsi="Times New Roman" w:cs="Times New Roman"/>
          <w:sz w:val="28"/>
          <w:szCs w:val="28"/>
        </w:rPr>
        <w:lastRenderedPageBreak/>
        <w:t xml:space="preserve">middle-income tenant (and </w:t>
      </w:r>
      <w:proofErr w:type="spellStart"/>
      <w:r w:rsidR="002460E2" w:rsidRPr="00247C0A">
        <w:rPr>
          <w:rFonts w:ascii="Times New Roman" w:hAnsi="Times New Roman" w:cs="Times New Roman"/>
          <w:sz w:val="28"/>
          <w:szCs w:val="28"/>
        </w:rPr>
        <w:t>more</w:t>
      </w:r>
      <w:r w:rsidR="00712467">
        <w:rPr>
          <w:rFonts w:ascii="Times New Roman" w:hAnsi="Times New Roman" w:cs="Times New Roman"/>
          <w:sz w:val="28"/>
          <w:szCs w:val="28"/>
        </w:rPr>
        <w:t>so</w:t>
      </w:r>
      <w:proofErr w:type="spellEnd"/>
      <w:r w:rsidR="002460E2" w:rsidRPr="00247C0A">
        <w:rPr>
          <w:rFonts w:ascii="Times New Roman" w:hAnsi="Times New Roman" w:cs="Times New Roman"/>
          <w:sz w:val="28"/>
          <w:szCs w:val="28"/>
        </w:rPr>
        <w:t xml:space="preserve"> so for an upper-income tenant), the tax benefits are significant.</w:t>
      </w:r>
      <w:r w:rsidR="002460E2" w:rsidRPr="00247C0A">
        <w:rPr>
          <w:rStyle w:val="FootnoteReference"/>
          <w:rFonts w:ascii="Times New Roman" w:hAnsi="Times New Roman" w:cs="Times New Roman"/>
          <w:sz w:val="28"/>
          <w:szCs w:val="28"/>
        </w:rPr>
        <w:footnoteReference w:id="22"/>
      </w:r>
    </w:p>
    <w:p w14:paraId="481593A7" w14:textId="77777777" w:rsidR="000211F4" w:rsidRPr="00247C0A" w:rsidRDefault="000211F4" w:rsidP="00F44181">
      <w:pPr>
        <w:rPr>
          <w:rFonts w:ascii="Times New Roman" w:hAnsi="Times New Roman" w:cs="Times New Roman"/>
          <w:sz w:val="28"/>
          <w:szCs w:val="28"/>
          <w:u w:val="single"/>
        </w:rPr>
      </w:pPr>
      <w:r w:rsidRPr="00247C0A">
        <w:rPr>
          <w:rFonts w:ascii="Times New Roman" w:hAnsi="Times New Roman" w:cs="Times New Roman"/>
          <w:sz w:val="28"/>
          <w:szCs w:val="28"/>
          <w:u w:val="single"/>
        </w:rPr>
        <w:t>Repeat offender landlords</w:t>
      </w:r>
    </w:p>
    <w:p w14:paraId="7ECE3E36" w14:textId="77777777" w:rsidR="000211F4" w:rsidRPr="00247C0A" w:rsidRDefault="000211F4" w:rsidP="00F44181">
      <w:pPr>
        <w:rPr>
          <w:rFonts w:ascii="Times New Roman" w:hAnsi="Times New Roman" w:cs="Times New Roman"/>
          <w:sz w:val="28"/>
          <w:szCs w:val="28"/>
        </w:rPr>
      </w:pPr>
      <w:r w:rsidRPr="00247C0A">
        <w:rPr>
          <w:rFonts w:ascii="Times New Roman" w:hAnsi="Times New Roman" w:cs="Times New Roman"/>
          <w:sz w:val="28"/>
          <w:szCs w:val="28"/>
        </w:rPr>
        <w:t>When the landlord screws not just one tenant but a series of tenants out of their deposit, three extra avenues suggest themselves:</w:t>
      </w:r>
    </w:p>
    <w:p w14:paraId="4935A7EF" w14:textId="77777777" w:rsidR="00A7170D" w:rsidRPr="00247C0A" w:rsidRDefault="000211F4" w:rsidP="000211F4">
      <w:pPr>
        <w:numPr>
          <w:ilvl w:val="0"/>
          <w:numId w:val="16"/>
        </w:numPr>
        <w:rPr>
          <w:rFonts w:ascii="Times New Roman" w:hAnsi="Times New Roman" w:cs="Times New Roman"/>
          <w:sz w:val="28"/>
          <w:szCs w:val="28"/>
        </w:rPr>
      </w:pPr>
      <w:r w:rsidRPr="00247C0A">
        <w:rPr>
          <w:rFonts w:ascii="Times New Roman" w:hAnsi="Times New Roman" w:cs="Times New Roman"/>
          <w:sz w:val="28"/>
          <w:szCs w:val="28"/>
        </w:rPr>
        <w:t>Bring a c</w:t>
      </w:r>
      <w:r w:rsidR="00A7170D" w:rsidRPr="00247C0A">
        <w:rPr>
          <w:rFonts w:ascii="Times New Roman" w:hAnsi="Times New Roman" w:cs="Times New Roman"/>
          <w:sz w:val="28"/>
          <w:szCs w:val="28"/>
        </w:rPr>
        <w:t>onsumer fraud case, which affords attorney fees and other relief</w:t>
      </w:r>
      <w:r w:rsidRPr="00247C0A">
        <w:rPr>
          <w:rFonts w:ascii="Times New Roman" w:hAnsi="Times New Roman" w:cs="Times New Roman"/>
          <w:sz w:val="28"/>
          <w:szCs w:val="28"/>
        </w:rPr>
        <w:t xml:space="preserve"> as well as the usual relief</w:t>
      </w:r>
      <w:r w:rsidR="00A7170D" w:rsidRPr="00247C0A">
        <w:rPr>
          <w:rFonts w:ascii="Times New Roman" w:hAnsi="Times New Roman" w:cs="Times New Roman"/>
          <w:sz w:val="28"/>
          <w:szCs w:val="28"/>
        </w:rPr>
        <w:t xml:space="preserve">. </w:t>
      </w:r>
      <w:hyperlink r:id="rId70" w:history="1">
        <w:r w:rsidR="00A7170D" w:rsidRPr="00247C0A">
          <w:rPr>
            <w:rStyle w:val="Hyperlink"/>
            <w:rFonts w:ascii="Times New Roman" w:hAnsi="Times New Roman" w:cs="Times New Roman"/>
            <w:i/>
            <w:iCs/>
            <w:sz w:val="28"/>
            <w:szCs w:val="28"/>
          </w:rPr>
          <w:t>Love v. Amsler,</w:t>
        </w:r>
        <w:r w:rsidR="00A7170D" w:rsidRPr="00247C0A">
          <w:rPr>
            <w:rStyle w:val="Hyperlink"/>
            <w:rFonts w:ascii="Times New Roman" w:hAnsi="Times New Roman" w:cs="Times New Roman"/>
            <w:sz w:val="28"/>
            <w:szCs w:val="28"/>
          </w:rPr>
          <w:t xml:space="preserve"> 441 N.W.2d 555 (Minn. Ct. App. 1989) (fn. 1)</w:t>
        </w:r>
      </w:hyperlink>
    </w:p>
    <w:p w14:paraId="2A7861A7" w14:textId="77777777" w:rsidR="00A7170D" w:rsidRPr="00247C0A" w:rsidRDefault="00A7170D" w:rsidP="000211F4">
      <w:pPr>
        <w:numPr>
          <w:ilvl w:val="0"/>
          <w:numId w:val="16"/>
        </w:numPr>
        <w:rPr>
          <w:rFonts w:ascii="Times New Roman" w:hAnsi="Times New Roman" w:cs="Times New Roman"/>
          <w:sz w:val="28"/>
          <w:szCs w:val="28"/>
        </w:rPr>
      </w:pPr>
      <w:r w:rsidRPr="00247C0A">
        <w:rPr>
          <w:rFonts w:ascii="Times New Roman" w:hAnsi="Times New Roman" w:cs="Times New Roman"/>
          <w:sz w:val="28"/>
          <w:szCs w:val="28"/>
        </w:rPr>
        <w:t xml:space="preserve">Refer </w:t>
      </w:r>
      <w:r w:rsidR="000211F4" w:rsidRPr="00247C0A">
        <w:rPr>
          <w:rFonts w:ascii="Times New Roman" w:hAnsi="Times New Roman" w:cs="Times New Roman"/>
          <w:sz w:val="28"/>
          <w:szCs w:val="28"/>
        </w:rPr>
        <w:t>the dispute to the Minnesota Attorney General, who might bring a similar case but on behalf of both the tenants and the State. E</w:t>
      </w:r>
      <w:r w:rsidRPr="00247C0A">
        <w:rPr>
          <w:rFonts w:ascii="Times New Roman" w:hAnsi="Times New Roman" w:cs="Times New Roman"/>
          <w:sz w:val="28"/>
          <w:szCs w:val="28"/>
        </w:rPr>
        <w:t>.g.</w:t>
      </w:r>
      <w:r w:rsidR="000211F4" w:rsidRPr="00247C0A">
        <w:rPr>
          <w:rFonts w:ascii="Times New Roman" w:hAnsi="Times New Roman" w:cs="Times New Roman"/>
          <w:sz w:val="28"/>
          <w:szCs w:val="28"/>
        </w:rPr>
        <w:t xml:space="preserve"> see</w:t>
      </w:r>
      <w:r w:rsidRPr="00247C0A">
        <w:rPr>
          <w:rFonts w:ascii="Times New Roman" w:hAnsi="Times New Roman" w:cs="Times New Roman"/>
          <w:sz w:val="28"/>
          <w:szCs w:val="28"/>
        </w:rPr>
        <w:t xml:space="preserve"> </w:t>
      </w:r>
      <w:hyperlink r:id="rId71" w:history="1">
        <w:r w:rsidRPr="00247C0A">
          <w:rPr>
            <w:rStyle w:val="Hyperlink"/>
            <w:rFonts w:ascii="Times New Roman" w:hAnsi="Times New Roman" w:cs="Times New Roman"/>
            <w:i/>
            <w:iCs/>
            <w:sz w:val="28"/>
            <w:szCs w:val="28"/>
          </w:rPr>
          <w:t>State of Minnesota by Hatch v. Alden</w:t>
        </w:r>
        <w:r w:rsidRPr="00247C0A">
          <w:rPr>
            <w:rStyle w:val="Hyperlink"/>
            <w:rFonts w:ascii="Times New Roman" w:hAnsi="Times New Roman" w:cs="Times New Roman"/>
            <w:sz w:val="28"/>
            <w:szCs w:val="28"/>
          </w:rPr>
          <w:t>, Chisago County District Court File No. 13-C5-04-000819 (complaint 5/19/2</w:t>
        </w:r>
        <w:r w:rsidR="000211F4" w:rsidRPr="00247C0A">
          <w:rPr>
            <w:rStyle w:val="Hyperlink"/>
            <w:rFonts w:ascii="Times New Roman" w:hAnsi="Times New Roman" w:cs="Times New Roman"/>
            <w:sz w:val="28"/>
            <w:szCs w:val="28"/>
          </w:rPr>
          <w:t>004</w:t>
        </w:r>
        <w:r w:rsidRPr="00247C0A">
          <w:rPr>
            <w:rStyle w:val="Hyperlink"/>
            <w:rFonts w:ascii="Times New Roman" w:hAnsi="Times New Roman" w:cs="Times New Roman"/>
            <w:sz w:val="28"/>
            <w:szCs w:val="28"/>
          </w:rPr>
          <w:t>)</w:t>
        </w:r>
      </w:hyperlink>
      <w:r w:rsidR="00055E52" w:rsidRPr="00247C0A">
        <w:rPr>
          <w:rFonts w:ascii="Times New Roman" w:hAnsi="Times New Roman" w:cs="Times New Roman"/>
          <w:color w:val="FF0000"/>
          <w:sz w:val="28"/>
          <w:szCs w:val="28"/>
        </w:rPr>
        <w:t>.</w:t>
      </w:r>
      <w:r w:rsidR="00D546D5" w:rsidRPr="00247C0A">
        <w:rPr>
          <w:rFonts w:ascii="Times New Roman" w:hAnsi="Times New Roman" w:cs="Times New Roman"/>
          <w:color w:val="FF0000"/>
          <w:sz w:val="28"/>
          <w:szCs w:val="28"/>
        </w:rPr>
        <w:t xml:space="preserve"> </w:t>
      </w:r>
      <w:r w:rsidR="00D546D5" w:rsidRPr="00247C0A">
        <w:rPr>
          <w:rFonts w:ascii="Times New Roman" w:hAnsi="Times New Roman" w:cs="Times New Roman"/>
          <w:sz w:val="28"/>
          <w:szCs w:val="28"/>
        </w:rPr>
        <w:t>The case eventually settled and deposits + interest were returned to the tenants.</w:t>
      </w:r>
    </w:p>
    <w:p w14:paraId="674717BC" w14:textId="77777777" w:rsidR="00A7170D" w:rsidRPr="00247C0A" w:rsidRDefault="000211F4" w:rsidP="000211F4">
      <w:pPr>
        <w:numPr>
          <w:ilvl w:val="0"/>
          <w:numId w:val="16"/>
        </w:numPr>
        <w:rPr>
          <w:rFonts w:ascii="Times New Roman" w:hAnsi="Times New Roman" w:cs="Times New Roman"/>
          <w:sz w:val="28"/>
          <w:szCs w:val="28"/>
        </w:rPr>
      </w:pPr>
      <w:r w:rsidRPr="00247C0A">
        <w:rPr>
          <w:rFonts w:ascii="Times New Roman" w:hAnsi="Times New Roman" w:cs="Times New Roman"/>
          <w:sz w:val="28"/>
          <w:szCs w:val="28"/>
        </w:rPr>
        <w:t xml:space="preserve">For </w:t>
      </w:r>
      <w:r w:rsidR="00A7170D" w:rsidRPr="00247C0A">
        <w:rPr>
          <w:rFonts w:ascii="Times New Roman" w:hAnsi="Times New Roman" w:cs="Times New Roman"/>
          <w:sz w:val="28"/>
          <w:szCs w:val="28"/>
          <w:u w:val="single"/>
        </w:rPr>
        <w:t>really</w:t>
      </w:r>
      <w:r w:rsidR="00A7170D" w:rsidRPr="00247C0A">
        <w:rPr>
          <w:rFonts w:ascii="Times New Roman" w:hAnsi="Times New Roman" w:cs="Times New Roman"/>
          <w:sz w:val="28"/>
          <w:szCs w:val="28"/>
        </w:rPr>
        <w:t xml:space="preserve"> bad faith</w:t>
      </w:r>
      <w:r w:rsidRPr="00247C0A">
        <w:rPr>
          <w:rFonts w:ascii="Times New Roman" w:hAnsi="Times New Roman" w:cs="Times New Roman"/>
          <w:sz w:val="28"/>
          <w:szCs w:val="28"/>
        </w:rPr>
        <w:t>, the local criminal prosecutor might prosecute the landlord. Punishment can include both prison and restitution, the latter putting money into the tenants’ pockets</w:t>
      </w:r>
      <w:r w:rsidR="00A7170D" w:rsidRPr="00247C0A">
        <w:rPr>
          <w:rFonts w:ascii="Times New Roman" w:hAnsi="Times New Roman" w:cs="Times New Roman"/>
          <w:sz w:val="28"/>
          <w:szCs w:val="28"/>
        </w:rPr>
        <w:t xml:space="preserve">. </w:t>
      </w:r>
      <w:hyperlink r:id="rId72" w:history="1">
        <w:r w:rsidR="00A7170D" w:rsidRPr="00247C0A">
          <w:rPr>
            <w:rStyle w:val="Hyperlink"/>
            <w:rFonts w:ascii="Times New Roman" w:hAnsi="Times New Roman" w:cs="Times New Roman"/>
            <w:i/>
            <w:iCs/>
            <w:sz w:val="28"/>
            <w:szCs w:val="28"/>
          </w:rPr>
          <w:t>US v. Miell</w:t>
        </w:r>
        <w:r w:rsidR="00A7170D" w:rsidRPr="00247C0A">
          <w:rPr>
            <w:rStyle w:val="Hyperlink"/>
            <w:rFonts w:ascii="Times New Roman" w:hAnsi="Times New Roman" w:cs="Times New Roman"/>
            <w:sz w:val="28"/>
            <w:szCs w:val="28"/>
          </w:rPr>
          <w:t>, 744 F. Supp. 2d 904 (ND Iowa 2010) (comparing Miell to landlord in Little Dorrit by Dickens)</w:t>
        </w:r>
      </w:hyperlink>
      <w:r w:rsidR="00DB406F" w:rsidRPr="00247C0A">
        <w:rPr>
          <w:rFonts w:ascii="Times New Roman" w:hAnsi="Times New Roman" w:cs="Times New Roman"/>
          <w:i/>
          <w:iCs/>
          <w:sz w:val="28"/>
          <w:szCs w:val="28"/>
        </w:rPr>
        <w:t>.</w:t>
      </w:r>
    </w:p>
    <w:p w14:paraId="2D667FDC" w14:textId="77777777" w:rsidR="00EF1798" w:rsidRPr="00247C0A" w:rsidRDefault="001F3639" w:rsidP="00B4422C">
      <w:pPr>
        <w:rPr>
          <w:rFonts w:ascii="Times New Roman" w:hAnsi="Times New Roman" w:cs="Times New Roman"/>
          <w:iCs/>
          <w:sz w:val="28"/>
          <w:szCs w:val="28"/>
          <w:u w:val="single"/>
        </w:rPr>
      </w:pPr>
      <w:r w:rsidRPr="00247C0A">
        <w:rPr>
          <w:rFonts w:ascii="Times New Roman" w:hAnsi="Times New Roman" w:cs="Times New Roman"/>
          <w:iCs/>
          <w:sz w:val="28"/>
          <w:szCs w:val="28"/>
          <w:u w:val="single"/>
        </w:rPr>
        <w:t xml:space="preserve">Tax rights and responsibilities </w:t>
      </w:r>
    </w:p>
    <w:p w14:paraId="5043D85D" w14:textId="77777777" w:rsidR="00B4422C" w:rsidRPr="00247C0A" w:rsidRDefault="00F42E2F" w:rsidP="00F42E2F">
      <w:pPr>
        <w:ind w:firstLine="720"/>
        <w:rPr>
          <w:rFonts w:ascii="Times New Roman" w:hAnsi="Times New Roman" w:cs="Times New Roman"/>
          <w:iCs/>
          <w:sz w:val="28"/>
          <w:szCs w:val="28"/>
          <w:u w:val="single"/>
        </w:rPr>
      </w:pPr>
      <w:r w:rsidRPr="00247C0A">
        <w:rPr>
          <w:rFonts w:ascii="Times New Roman" w:hAnsi="Times New Roman" w:cs="Times New Roman"/>
          <w:iCs/>
          <w:sz w:val="28"/>
          <w:szCs w:val="28"/>
          <w:u w:val="single"/>
        </w:rPr>
        <w:t>In</w:t>
      </w:r>
      <w:r w:rsidR="00B4422C" w:rsidRPr="00247C0A">
        <w:rPr>
          <w:rFonts w:ascii="Times New Roman" w:hAnsi="Times New Roman" w:cs="Times New Roman"/>
          <w:iCs/>
          <w:sz w:val="28"/>
          <w:szCs w:val="28"/>
          <w:u w:val="single"/>
        </w:rPr>
        <w:t xml:space="preserve">terest </w:t>
      </w:r>
      <w:r w:rsidR="001F3639" w:rsidRPr="00247C0A">
        <w:rPr>
          <w:rFonts w:ascii="Times New Roman" w:hAnsi="Times New Roman" w:cs="Times New Roman"/>
          <w:iCs/>
          <w:sz w:val="28"/>
          <w:szCs w:val="28"/>
          <w:u w:val="single"/>
        </w:rPr>
        <w:t>on deposit</w:t>
      </w:r>
    </w:p>
    <w:p w14:paraId="55D03F86" w14:textId="77777777" w:rsidR="00394427" w:rsidRPr="00247C0A" w:rsidRDefault="00481C3A" w:rsidP="00481C3A">
      <w:pPr>
        <w:rPr>
          <w:rFonts w:ascii="Times New Roman" w:hAnsi="Times New Roman" w:cs="Times New Roman"/>
          <w:iCs/>
          <w:sz w:val="28"/>
          <w:szCs w:val="28"/>
        </w:rPr>
      </w:pPr>
      <w:r w:rsidRPr="00247C0A">
        <w:rPr>
          <w:rFonts w:ascii="Times New Roman" w:hAnsi="Times New Roman" w:cs="Times New Roman"/>
          <w:iCs/>
          <w:sz w:val="28"/>
          <w:szCs w:val="28"/>
        </w:rPr>
        <w:t>The l</w:t>
      </w:r>
      <w:r w:rsidR="00B227A2" w:rsidRPr="00247C0A">
        <w:rPr>
          <w:rFonts w:ascii="Times New Roman" w:hAnsi="Times New Roman" w:cs="Times New Roman"/>
          <w:iCs/>
          <w:sz w:val="28"/>
          <w:szCs w:val="28"/>
        </w:rPr>
        <w:t xml:space="preserve">andlord will certainly deduct interest </w:t>
      </w:r>
      <w:r w:rsidRPr="00247C0A">
        <w:rPr>
          <w:rFonts w:ascii="Times New Roman" w:hAnsi="Times New Roman" w:cs="Times New Roman"/>
          <w:iCs/>
          <w:sz w:val="28"/>
          <w:szCs w:val="28"/>
        </w:rPr>
        <w:t xml:space="preserve">she paid </w:t>
      </w:r>
      <w:r w:rsidR="00B227A2" w:rsidRPr="00247C0A">
        <w:rPr>
          <w:rFonts w:ascii="Times New Roman" w:hAnsi="Times New Roman" w:cs="Times New Roman"/>
          <w:iCs/>
          <w:sz w:val="28"/>
          <w:szCs w:val="28"/>
        </w:rPr>
        <w:t>as a business expense</w:t>
      </w:r>
      <w:r w:rsidR="001F3639" w:rsidRPr="00247C0A">
        <w:rPr>
          <w:rFonts w:ascii="Times New Roman" w:hAnsi="Times New Roman" w:cs="Times New Roman"/>
          <w:iCs/>
          <w:sz w:val="28"/>
          <w:szCs w:val="28"/>
        </w:rPr>
        <w:t xml:space="preserve">, probably on line 13 of </w:t>
      </w:r>
      <w:hyperlink r:id="rId73" w:history="1">
        <w:r w:rsidR="001F3639" w:rsidRPr="00247C0A">
          <w:rPr>
            <w:rStyle w:val="Hyperlink"/>
            <w:rFonts w:ascii="Times New Roman" w:hAnsi="Times New Roman" w:cs="Times New Roman"/>
            <w:iCs/>
            <w:sz w:val="28"/>
            <w:szCs w:val="28"/>
          </w:rPr>
          <w:t>Schedule E</w:t>
        </w:r>
      </w:hyperlink>
      <w:r w:rsidR="0098017B" w:rsidRPr="00247C0A">
        <w:rPr>
          <w:rFonts w:ascii="Times New Roman" w:hAnsi="Times New Roman" w:cs="Times New Roman"/>
          <w:iCs/>
          <w:sz w:val="28"/>
          <w:szCs w:val="28"/>
        </w:rPr>
        <w:t xml:space="preserve"> on the federal return.</w:t>
      </w:r>
    </w:p>
    <w:p w14:paraId="3121EC6B" w14:textId="77777777" w:rsidR="00394427" w:rsidRPr="00247C0A" w:rsidRDefault="001F3639" w:rsidP="001F3639">
      <w:pPr>
        <w:rPr>
          <w:rFonts w:ascii="Times New Roman" w:hAnsi="Times New Roman" w:cs="Times New Roman"/>
          <w:iCs/>
          <w:sz w:val="28"/>
          <w:szCs w:val="28"/>
        </w:rPr>
      </w:pPr>
      <w:r w:rsidRPr="00247C0A">
        <w:rPr>
          <w:rFonts w:ascii="Times New Roman" w:hAnsi="Times New Roman" w:cs="Times New Roman"/>
          <w:iCs/>
          <w:sz w:val="28"/>
          <w:szCs w:val="28"/>
        </w:rPr>
        <w:t>Anecdotal evidence indicates that few t</w:t>
      </w:r>
      <w:r w:rsidR="00B227A2" w:rsidRPr="00247C0A">
        <w:rPr>
          <w:rFonts w:ascii="Times New Roman" w:hAnsi="Times New Roman" w:cs="Times New Roman"/>
          <w:iCs/>
          <w:sz w:val="28"/>
          <w:szCs w:val="28"/>
        </w:rPr>
        <w:t>enant</w:t>
      </w:r>
      <w:r w:rsidRPr="00247C0A">
        <w:rPr>
          <w:rFonts w:ascii="Times New Roman" w:hAnsi="Times New Roman" w:cs="Times New Roman"/>
          <w:iCs/>
          <w:sz w:val="28"/>
          <w:szCs w:val="28"/>
        </w:rPr>
        <w:t xml:space="preserve">s report </w:t>
      </w:r>
      <w:r w:rsidR="000B4FBE" w:rsidRPr="00247C0A">
        <w:rPr>
          <w:rFonts w:ascii="Times New Roman" w:hAnsi="Times New Roman" w:cs="Times New Roman"/>
          <w:iCs/>
          <w:sz w:val="28"/>
          <w:szCs w:val="28"/>
        </w:rPr>
        <w:t>the</w:t>
      </w:r>
      <w:r w:rsidRPr="00247C0A">
        <w:rPr>
          <w:rFonts w:ascii="Times New Roman" w:hAnsi="Times New Roman" w:cs="Times New Roman"/>
          <w:iCs/>
          <w:sz w:val="28"/>
          <w:szCs w:val="28"/>
        </w:rPr>
        <w:t xml:space="preserve"> interest </w:t>
      </w:r>
      <w:r w:rsidR="000B4FBE" w:rsidRPr="00247C0A">
        <w:rPr>
          <w:rFonts w:ascii="Times New Roman" w:hAnsi="Times New Roman" w:cs="Times New Roman"/>
          <w:iCs/>
          <w:sz w:val="28"/>
          <w:szCs w:val="28"/>
        </w:rPr>
        <w:t xml:space="preserve">they earned </w:t>
      </w:r>
      <w:r w:rsidRPr="00247C0A">
        <w:rPr>
          <w:rFonts w:ascii="Times New Roman" w:hAnsi="Times New Roman" w:cs="Times New Roman"/>
          <w:iCs/>
          <w:sz w:val="28"/>
          <w:szCs w:val="28"/>
        </w:rPr>
        <w:t>on deposits.</w:t>
      </w:r>
      <w:r w:rsidR="0098017B" w:rsidRPr="00247C0A">
        <w:rPr>
          <w:rStyle w:val="FootnoteReference"/>
          <w:rFonts w:ascii="Times New Roman" w:hAnsi="Times New Roman" w:cs="Times New Roman"/>
          <w:iCs/>
          <w:sz w:val="28"/>
          <w:szCs w:val="28"/>
        </w:rPr>
        <w:footnoteReference w:id="23"/>
      </w:r>
      <w:r w:rsidRPr="00247C0A">
        <w:rPr>
          <w:rFonts w:ascii="Times New Roman" w:hAnsi="Times New Roman" w:cs="Times New Roman"/>
          <w:iCs/>
          <w:sz w:val="28"/>
          <w:szCs w:val="28"/>
        </w:rPr>
        <w:t xml:space="preserve"> However there is little doubt they</w:t>
      </w:r>
      <w:r w:rsidR="00B227A2" w:rsidRPr="00247C0A">
        <w:rPr>
          <w:rFonts w:ascii="Times New Roman" w:hAnsi="Times New Roman" w:cs="Times New Roman"/>
          <w:iCs/>
          <w:sz w:val="28"/>
          <w:szCs w:val="28"/>
        </w:rPr>
        <w:t xml:space="preserve"> should</w:t>
      </w:r>
      <w:r w:rsidRPr="00247C0A">
        <w:rPr>
          <w:rFonts w:ascii="Times New Roman" w:hAnsi="Times New Roman" w:cs="Times New Roman"/>
          <w:iCs/>
          <w:sz w:val="28"/>
          <w:szCs w:val="28"/>
        </w:rPr>
        <w:t>.</w:t>
      </w:r>
      <w:r w:rsidR="001F237B" w:rsidRPr="00247C0A">
        <w:rPr>
          <w:rStyle w:val="FootnoteReference"/>
          <w:rFonts w:ascii="Times New Roman" w:hAnsi="Times New Roman" w:cs="Times New Roman"/>
          <w:iCs/>
          <w:sz w:val="28"/>
          <w:szCs w:val="28"/>
        </w:rPr>
        <w:footnoteReference w:id="24"/>
      </w:r>
      <w:r w:rsidR="00D71CFD" w:rsidRPr="00247C0A">
        <w:rPr>
          <w:rFonts w:ascii="Times New Roman" w:hAnsi="Times New Roman" w:cs="Times New Roman"/>
          <w:iCs/>
          <w:sz w:val="28"/>
          <w:szCs w:val="28"/>
        </w:rPr>
        <w:t xml:space="preserve"> It might be enough that the </w:t>
      </w:r>
      <w:r w:rsidR="00D71CFD" w:rsidRPr="00247C0A">
        <w:rPr>
          <w:rFonts w:ascii="Times New Roman" w:hAnsi="Times New Roman" w:cs="Times New Roman"/>
          <w:iCs/>
          <w:sz w:val="28"/>
          <w:szCs w:val="28"/>
        </w:rPr>
        <w:lastRenderedPageBreak/>
        <w:t>landlord credited the interest against claims for damage.</w:t>
      </w:r>
      <w:r w:rsidRPr="00247C0A">
        <w:rPr>
          <w:rFonts w:ascii="Times New Roman" w:hAnsi="Times New Roman" w:cs="Times New Roman"/>
          <w:iCs/>
          <w:sz w:val="28"/>
          <w:szCs w:val="28"/>
        </w:rPr>
        <w:t xml:space="preserve"> </w:t>
      </w:r>
      <w:hyperlink r:id="rId74" w:history="1">
        <w:proofErr w:type="spellStart"/>
        <w:r w:rsidR="00B227A2" w:rsidRPr="00247C0A">
          <w:rPr>
            <w:rStyle w:val="Hyperlink"/>
            <w:rFonts w:ascii="Times New Roman" w:hAnsi="Times New Roman" w:cs="Times New Roman"/>
            <w:iCs/>
            <w:sz w:val="28"/>
            <w:szCs w:val="28"/>
          </w:rPr>
          <w:t>Helvering</w:t>
        </w:r>
        <w:proofErr w:type="spellEnd"/>
        <w:r w:rsidR="00B227A2" w:rsidRPr="00247C0A">
          <w:rPr>
            <w:rStyle w:val="Hyperlink"/>
            <w:rFonts w:ascii="Times New Roman" w:hAnsi="Times New Roman" w:cs="Times New Roman"/>
            <w:iCs/>
            <w:sz w:val="28"/>
            <w:szCs w:val="28"/>
          </w:rPr>
          <w:t xml:space="preserve"> v. Midland Mut. Life Ins. Co., 300 U. S. 216 (1937) (interest is income, even if rece</w:t>
        </w:r>
        <w:r w:rsidRPr="00247C0A">
          <w:rPr>
            <w:rStyle w:val="Hyperlink"/>
            <w:rFonts w:ascii="Times New Roman" w:hAnsi="Times New Roman" w:cs="Times New Roman"/>
            <w:iCs/>
            <w:sz w:val="28"/>
            <w:szCs w:val="28"/>
          </w:rPr>
          <w:t>ived only as a credit</w:t>
        </w:r>
        <w:r w:rsidR="00B227A2" w:rsidRPr="00247C0A">
          <w:rPr>
            <w:rStyle w:val="Hyperlink"/>
            <w:rFonts w:ascii="Times New Roman" w:hAnsi="Times New Roman" w:cs="Times New Roman"/>
            <w:iCs/>
            <w:sz w:val="28"/>
            <w:szCs w:val="28"/>
          </w:rPr>
          <w:t>)</w:t>
        </w:r>
      </w:hyperlink>
      <w:r w:rsidRPr="00247C0A">
        <w:rPr>
          <w:rFonts w:ascii="Times New Roman" w:hAnsi="Times New Roman" w:cs="Times New Roman"/>
          <w:iCs/>
          <w:sz w:val="28"/>
          <w:szCs w:val="28"/>
        </w:rPr>
        <w:t xml:space="preserve">. </w:t>
      </w:r>
      <w:proofErr w:type="gramStart"/>
      <w:r w:rsidR="00D71CFD" w:rsidRPr="00247C0A">
        <w:rPr>
          <w:rFonts w:ascii="Times New Roman" w:hAnsi="Times New Roman" w:cs="Times New Roman"/>
          <w:iCs/>
          <w:sz w:val="28"/>
          <w:szCs w:val="28"/>
        </w:rPr>
        <w:t>Certainly</w:t>
      </w:r>
      <w:proofErr w:type="gramEnd"/>
      <w:r w:rsidR="00D71CFD" w:rsidRPr="00247C0A">
        <w:rPr>
          <w:rFonts w:ascii="Times New Roman" w:hAnsi="Times New Roman" w:cs="Times New Roman"/>
          <w:iCs/>
          <w:sz w:val="28"/>
          <w:szCs w:val="28"/>
        </w:rPr>
        <w:t xml:space="preserve"> if the interest is paid and received it is reportable income.</w:t>
      </w:r>
      <w:r w:rsidRPr="00247C0A">
        <w:rPr>
          <w:rFonts w:ascii="Times New Roman" w:hAnsi="Times New Roman" w:cs="Times New Roman"/>
          <w:iCs/>
          <w:sz w:val="28"/>
          <w:szCs w:val="28"/>
        </w:rPr>
        <w:t xml:space="preserve"> </w:t>
      </w:r>
      <w:hyperlink r:id="rId75" w:history="1">
        <w:r w:rsidRPr="00247C0A">
          <w:rPr>
            <w:rStyle w:val="Hyperlink"/>
            <w:rFonts w:ascii="Times New Roman" w:hAnsi="Times New Roman" w:cs="Times New Roman"/>
            <w:i/>
            <w:iCs/>
            <w:sz w:val="28"/>
            <w:szCs w:val="28"/>
          </w:rPr>
          <w:t>Commissioner v. Glenshaw Glass Co.</w:t>
        </w:r>
        <w:r w:rsidRPr="00247C0A">
          <w:rPr>
            <w:rStyle w:val="Hyperlink"/>
            <w:rFonts w:ascii="Times New Roman" w:hAnsi="Times New Roman" w:cs="Times New Roman"/>
            <w:iCs/>
            <w:sz w:val="28"/>
            <w:szCs w:val="28"/>
          </w:rPr>
          <w:t>, 348 U.S. 426, 431 (1955) (</w:t>
        </w:r>
        <w:r w:rsidR="00D71CFD" w:rsidRPr="00247C0A">
          <w:rPr>
            <w:rStyle w:val="Hyperlink"/>
            <w:rFonts w:ascii="Times New Roman" w:hAnsi="Times New Roman" w:cs="Times New Roman"/>
            <w:iCs/>
            <w:sz w:val="28"/>
            <w:szCs w:val="28"/>
          </w:rPr>
          <w:t>income includes all</w:t>
        </w:r>
        <w:r w:rsidRPr="00247C0A">
          <w:rPr>
            <w:rStyle w:val="Hyperlink"/>
            <w:rFonts w:ascii="Times New Roman" w:hAnsi="Times New Roman" w:cs="Times New Roman"/>
            <w:iCs/>
            <w:sz w:val="28"/>
            <w:szCs w:val="28"/>
          </w:rPr>
          <w:t xml:space="preserve"> "accessions to wealth, clearly realized, and over which the taxpa</w:t>
        </w:r>
        <w:r w:rsidR="00D71CFD" w:rsidRPr="00247C0A">
          <w:rPr>
            <w:rStyle w:val="Hyperlink"/>
            <w:rFonts w:ascii="Times New Roman" w:hAnsi="Times New Roman" w:cs="Times New Roman"/>
            <w:iCs/>
            <w:sz w:val="28"/>
            <w:szCs w:val="28"/>
          </w:rPr>
          <w:t>yers have complete dominion”)</w:t>
        </w:r>
      </w:hyperlink>
      <w:r w:rsidRPr="00247C0A">
        <w:rPr>
          <w:rFonts w:ascii="Times New Roman" w:hAnsi="Times New Roman" w:cs="Times New Roman"/>
          <w:iCs/>
          <w:sz w:val="28"/>
          <w:szCs w:val="28"/>
        </w:rPr>
        <w:t>.</w:t>
      </w:r>
      <w:r w:rsidR="00D71CFD" w:rsidRPr="00247C0A">
        <w:rPr>
          <w:rFonts w:ascii="Times New Roman" w:hAnsi="Times New Roman" w:cs="Times New Roman"/>
          <w:iCs/>
          <w:sz w:val="28"/>
          <w:szCs w:val="28"/>
        </w:rPr>
        <w:t xml:space="preserve"> The </w:t>
      </w:r>
      <w:r w:rsidR="00D71CFD" w:rsidRPr="00247C0A">
        <w:rPr>
          <w:rFonts w:ascii="Times New Roman" w:hAnsi="Times New Roman" w:cs="Times New Roman"/>
          <w:i/>
          <w:iCs/>
          <w:sz w:val="28"/>
          <w:szCs w:val="28"/>
        </w:rPr>
        <w:t>Glenshaw Glass</w:t>
      </w:r>
      <w:r w:rsidR="00D71CFD" w:rsidRPr="00247C0A">
        <w:rPr>
          <w:rFonts w:ascii="Times New Roman" w:hAnsi="Times New Roman" w:cs="Times New Roman"/>
          <w:iCs/>
          <w:sz w:val="28"/>
          <w:szCs w:val="28"/>
        </w:rPr>
        <w:t xml:space="preserve"> court cited </w:t>
      </w:r>
      <w:proofErr w:type="spellStart"/>
      <w:r w:rsidR="00D71CFD" w:rsidRPr="00247C0A">
        <w:rPr>
          <w:rFonts w:ascii="Times New Roman" w:hAnsi="Times New Roman" w:cs="Times New Roman"/>
          <w:i/>
          <w:iCs/>
          <w:sz w:val="28"/>
          <w:szCs w:val="28"/>
        </w:rPr>
        <w:t>Helvering</w:t>
      </w:r>
      <w:proofErr w:type="spellEnd"/>
      <w:r w:rsidR="00D71CFD" w:rsidRPr="00247C0A">
        <w:rPr>
          <w:rFonts w:ascii="Times New Roman" w:hAnsi="Times New Roman" w:cs="Times New Roman"/>
          <w:iCs/>
          <w:sz w:val="28"/>
          <w:szCs w:val="28"/>
        </w:rPr>
        <w:t xml:space="preserve">, </w:t>
      </w:r>
      <w:hyperlink r:id="rId76" w:history="1">
        <w:r w:rsidR="00D71CFD" w:rsidRPr="00247C0A">
          <w:rPr>
            <w:rStyle w:val="Hyperlink"/>
            <w:rFonts w:ascii="Times New Roman" w:hAnsi="Times New Roman" w:cs="Times New Roman"/>
            <w:i/>
            <w:iCs/>
            <w:sz w:val="28"/>
            <w:szCs w:val="28"/>
          </w:rPr>
          <w:t>id</w:t>
        </w:r>
        <w:r w:rsidR="00D71CFD" w:rsidRPr="00247C0A">
          <w:rPr>
            <w:rStyle w:val="Hyperlink"/>
            <w:rFonts w:ascii="Times New Roman" w:hAnsi="Times New Roman" w:cs="Times New Roman"/>
            <w:iCs/>
            <w:sz w:val="28"/>
            <w:szCs w:val="28"/>
          </w:rPr>
          <w:t>. at 429</w:t>
        </w:r>
      </w:hyperlink>
      <w:r w:rsidR="00D71CFD" w:rsidRPr="00247C0A">
        <w:rPr>
          <w:rFonts w:ascii="Times New Roman" w:hAnsi="Times New Roman" w:cs="Times New Roman"/>
          <w:iCs/>
          <w:sz w:val="28"/>
          <w:szCs w:val="28"/>
        </w:rPr>
        <w:t>.</w:t>
      </w:r>
    </w:p>
    <w:p w14:paraId="7D779E8F" w14:textId="77777777" w:rsidR="00EF1798" w:rsidRPr="00247C0A" w:rsidRDefault="00EF1798" w:rsidP="001F3639">
      <w:pPr>
        <w:rPr>
          <w:rFonts w:ascii="Times New Roman" w:hAnsi="Times New Roman" w:cs="Times New Roman"/>
          <w:iCs/>
          <w:sz w:val="28"/>
          <w:szCs w:val="28"/>
          <w:u w:val="single"/>
        </w:rPr>
      </w:pPr>
      <w:r w:rsidRPr="00247C0A">
        <w:rPr>
          <w:rFonts w:ascii="Times New Roman" w:hAnsi="Times New Roman" w:cs="Times New Roman"/>
          <w:iCs/>
          <w:sz w:val="28"/>
          <w:szCs w:val="28"/>
        </w:rPr>
        <w:tab/>
      </w:r>
      <w:r w:rsidR="00F42E2F" w:rsidRPr="00247C0A">
        <w:rPr>
          <w:rFonts w:ascii="Times New Roman" w:hAnsi="Times New Roman" w:cs="Times New Roman"/>
          <w:iCs/>
          <w:sz w:val="28"/>
          <w:szCs w:val="28"/>
          <w:u w:val="single"/>
        </w:rPr>
        <w:t>Ba</w:t>
      </w:r>
      <w:r w:rsidRPr="00247C0A">
        <w:rPr>
          <w:rFonts w:ascii="Times New Roman" w:hAnsi="Times New Roman" w:cs="Times New Roman"/>
          <w:iCs/>
          <w:sz w:val="28"/>
          <w:szCs w:val="28"/>
          <w:u w:val="single"/>
        </w:rPr>
        <w:t>d-faith</w:t>
      </w:r>
      <w:r w:rsidR="00DC07FB" w:rsidRPr="00247C0A">
        <w:rPr>
          <w:rFonts w:ascii="Times New Roman" w:hAnsi="Times New Roman" w:cs="Times New Roman"/>
          <w:iCs/>
          <w:sz w:val="28"/>
          <w:szCs w:val="28"/>
          <w:u w:val="single"/>
        </w:rPr>
        <w:t xml:space="preserve"> and doubling-penalty</w:t>
      </w:r>
      <w:r w:rsidRPr="00247C0A">
        <w:rPr>
          <w:rFonts w:ascii="Times New Roman" w:hAnsi="Times New Roman" w:cs="Times New Roman"/>
          <w:iCs/>
          <w:sz w:val="28"/>
          <w:szCs w:val="28"/>
          <w:u w:val="single"/>
        </w:rPr>
        <w:t xml:space="preserve"> damages</w:t>
      </w:r>
    </w:p>
    <w:p w14:paraId="710ABE0C" w14:textId="77777777" w:rsidR="009E08B8" w:rsidRPr="00247C0A" w:rsidRDefault="00EF1798" w:rsidP="009E08B8">
      <w:pPr>
        <w:rPr>
          <w:rFonts w:ascii="Times New Roman" w:hAnsi="Times New Roman" w:cs="Times New Roman"/>
          <w:iCs/>
          <w:sz w:val="28"/>
          <w:szCs w:val="28"/>
        </w:rPr>
      </w:pPr>
      <w:r w:rsidRPr="00247C0A">
        <w:rPr>
          <w:rFonts w:ascii="Times New Roman" w:hAnsi="Times New Roman" w:cs="Times New Roman"/>
          <w:iCs/>
          <w:sz w:val="28"/>
          <w:szCs w:val="28"/>
        </w:rPr>
        <w:t xml:space="preserve">Money collected as “punitive damages”, which is the phrase used in the bad-faith subdivision of </w:t>
      </w:r>
      <w:r w:rsidRPr="00247C0A">
        <w:rPr>
          <w:rFonts w:ascii="Times New Roman" w:hAnsi="Times New Roman" w:cs="Times New Roman"/>
          <w:sz w:val="28"/>
          <w:szCs w:val="28"/>
        </w:rPr>
        <w:t xml:space="preserve">Minn. Stat. § 504B.178, are taxable. </w:t>
      </w:r>
      <w:hyperlink r:id="rId77" w:history="1">
        <w:r w:rsidR="00DC07FB" w:rsidRPr="00247C0A">
          <w:rPr>
            <w:rStyle w:val="Hyperlink"/>
            <w:rFonts w:ascii="Times New Roman" w:hAnsi="Times New Roman" w:cs="Times New Roman"/>
            <w:iCs/>
            <w:sz w:val="28"/>
            <w:szCs w:val="28"/>
          </w:rPr>
          <w:t>26 C.F.R. 1.61-14</w:t>
        </w:r>
      </w:hyperlink>
      <w:r w:rsidR="00055E52" w:rsidRPr="00247C0A">
        <w:rPr>
          <w:rFonts w:ascii="Times New Roman" w:hAnsi="Times New Roman" w:cs="Times New Roman"/>
          <w:iCs/>
          <w:sz w:val="28"/>
          <w:szCs w:val="28"/>
        </w:rPr>
        <w:t xml:space="preserve">. </w:t>
      </w:r>
      <w:r w:rsidRPr="00247C0A">
        <w:rPr>
          <w:rFonts w:ascii="Times New Roman" w:hAnsi="Times New Roman" w:cs="Times New Roman"/>
          <w:sz w:val="28"/>
          <w:szCs w:val="28"/>
        </w:rPr>
        <w:t>They are reportable on line 21</w:t>
      </w:r>
      <w:r w:rsidR="00DC07FB" w:rsidRPr="00247C0A">
        <w:rPr>
          <w:rFonts w:ascii="Times New Roman" w:hAnsi="Times New Roman" w:cs="Times New Roman"/>
          <w:sz w:val="28"/>
          <w:szCs w:val="28"/>
        </w:rPr>
        <w:t xml:space="preserve"> of Form 1040</w:t>
      </w:r>
      <w:r w:rsidRPr="00247C0A">
        <w:rPr>
          <w:rFonts w:ascii="Times New Roman" w:hAnsi="Times New Roman" w:cs="Times New Roman"/>
          <w:sz w:val="28"/>
          <w:szCs w:val="28"/>
        </w:rPr>
        <w:t xml:space="preserve"> as “</w:t>
      </w:r>
      <w:r w:rsidR="00DC07FB" w:rsidRPr="00247C0A">
        <w:rPr>
          <w:rFonts w:ascii="Times New Roman" w:hAnsi="Times New Roman" w:cs="Times New Roman"/>
          <w:sz w:val="28"/>
          <w:szCs w:val="28"/>
        </w:rPr>
        <w:t>Other Income”</w:t>
      </w:r>
      <w:r w:rsidRPr="00247C0A">
        <w:rPr>
          <w:rFonts w:ascii="Times New Roman" w:hAnsi="Times New Roman" w:cs="Times New Roman"/>
          <w:sz w:val="28"/>
          <w:szCs w:val="28"/>
        </w:rPr>
        <w:t xml:space="preserve">. </w:t>
      </w:r>
      <w:hyperlink r:id="rId78" w:history="1">
        <w:r w:rsidRPr="00247C0A">
          <w:rPr>
            <w:rStyle w:val="Hyperlink"/>
            <w:rFonts w:ascii="Times New Roman" w:hAnsi="Times New Roman" w:cs="Times New Roman"/>
            <w:sz w:val="28"/>
            <w:szCs w:val="28"/>
          </w:rPr>
          <w:t>IRS Publication 4345 at 2</w:t>
        </w:r>
      </w:hyperlink>
      <w:r w:rsidRPr="00247C0A">
        <w:rPr>
          <w:rFonts w:ascii="Times New Roman" w:hAnsi="Times New Roman" w:cs="Times New Roman"/>
          <w:sz w:val="28"/>
          <w:szCs w:val="28"/>
        </w:rPr>
        <w:t xml:space="preserve">.  </w:t>
      </w:r>
      <w:r w:rsidRPr="00247C0A">
        <w:rPr>
          <w:rFonts w:ascii="Times New Roman" w:hAnsi="Times New Roman" w:cs="Times New Roman"/>
          <w:iCs/>
          <w:sz w:val="28"/>
          <w:szCs w:val="28"/>
        </w:rPr>
        <w:t xml:space="preserve">Money collected for the doubling penalty under subdivision 4 </w:t>
      </w:r>
      <w:r w:rsidR="00DC07FB" w:rsidRPr="00247C0A">
        <w:rPr>
          <w:rFonts w:ascii="Times New Roman" w:hAnsi="Times New Roman" w:cs="Times New Roman"/>
          <w:iCs/>
          <w:sz w:val="28"/>
          <w:szCs w:val="28"/>
        </w:rPr>
        <w:t>is</w:t>
      </w:r>
      <w:r w:rsidRPr="00247C0A">
        <w:rPr>
          <w:rFonts w:ascii="Times New Roman" w:hAnsi="Times New Roman" w:cs="Times New Roman"/>
          <w:iCs/>
          <w:sz w:val="28"/>
          <w:szCs w:val="28"/>
        </w:rPr>
        <w:t xml:space="preserve"> presumably a form of “exemplary” damages </w:t>
      </w:r>
      <w:r w:rsidR="00631557" w:rsidRPr="00247C0A">
        <w:rPr>
          <w:rFonts w:ascii="Times New Roman" w:hAnsi="Times New Roman" w:cs="Times New Roman"/>
          <w:iCs/>
          <w:sz w:val="28"/>
          <w:szCs w:val="28"/>
        </w:rPr>
        <w:t>and is</w:t>
      </w:r>
      <w:r w:rsidRPr="00247C0A">
        <w:rPr>
          <w:rFonts w:ascii="Times New Roman" w:hAnsi="Times New Roman" w:cs="Times New Roman"/>
          <w:iCs/>
          <w:sz w:val="28"/>
          <w:szCs w:val="28"/>
        </w:rPr>
        <w:t xml:space="preserve"> taxable as well. </w:t>
      </w:r>
      <w:hyperlink r:id="rId79" w:history="1">
        <w:r w:rsidRPr="00247C0A">
          <w:rPr>
            <w:rStyle w:val="Hyperlink"/>
            <w:rFonts w:ascii="Times New Roman" w:hAnsi="Times New Roman" w:cs="Times New Roman"/>
            <w:iCs/>
            <w:sz w:val="28"/>
            <w:szCs w:val="28"/>
          </w:rPr>
          <w:t>26 C.F.R. 1.</w:t>
        </w:r>
        <w:r w:rsidR="00DC07FB" w:rsidRPr="00247C0A">
          <w:rPr>
            <w:rStyle w:val="Hyperlink"/>
            <w:rFonts w:ascii="Times New Roman" w:hAnsi="Times New Roman" w:cs="Times New Roman"/>
            <w:iCs/>
            <w:sz w:val="28"/>
            <w:szCs w:val="28"/>
          </w:rPr>
          <w:t>61-14</w:t>
        </w:r>
      </w:hyperlink>
      <w:r w:rsidR="00055E52" w:rsidRPr="00247C0A">
        <w:rPr>
          <w:rFonts w:ascii="Times New Roman" w:hAnsi="Times New Roman" w:cs="Times New Roman"/>
          <w:iCs/>
          <w:sz w:val="28"/>
          <w:szCs w:val="28"/>
        </w:rPr>
        <w:t xml:space="preserve">. </w:t>
      </w:r>
      <w:r w:rsidR="009E08B8" w:rsidRPr="00247C0A">
        <w:rPr>
          <w:rFonts w:ascii="Times New Roman" w:hAnsi="Times New Roman" w:cs="Times New Roman"/>
          <w:iCs/>
          <w:sz w:val="28"/>
          <w:szCs w:val="28"/>
        </w:rPr>
        <w:t>The money representing the returned deposit is not income as it is not an “accession to wealth” but just a return of capital.</w:t>
      </w:r>
    </w:p>
    <w:p w14:paraId="4429B3FE" w14:textId="77777777" w:rsidR="000B4FBE" w:rsidRPr="00247C0A" w:rsidRDefault="000B4FBE" w:rsidP="000B4FBE">
      <w:pPr>
        <w:tabs>
          <w:tab w:val="left" w:pos="2235"/>
          <w:tab w:val="center" w:pos="4680"/>
        </w:tabs>
        <w:rPr>
          <w:rFonts w:ascii="Times New Roman" w:hAnsi="Times New Roman" w:cs="Times New Roman"/>
          <w:b/>
          <w:smallCaps/>
          <w:sz w:val="28"/>
          <w:szCs w:val="28"/>
          <w:u w:val="single"/>
        </w:rPr>
      </w:pPr>
      <w:r w:rsidRPr="00247C0A">
        <w:rPr>
          <w:rFonts w:ascii="Times New Roman" w:hAnsi="Times New Roman" w:cs="Times New Roman"/>
          <w:b/>
          <w:sz w:val="28"/>
          <w:szCs w:val="28"/>
        </w:rPr>
        <w:tab/>
      </w:r>
      <w:r w:rsidRPr="00247C0A">
        <w:rPr>
          <w:rFonts w:ascii="Times New Roman" w:hAnsi="Times New Roman" w:cs="Times New Roman"/>
          <w:b/>
          <w:sz w:val="28"/>
          <w:szCs w:val="28"/>
        </w:rPr>
        <w:tab/>
      </w:r>
      <w:r w:rsidRPr="00247C0A">
        <w:rPr>
          <w:rFonts w:ascii="Times New Roman" w:hAnsi="Times New Roman" w:cs="Times New Roman"/>
          <w:b/>
          <w:smallCaps/>
          <w:sz w:val="28"/>
          <w:szCs w:val="28"/>
          <w:u w:val="single"/>
        </w:rPr>
        <w:t>Other reading that might be of interest</w:t>
      </w:r>
    </w:p>
    <w:p w14:paraId="0EEAE4D4" w14:textId="77777777" w:rsidR="00AC1B0F" w:rsidRPr="00247C0A" w:rsidRDefault="002C3C0B" w:rsidP="000B4FBE">
      <w:pPr>
        <w:numPr>
          <w:ilvl w:val="0"/>
          <w:numId w:val="22"/>
        </w:numPr>
        <w:rPr>
          <w:rFonts w:ascii="Times New Roman" w:hAnsi="Times New Roman" w:cs="Times New Roman"/>
          <w:iCs/>
          <w:sz w:val="28"/>
          <w:szCs w:val="28"/>
        </w:rPr>
      </w:pPr>
      <w:r w:rsidRPr="00247C0A">
        <w:rPr>
          <w:rFonts w:ascii="Times New Roman" w:hAnsi="Times New Roman" w:cs="Times New Roman"/>
          <w:b/>
          <w:bCs/>
          <w:iCs/>
          <w:sz w:val="28"/>
          <w:szCs w:val="28"/>
        </w:rPr>
        <w:t>Security Deposits in Minnesota (January 2015) by  Lawrence R. McDonough</w:t>
      </w:r>
      <w:r w:rsidRPr="00247C0A">
        <w:rPr>
          <w:rFonts w:ascii="Times New Roman" w:hAnsi="Times New Roman" w:cs="Times New Roman"/>
          <w:bCs/>
          <w:iCs/>
          <w:sz w:val="28"/>
          <w:szCs w:val="28"/>
        </w:rPr>
        <w:t xml:space="preserve">, </w:t>
      </w:r>
      <w:r w:rsidRPr="00247C0A">
        <w:rPr>
          <w:rFonts w:ascii="Times New Roman" w:hAnsi="Times New Roman" w:cs="Times New Roman"/>
          <w:iCs/>
          <w:sz w:val="28"/>
          <w:szCs w:val="28"/>
        </w:rPr>
        <w:t xml:space="preserve">available at </w:t>
      </w:r>
      <w:hyperlink r:id="rId80" w:history="1">
        <w:r w:rsidRPr="00247C0A">
          <w:rPr>
            <w:rStyle w:val="Hyperlink"/>
            <w:rFonts w:ascii="Times New Roman" w:hAnsi="Times New Roman" w:cs="Times New Roman"/>
            <w:iCs/>
            <w:sz w:val="28"/>
            <w:szCs w:val="28"/>
          </w:rPr>
          <w:t>http</w:t>
        </w:r>
      </w:hyperlink>
      <w:hyperlink r:id="rId81" w:history="1">
        <w:r w:rsidRPr="00247C0A">
          <w:rPr>
            <w:rStyle w:val="Hyperlink"/>
            <w:rFonts w:ascii="Times New Roman" w:hAnsi="Times New Roman" w:cs="Times New Roman"/>
            <w:iCs/>
            <w:sz w:val="28"/>
            <w:szCs w:val="28"/>
          </w:rPr>
          <w:t>://</w:t>
        </w:r>
      </w:hyperlink>
      <w:hyperlink r:id="rId82" w:history="1">
        <w:r w:rsidRPr="00247C0A">
          <w:rPr>
            <w:rStyle w:val="Hyperlink"/>
            <w:rFonts w:ascii="Times New Roman" w:hAnsi="Times New Roman" w:cs="Times New Roman"/>
            <w:iCs/>
            <w:sz w:val="28"/>
            <w:szCs w:val="28"/>
          </w:rPr>
          <w:t>povertylaw.homestead.com/files/Reading/Security_Deposit.htm</w:t>
        </w:r>
      </w:hyperlink>
    </w:p>
    <w:p w14:paraId="64594C6A" w14:textId="77777777" w:rsidR="00AC1B0F" w:rsidRPr="00247C0A" w:rsidRDefault="002C3C0B" w:rsidP="000B4FBE">
      <w:pPr>
        <w:numPr>
          <w:ilvl w:val="0"/>
          <w:numId w:val="22"/>
        </w:numPr>
        <w:rPr>
          <w:rFonts w:ascii="Times New Roman" w:hAnsi="Times New Roman" w:cs="Times New Roman"/>
          <w:iCs/>
          <w:sz w:val="28"/>
          <w:szCs w:val="28"/>
        </w:rPr>
      </w:pPr>
      <w:r w:rsidRPr="00247C0A">
        <w:rPr>
          <w:rFonts w:ascii="Times New Roman" w:hAnsi="Times New Roman" w:cs="Times New Roman"/>
          <w:b/>
          <w:bCs/>
          <w:iCs/>
          <w:sz w:val="28"/>
          <w:szCs w:val="28"/>
        </w:rPr>
        <w:t xml:space="preserve">Security Deposits and Roommates by Paul Birnberg, </w:t>
      </w:r>
      <w:r w:rsidRPr="00247C0A">
        <w:rPr>
          <w:rFonts w:ascii="Times New Roman" w:hAnsi="Times New Roman" w:cs="Times New Roman"/>
          <w:iCs/>
          <w:sz w:val="28"/>
          <w:szCs w:val="28"/>
        </w:rPr>
        <w:t>link</w:t>
      </w:r>
      <w:r w:rsidRPr="00247C0A">
        <w:rPr>
          <w:rFonts w:ascii="Times New Roman" w:hAnsi="Times New Roman" w:cs="Times New Roman"/>
          <w:bCs/>
          <w:iCs/>
          <w:sz w:val="28"/>
          <w:szCs w:val="28"/>
        </w:rPr>
        <w:t xml:space="preserve"> </w:t>
      </w:r>
      <w:r w:rsidRPr="00247C0A">
        <w:rPr>
          <w:rFonts w:ascii="Times New Roman" w:hAnsi="Times New Roman" w:cs="Times New Roman"/>
          <w:iCs/>
          <w:sz w:val="28"/>
          <w:szCs w:val="28"/>
        </w:rPr>
        <w:t xml:space="preserve">about halfway down webpage at </w:t>
      </w:r>
      <w:hyperlink r:id="rId83" w:history="1">
        <w:r w:rsidRPr="00247C0A">
          <w:rPr>
            <w:rStyle w:val="Hyperlink"/>
            <w:rFonts w:ascii="Times New Roman" w:hAnsi="Times New Roman" w:cs="Times New Roman"/>
            <w:iCs/>
            <w:sz w:val="28"/>
            <w:szCs w:val="28"/>
          </w:rPr>
          <w:t>https</w:t>
        </w:r>
      </w:hyperlink>
      <w:hyperlink r:id="rId84" w:history="1">
        <w:r w:rsidRPr="00247C0A">
          <w:rPr>
            <w:rStyle w:val="Hyperlink"/>
            <w:rFonts w:ascii="Times New Roman" w:hAnsi="Times New Roman" w:cs="Times New Roman"/>
            <w:iCs/>
            <w:sz w:val="28"/>
            <w:szCs w:val="28"/>
          </w:rPr>
          <w:t>://homelinemn.org/publications/other-publications</w:t>
        </w:r>
      </w:hyperlink>
      <w:hyperlink r:id="rId85" w:history="1">
        <w:r w:rsidRPr="00247C0A">
          <w:rPr>
            <w:rStyle w:val="Hyperlink"/>
            <w:rFonts w:ascii="Times New Roman" w:hAnsi="Times New Roman" w:cs="Times New Roman"/>
            <w:iCs/>
            <w:sz w:val="28"/>
            <w:szCs w:val="28"/>
          </w:rPr>
          <w:t>/</w:t>
        </w:r>
      </w:hyperlink>
    </w:p>
    <w:p w14:paraId="50D56F93" w14:textId="77777777" w:rsidR="00AC1B0F" w:rsidRPr="00247C0A" w:rsidRDefault="002C3C0B" w:rsidP="00063E35">
      <w:pPr>
        <w:numPr>
          <w:ilvl w:val="0"/>
          <w:numId w:val="22"/>
        </w:numPr>
        <w:rPr>
          <w:rFonts w:ascii="Times New Roman" w:hAnsi="Times New Roman" w:cs="Times New Roman"/>
          <w:iCs/>
          <w:sz w:val="28"/>
          <w:szCs w:val="28"/>
        </w:rPr>
      </w:pPr>
      <w:r w:rsidRPr="00247C0A">
        <w:rPr>
          <w:rFonts w:ascii="Times New Roman" w:hAnsi="Times New Roman" w:cs="Times New Roman"/>
          <w:b/>
          <w:bCs/>
          <w:iCs/>
          <w:sz w:val="28"/>
          <w:szCs w:val="28"/>
        </w:rPr>
        <w:t>Detailed legislat</w:t>
      </w:r>
      <w:r w:rsidR="00264A71" w:rsidRPr="00247C0A">
        <w:rPr>
          <w:rFonts w:ascii="Times New Roman" w:hAnsi="Times New Roman" w:cs="Times New Roman"/>
          <w:b/>
          <w:bCs/>
          <w:iCs/>
          <w:sz w:val="28"/>
          <w:szCs w:val="28"/>
        </w:rPr>
        <w:t xml:space="preserve">ive history of 1973 session law, </w:t>
      </w:r>
      <w:r w:rsidR="00264A71" w:rsidRPr="00247C0A">
        <w:rPr>
          <w:rFonts w:ascii="Times New Roman" w:hAnsi="Times New Roman" w:cs="Times New Roman"/>
          <w:bCs/>
          <w:iCs/>
          <w:sz w:val="28"/>
          <w:szCs w:val="28"/>
        </w:rPr>
        <w:t xml:space="preserve">available at </w:t>
      </w:r>
      <w:hyperlink r:id="rId86" w:history="1">
        <w:r w:rsidRPr="00247C0A">
          <w:rPr>
            <w:rStyle w:val="Hyperlink"/>
            <w:rFonts w:ascii="Times New Roman" w:hAnsi="Times New Roman" w:cs="Times New Roman"/>
            <w:iCs/>
            <w:sz w:val="28"/>
            <w:szCs w:val="28"/>
          </w:rPr>
          <w:t>https</w:t>
        </w:r>
      </w:hyperlink>
      <w:hyperlink r:id="rId87" w:history="1">
        <w:r w:rsidRPr="00247C0A">
          <w:rPr>
            <w:rStyle w:val="Hyperlink"/>
            <w:rFonts w:ascii="Times New Roman" w:hAnsi="Times New Roman" w:cs="Times New Roman"/>
            <w:iCs/>
            <w:sz w:val="28"/>
            <w:szCs w:val="28"/>
          </w:rPr>
          <w:t>://</w:t>
        </w:r>
      </w:hyperlink>
      <w:hyperlink r:id="rId88" w:history="1">
        <w:r w:rsidRPr="00247C0A">
          <w:rPr>
            <w:rStyle w:val="Hyperlink"/>
            <w:rFonts w:ascii="Times New Roman" w:hAnsi="Times New Roman" w:cs="Times New Roman"/>
            <w:iCs/>
            <w:sz w:val="28"/>
            <w:szCs w:val="28"/>
          </w:rPr>
          <w:t>birnberglegalwebsite.files.wordpress.com/2020/05/security-deposit-leg-hist-1973-minn-laws-ch-561-by-adam-van-alstyne-</w:t>
        </w:r>
      </w:hyperlink>
      <w:hyperlink r:id="rId89" w:history="1">
        <w:r w:rsidRPr="00247C0A">
          <w:rPr>
            <w:rStyle w:val="Hyperlink"/>
            <w:rFonts w:ascii="Times New Roman" w:hAnsi="Times New Roman" w:cs="Times New Roman"/>
            <w:iCs/>
            <w:sz w:val="28"/>
            <w:szCs w:val="28"/>
          </w:rPr>
          <w:t>.</w:t>
        </w:r>
      </w:hyperlink>
      <w:hyperlink r:id="rId90" w:history="1">
        <w:r w:rsidRPr="00247C0A">
          <w:rPr>
            <w:rStyle w:val="Hyperlink"/>
            <w:rFonts w:ascii="Times New Roman" w:hAnsi="Times New Roman" w:cs="Times New Roman"/>
            <w:iCs/>
            <w:sz w:val="28"/>
            <w:szCs w:val="28"/>
          </w:rPr>
          <w:t>pdf</w:t>
        </w:r>
      </w:hyperlink>
    </w:p>
    <w:p w14:paraId="272637EA" w14:textId="77777777" w:rsidR="003E6F95" w:rsidRPr="00247C0A" w:rsidRDefault="002C3C0B" w:rsidP="00063E35">
      <w:pPr>
        <w:numPr>
          <w:ilvl w:val="0"/>
          <w:numId w:val="22"/>
        </w:numPr>
        <w:rPr>
          <w:rStyle w:val="Hyperlink"/>
          <w:rFonts w:ascii="Times New Roman" w:hAnsi="Times New Roman" w:cs="Times New Roman"/>
          <w:iCs/>
          <w:color w:val="auto"/>
          <w:sz w:val="28"/>
          <w:szCs w:val="28"/>
          <w:u w:val="none"/>
        </w:rPr>
      </w:pPr>
      <w:r w:rsidRPr="00247C0A">
        <w:rPr>
          <w:rFonts w:ascii="Times New Roman" w:hAnsi="Times New Roman" w:cs="Times New Roman"/>
          <w:b/>
          <w:bCs/>
          <w:iCs/>
          <w:sz w:val="28"/>
          <w:szCs w:val="28"/>
        </w:rPr>
        <w:t>Detailed legislat</w:t>
      </w:r>
      <w:r w:rsidR="00264A71" w:rsidRPr="00247C0A">
        <w:rPr>
          <w:rFonts w:ascii="Times New Roman" w:hAnsi="Times New Roman" w:cs="Times New Roman"/>
          <w:b/>
          <w:bCs/>
          <w:iCs/>
          <w:sz w:val="28"/>
          <w:szCs w:val="28"/>
        </w:rPr>
        <w:t xml:space="preserve">ive history of 1977 session law, </w:t>
      </w:r>
      <w:r w:rsidR="00264A71" w:rsidRPr="00247C0A">
        <w:rPr>
          <w:rFonts w:ascii="Times New Roman" w:hAnsi="Times New Roman" w:cs="Times New Roman"/>
          <w:bCs/>
          <w:iCs/>
          <w:sz w:val="28"/>
          <w:szCs w:val="28"/>
        </w:rPr>
        <w:t>available at</w:t>
      </w:r>
      <w:r w:rsidR="00264A71" w:rsidRPr="00247C0A">
        <w:rPr>
          <w:rFonts w:ascii="Times New Roman" w:hAnsi="Times New Roman" w:cs="Times New Roman"/>
          <w:b/>
          <w:bCs/>
          <w:iCs/>
          <w:sz w:val="28"/>
          <w:szCs w:val="28"/>
        </w:rPr>
        <w:t xml:space="preserve"> </w:t>
      </w:r>
      <w:hyperlink r:id="rId91" w:history="1">
        <w:r w:rsidRPr="00247C0A">
          <w:rPr>
            <w:rStyle w:val="Hyperlink"/>
            <w:rFonts w:ascii="Times New Roman" w:hAnsi="Times New Roman" w:cs="Times New Roman"/>
            <w:iCs/>
            <w:sz w:val="28"/>
            <w:szCs w:val="28"/>
          </w:rPr>
          <w:t>https://birnberglegalwebsite.files.wordpress.com/2020/05/security-deposit-leg-hist-1977-minn-laws-ch-280-by-adam-van-alstyne-.</w:t>
        </w:r>
      </w:hyperlink>
      <w:hyperlink r:id="rId92" w:history="1">
        <w:r w:rsidRPr="00247C0A">
          <w:rPr>
            <w:rStyle w:val="Hyperlink"/>
            <w:rFonts w:ascii="Times New Roman" w:hAnsi="Times New Roman" w:cs="Times New Roman"/>
            <w:iCs/>
            <w:sz w:val="28"/>
            <w:szCs w:val="28"/>
          </w:rPr>
          <w:t>pdf</w:t>
        </w:r>
      </w:hyperlink>
    </w:p>
    <w:p w14:paraId="003BD9DD" w14:textId="77777777" w:rsidR="00CE49B0" w:rsidRPr="00247C0A" w:rsidRDefault="003E6F95" w:rsidP="00BC4DD9">
      <w:pPr>
        <w:numPr>
          <w:ilvl w:val="0"/>
          <w:numId w:val="22"/>
        </w:numPr>
        <w:rPr>
          <w:rFonts w:ascii="Times New Roman" w:hAnsi="Times New Roman" w:cs="Times New Roman"/>
          <w:iCs/>
          <w:sz w:val="28"/>
          <w:szCs w:val="28"/>
        </w:rPr>
      </w:pPr>
      <w:r w:rsidRPr="00247C0A">
        <w:rPr>
          <w:rFonts w:ascii="Times New Roman" w:hAnsi="Times New Roman" w:cs="Times New Roman"/>
          <w:b/>
          <w:bCs/>
          <w:i/>
          <w:iCs/>
          <w:sz w:val="28"/>
          <w:szCs w:val="28"/>
        </w:rPr>
        <w:t>Residential Landlord and Tenant Law – 1980</w:t>
      </w:r>
      <w:r w:rsidRPr="00247C0A">
        <w:rPr>
          <w:rFonts w:ascii="Times New Roman" w:hAnsi="Times New Roman" w:cs="Times New Roman"/>
          <w:b/>
          <w:bCs/>
          <w:iCs/>
          <w:sz w:val="28"/>
          <w:szCs w:val="28"/>
        </w:rPr>
        <w:t>, Sponsored by Advance</w:t>
      </w:r>
      <w:r w:rsidR="00BD2FBA" w:rsidRPr="00247C0A">
        <w:rPr>
          <w:rFonts w:ascii="Times New Roman" w:hAnsi="Times New Roman" w:cs="Times New Roman"/>
          <w:b/>
          <w:bCs/>
          <w:iCs/>
          <w:sz w:val="28"/>
          <w:szCs w:val="28"/>
        </w:rPr>
        <w:t>d</w:t>
      </w:r>
      <w:r w:rsidRPr="00247C0A">
        <w:rPr>
          <w:rFonts w:ascii="Times New Roman" w:hAnsi="Times New Roman" w:cs="Times New Roman"/>
          <w:b/>
          <w:bCs/>
          <w:iCs/>
          <w:sz w:val="28"/>
          <w:szCs w:val="28"/>
        </w:rPr>
        <w:t xml:space="preserve"> Legal Education, Hamline University School of Law (1980)</w:t>
      </w:r>
      <w:r w:rsidR="00B44F3B" w:rsidRPr="00247C0A">
        <w:rPr>
          <w:rFonts w:ascii="Times New Roman" w:hAnsi="Times New Roman" w:cs="Times New Roman"/>
          <w:bCs/>
          <w:iCs/>
          <w:sz w:val="28"/>
          <w:szCs w:val="28"/>
        </w:rPr>
        <w:t>,</w:t>
      </w:r>
      <w:r w:rsidRPr="00247C0A">
        <w:rPr>
          <w:rFonts w:ascii="Times New Roman" w:hAnsi="Times New Roman" w:cs="Times New Roman"/>
          <w:bCs/>
          <w:iCs/>
          <w:sz w:val="28"/>
          <w:szCs w:val="28"/>
        </w:rPr>
        <w:t xml:space="preserve"> </w:t>
      </w:r>
      <w:r w:rsidR="00B44F3B" w:rsidRPr="00247C0A">
        <w:rPr>
          <w:rFonts w:ascii="Times New Roman" w:hAnsi="Times New Roman" w:cs="Times New Roman"/>
          <w:bCs/>
          <w:iCs/>
          <w:sz w:val="28"/>
          <w:szCs w:val="28"/>
        </w:rPr>
        <w:t xml:space="preserve">Library of Congress # </w:t>
      </w:r>
      <w:r w:rsidRPr="00247C0A">
        <w:rPr>
          <w:rFonts w:ascii="Times New Roman" w:hAnsi="Times New Roman" w:cs="Times New Roman"/>
          <w:bCs/>
          <w:iCs/>
          <w:sz w:val="28"/>
          <w:szCs w:val="28"/>
        </w:rPr>
        <w:t>KF209.Z9955.H36</w:t>
      </w:r>
      <w:r w:rsidR="00CE49B0" w:rsidRPr="00247C0A">
        <w:rPr>
          <w:rFonts w:ascii="Times New Roman" w:hAnsi="Times New Roman" w:cs="Times New Roman"/>
          <w:bCs/>
          <w:sz w:val="28"/>
          <w:szCs w:val="28"/>
        </w:rPr>
        <w:br w:type="page"/>
      </w:r>
    </w:p>
    <w:p w14:paraId="13219C33" w14:textId="557BD4EF" w:rsidR="00CE49B0" w:rsidRPr="00712467" w:rsidRDefault="00CE49B0" w:rsidP="00CE49B0">
      <w:pPr>
        <w:autoSpaceDE w:val="0"/>
        <w:autoSpaceDN w:val="0"/>
        <w:adjustRightInd w:val="0"/>
        <w:spacing w:after="0" w:line="240" w:lineRule="auto"/>
        <w:jc w:val="center"/>
        <w:rPr>
          <w:rFonts w:ascii="Georgia" w:hAnsi="Georgia" w:cs="Georgia"/>
          <w:b/>
          <w:bCs/>
        </w:rPr>
      </w:pPr>
      <w:r w:rsidRPr="00712467">
        <w:rPr>
          <w:rFonts w:ascii="Times New Roman" w:hAnsi="Times New Roman" w:cs="Times New Roman"/>
          <w:lang w:val="en-CA"/>
        </w:rPr>
        <w:lastRenderedPageBreak/>
        <w:fldChar w:fldCharType="begin"/>
      </w:r>
      <w:r w:rsidRPr="00712467">
        <w:rPr>
          <w:rFonts w:ascii="Times New Roman" w:hAnsi="Times New Roman" w:cs="Times New Roman"/>
          <w:lang w:val="en-CA"/>
        </w:rPr>
        <w:instrText xml:space="preserve"> SEQ CHAPTER \h \r 1</w:instrText>
      </w:r>
      <w:r w:rsidRPr="00712467">
        <w:rPr>
          <w:rFonts w:ascii="Times New Roman" w:hAnsi="Times New Roman" w:cs="Times New Roman"/>
          <w:lang w:val="en-CA"/>
        </w:rPr>
        <w:fldChar w:fldCharType="end"/>
      </w:r>
      <w:r w:rsidRPr="00712467">
        <w:rPr>
          <w:rFonts w:ascii="Georgia" w:hAnsi="Georgia" w:cs="Georgia"/>
          <w:b/>
          <w:bCs/>
        </w:rPr>
        <w:t>Endnote</w:t>
      </w:r>
      <w:r w:rsidR="00450CC4" w:rsidRPr="00712467">
        <w:rPr>
          <w:rFonts w:ascii="Georgia" w:hAnsi="Georgia" w:cs="Georgia"/>
          <w:b/>
          <w:bCs/>
        </w:rPr>
        <w:t xml:space="preserve"> 1</w:t>
      </w:r>
      <w:r w:rsidRPr="00712467">
        <w:rPr>
          <w:rFonts w:ascii="Georgia" w:hAnsi="Georgia" w:cs="Georgia"/>
          <w:b/>
          <w:bCs/>
        </w:rPr>
        <w:t xml:space="preserve"> - Security Deposit Interest Worksheet</w:t>
      </w:r>
      <w:r w:rsidRPr="00712467">
        <w:rPr>
          <w:rFonts w:ascii="Times New Roman" w:hAnsi="Times New Roman" w:cs="Times New Roman"/>
          <w:vertAlign w:val="superscript"/>
        </w:rPr>
        <w:footnoteReference w:customMarkFollows="1" w:id="25"/>
        <w:t>1</w:t>
      </w:r>
    </w:p>
    <w:p w14:paraId="0B720AC0" w14:textId="77777777" w:rsidR="00CE49B0" w:rsidRPr="00712467" w:rsidRDefault="00CE49B0" w:rsidP="00CE49B0">
      <w:pPr>
        <w:autoSpaceDE w:val="0"/>
        <w:autoSpaceDN w:val="0"/>
        <w:adjustRightInd w:val="0"/>
        <w:spacing w:after="0" w:line="240" w:lineRule="auto"/>
        <w:rPr>
          <w:rFonts w:ascii="Georgia" w:hAnsi="Georgia" w:cs="Georgia"/>
          <w:b/>
          <w:bCs/>
        </w:rPr>
      </w:pPr>
    </w:p>
    <w:p w14:paraId="31132EC4"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u w:val="single"/>
        </w:rPr>
        <w:t>Instructions</w:t>
      </w:r>
    </w:p>
    <w:p w14:paraId="47F5D805" w14:textId="77777777" w:rsidR="00CE49B0" w:rsidRPr="00712467" w:rsidRDefault="00CE49B0" w:rsidP="00CE49B0">
      <w:pPr>
        <w:autoSpaceDE w:val="0"/>
        <w:autoSpaceDN w:val="0"/>
        <w:adjustRightInd w:val="0"/>
        <w:spacing w:after="0" w:line="240" w:lineRule="auto"/>
        <w:rPr>
          <w:rFonts w:ascii="Georgia" w:hAnsi="Georgia" w:cs="Georgia"/>
        </w:rPr>
      </w:pPr>
    </w:p>
    <w:p w14:paraId="3D6D1A6C" w14:textId="77777777" w:rsidR="00CE49B0" w:rsidRPr="00712467" w:rsidRDefault="00CE49B0" w:rsidP="00CE49B0">
      <w:pPr>
        <w:autoSpaceDE w:val="0"/>
        <w:autoSpaceDN w:val="0"/>
        <w:adjustRightInd w:val="0"/>
        <w:spacing w:after="0" w:line="240" w:lineRule="auto"/>
        <w:ind w:left="720"/>
        <w:rPr>
          <w:rFonts w:ascii="Georgia" w:hAnsi="Georgia" w:cs="Georgia"/>
        </w:rPr>
      </w:pPr>
      <w:r w:rsidRPr="00712467">
        <w:rPr>
          <w:rFonts w:ascii="Georgia" w:hAnsi="Georgia" w:cs="Georgia"/>
        </w:rPr>
        <w:t>1. Multiply the amount of security deposit by the interest rate at the time one lived there</w:t>
      </w:r>
    </w:p>
    <w:p w14:paraId="1D9B7C93" w14:textId="77777777" w:rsidR="00CE49B0" w:rsidRPr="00712467" w:rsidRDefault="00CE49B0" w:rsidP="00CE49B0">
      <w:pPr>
        <w:autoSpaceDE w:val="0"/>
        <w:autoSpaceDN w:val="0"/>
        <w:adjustRightInd w:val="0"/>
        <w:spacing w:after="0" w:line="240" w:lineRule="auto"/>
        <w:ind w:left="720"/>
        <w:rPr>
          <w:rFonts w:ascii="Georgia" w:hAnsi="Georgia" w:cs="Georgia"/>
        </w:rPr>
      </w:pPr>
      <w:r w:rsidRPr="00712467">
        <w:rPr>
          <w:rFonts w:ascii="Georgia" w:hAnsi="Georgia" w:cs="Georgia"/>
        </w:rPr>
        <w:t>2. Divide the number of months lived in apartment by 12</w:t>
      </w:r>
    </w:p>
    <w:p w14:paraId="7106D6FC" w14:textId="77777777" w:rsidR="00CE49B0" w:rsidRPr="00712467" w:rsidRDefault="00CE49B0" w:rsidP="00CE49B0">
      <w:pPr>
        <w:autoSpaceDE w:val="0"/>
        <w:autoSpaceDN w:val="0"/>
        <w:adjustRightInd w:val="0"/>
        <w:spacing w:after="0" w:line="240" w:lineRule="auto"/>
        <w:ind w:left="720"/>
        <w:rPr>
          <w:rFonts w:ascii="Georgia" w:hAnsi="Georgia" w:cs="Georgia"/>
        </w:rPr>
      </w:pPr>
      <w:r w:rsidRPr="00712467">
        <w:rPr>
          <w:rFonts w:ascii="Georgia" w:hAnsi="Georgia" w:cs="Georgia"/>
        </w:rPr>
        <w:t>3. Multiply the total of step 1 by the total of step 2</w:t>
      </w:r>
    </w:p>
    <w:p w14:paraId="2E727B9B" w14:textId="77777777" w:rsidR="00CE49B0" w:rsidRPr="00712467" w:rsidRDefault="00CE49B0" w:rsidP="00CE49B0">
      <w:pPr>
        <w:autoSpaceDE w:val="0"/>
        <w:autoSpaceDN w:val="0"/>
        <w:adjustRightInd w:val="0"/>
        <w:spacing w:after="0" w:line="240" w:lineRule="auto"/>
        <w:rPr>
          <w:rFonts w:ascii="Georgia" w:hAnsi="Georgia" w:cs="Georgia"/>
        </w:rPr>
      </w:pPr>
    </w:p>
    <w:p w14:paraId="78FCBF19"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or in mathematical terms</w:t>
      </w:r>
    </w:p>
    <w:p w14:paraId="133C2177" w14:textId="77777777" w:rsidR="00CE49B0" w:rsidRPr="00712467" w:rsidRDefault="00CE49B0" w:rsidP="00CE49B0">
      <w:pPr>
        <w:autoSpaceDE w:val="0"/>
        <w:autoSpaceDN w:val="0"/>
        <w:adjustRightInd w:val="0"/>
        <w:spacing w:after="0" w:line="240" w:lineRule="auto"/>
        <w:rPr>
          <w:rFonts w:ascii="Georgia" w:hAnsi="Georgia" w:cs="Georgia"/>
        </w:rPr>
      </w:pPr>
    </w:p>
    <w:p w14:paraId="04DC7D9E" w14:textId="77777777" w:rsidR="00CE49B0" w:rsidRPr="00712467" w:rsidRDefault="00CE49B0" w:rsidP="00CE49B0">
      <w:pPr>
        <w:autoSpaceDE w:val="0"/>
        <w:autoSpaceDN w:val="0"/>
        <w:adjustRightInd w:val="0"/>
        <w:spacing w:after="0" w:line="240" w:lineRule="auto"/>
        <w:ind w:left="720"/>
        <w:rPr>
          <w:rFonts w:ascii="Georgia" w:hAnsi="Georgia" w:cs="Georgia"/>
        </w:rPr>
      </w:pPr>
      <w:r w:rsidRPr="00712467">
        <w:rPr>
          <w:rFonts w:ascii="Georgia" w:hAnsi="Georgia" w:cs="Georgia"/>
        </w:rPr>
        <w:t xml:space="preserve">((security deposit) x (interest rate)) x ((number of months) ÷ 12) = _____ </w:t>
      </w:r>
    </w:p>
    <w:p w14:paraId="19CBD065"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that is:</w:t>
      </w:r>
    </w:p>
    <w:p w14:paraId="3B067CCC"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ab/>
      </w:r>
      <w:r w:rsidRPr="00712467">
        <w:rPr>
          <w:rFonts w:ascii="Georgia" w:hAnsi="Georgia" w:cs="Georgia"/>
        </w:rPr>
        <w:tab/>
      </w:r>
      <w:r w:rsidRPr="00712467">
        <w:rPr>
          <w:rFonts w:ascii="Georgia" w:hAnsi="Georgia" w:cs="Georgia"/>
        </w:rPr>
        <w:tab/>
      </w:r>
    </w:p>
    <w:p w14:paraId="02EE6A3E"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 xml:space="preserve">(_____    </w:t>
      </w:r>
      <w:proofErr w:type="gramStart"/>
      <w:r w:rsidRPr="00712467">
        <w:rPr>
          <w:rFonts w:ascii="Georgia" w:hAnsi="Georgia" w:cs="Georgia"/>
        </w:rPr>
        <w:t>x .</w:t>
      </w:r>
      <w:proofErr w:type="gramEnd"/>
      <w:r w:rsidRPr="00712467">
        <w:rPr>
          <w:rFonts w:ascii="Georgia" w:hAnsi="Georgia" w:cs="Georgia"/>
        </w:rPr>
        <w:t xml:space="preserve"> 05</w:t>
      </w:r>
      <w:r w:rsidRPr="00712467">
        <w:rPr>
          <w:rFonts w:ascii="Times New Roman" w:hAnsi="Times New Roman" w:cs="Times New Roman"/>
          <w:vertAlign w:val="superscript"/>
        </w:rPr>
        <w:footnoteReference w:customMarkFollows="1" w:id="26"/>
        <w:t>2</w:t>
      </w:r>
      <w:r w:rsidRPr="00712467">
        <w:rPr>
          <w:rFonts w:ascii="Georgia" w:hAnsi="Georgia" w:cs="Georgia"/>
        </w:rPr>
        <w:t>) x ((# of months prior to October 1984 and &gt; June 30,1973) ÷ 12</w:t>
      </w:r>
      <w:proofErr w:type="gramStart"/>
      <w:r w:rsidRPr="00712467">
        <w:rPr>
          <w:rFonts w:ascii="Georgia" w:hAnsi="Georgia" w:cs="Georgia"/>
        </w:rPr>
        <w:t>)  =</w:t>
      </w:r>
      <w:proofErr w:type="gramEnd"/>
      <w:r w:rsidRPr="00712467">
        <w:rPr>
          <w:rFonts w:ascii="Georgia" w:hAnsi="Georgia" w:cs="Georgia"/>
        </w:rPr>
        <w:t xml:space="preserve"> _____ </w:t>
      </w:r>
    </w:p>
    <w:p w14:paraId="0F6E6E9E"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 xml:space="preserve">(_____    </w:t>
      </w:r>
      <w:proofErr w:type="gramStart"/>
      <w:r w:rsidRPr="00712467">
        <w:rPr>
          <w:rFonts w:ascii="Georgia" w:hAnsi="Georgia" w:cs="Georgia"/>
        </w:rPr>
        <w:t>x .</w:t>
      </w:r>
      <w:proofErr w:type="gramEnd"/>
      <w:r w:rsidRPr="00712467">
        <w:rPr>
          <w:rFonts w:ascii="Georgia" w:hAnsi="Georgia" w:cs="Georgia"/>
        </w:rPr>
        <w:t xml:space="preserve"> 055</w:t>
      </w:r>
      <w:r w:rsidRPr="00712467">
        <w:rPr>
          <w:rFonts w:ascii="Times New Roman" w:hAnsi="Times New Roman" w:cs="Times New Roman"/>
          <w:vertAlign w:val="superscript"/>
        </w:rPr>
        <w:footnoteReference w:customMarkFollows="1" w:id="27"/>
        <w:t>3</w:t>
      </w:r>
      <w:r w:rsidRPr="00712467">
        <w:rPr>
          <w:rFonts w:ascii="Georgia" w:hAnsi="Georgia" w:cs="Georgia"/>
        </w:rPr>
        <w:t xml:space="preserve">) x ((# of months between October 1, 1984 and April 30, 1992) ÷ 12) = _____ (_____    </w:t>
      </w:r>
      <w:proofErr w:type="gramStart"/>
      <w:r w:rsidRPr="00712467">
        <w:rPr>
          <w:rFonts w:ascii="Georgia" w:hAnsi="Georgia" w:cs="Georgia"/>
        </w:rPr>
        <w:t>x .</w:t>
      </w:r>
      <w:proofErr w:type="gramEnd"/>
      <w:r w:rsidRPr="00712467">
        <w:rPr>
          <w:rFonts w:ascii="Georgia" w:hAnsi="Georgia" w:cs="Georgia"/>
        </w:rPr>
        <w:t xml:space="preserve"> 04</w:t>
      </w:r>
      <w:r w:rsidRPr="00712467">
        <w:rPr>
          <w:rFonts w:ascii="Times New Roman" w:hAnsi="Times New Roman" w:cs="Times New Roman"/>
          <w:vertAlign w:val="superscript"/>
        </w:rPr>
        <w:footnoteReference w:customMarkFollows="1" w:id="28"/>
        <w:t>4</w:t>
      </w:r>
      <w:r w:rsidRPr="00712467">
        <w:rPr>
          <w:rFonts w:ascii="Georgia" w:hAnsi="Georgia" w:cs="Georgia"/>
        </w:rPr>
        <w:t xml:space="preserve">) x ((# of months between May 1, 1992 and March 1, 1996) ÷ 12) = _____ </w:t>
      </w:r>
    </w:p>
    <w:p w14:paraId="1A966FAE"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 xml:space="preserve">(_____    </w:t>
      </w:r>
      <w:proofErr w:type="gramStart"/>
      <w:r w:rsidRPr="00712467">
        <w:rPr>
          <w:rFonts w:ascii="Georgia" w:hAnsi="Georgia" w:cs="Georgia"/>
        </w:rPr>
        <w:t>x .</w:t>
      </w:r>
      <w:proofErr w:type="gramEnd"/>
      <w:r w:rsidRPr="00712467">
        <w:rPr>
          <w:rFonts w:ascii="Georgia" w:hAnsi="Georgia" w:cs="Georgia"/>
        </w:rPr>
        <w:t xml:space="preserve"> 04</w:t>
      </w:r>
      <w:r w:rsidRPr="00712467">
        <w:rPr>
          <w:rFonts w:ascii="Georgia" w:hAnsi="Georgia" w:cs="Georgia"/>
          <w:vertAlign w:val="superscript"/>
        </w:rPr>
        <w:t>4</w:t>
      </w:r>
      <w:r w:rsidRPr="00712467">
        <w:rPr>
          <w:rFonts w:ascii="Georgia" w:hAnsi="Georgia" w:cs="Georgia"/>
        </w:rPr>
        <w:t xml:space="preserve">) x ((# of days between March 1, 1996 and March 21, 1996) ÷ 365) = _____ </w:t>
      </w:r>
    </w:p>
    <w:p w14:paraId="18472D3F"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 xml:space="preserve">(_____    </w:t>
      </w:r>
      <w:proofErr w:type="gramStart"/>
      <w:r w:rsidRPr="00712467">
        <w:rPr>
          <w:rFonts w:ascii="Georgia" w:hAnsi="Georgia" w:cs="Georgia"/>
        </w:rPr>
        <w:t>x .</w:t>
      </w:r>
      <w:proofErr w:type="gramEnd"/>
      <w:r w:rsidRPr="00712467">
        <w:rPr>
          <w:rFonts w:ascii="Georgia" w:hAnsi="Georgia" w:cs="Georgia"/>
        </w:rPr>
        <w:t xml:space="preserve"> 03</w:t>
      </w:r>
      <w:r w:rsidRPr="00712467">
        <w:rPr>
          <w:rFonts w:ascii="Times New Roman" w:hAnsi="Times New Roman" w:cs="Times New Roman"/>
          <w:vertAlign w:val="superscript"/>
        </w:rPr>
        <w:footnoteReference w:customMarkFollows="1" w:id="29"/>
        <w:t>5</w:t>
      </w:r>
      <w:r w:rsidRPr="00712467">
        <w:rPr>
          <w:rFonts w:ascii="Georgia" w:hAnsi="Georgia" w:cs="Georgia"/>
        </w:rPr>
        <w:t xml:space="preserve">) x ((# of days between March 22, 1996 and March 31, 1996) ÷ 365) = _____ </w:t>
      </w:r>
    </w:p>
    <w:p w14:paraId="7D9F84DA"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 xml:space="preserve">(_____    </w:t>
      </w:r>
      <w:proofErr w:type="gramStart"/>
      <w:r w:rsidRPr="00712467">
        <w:rPr>
          <w:rFonts w:ascii="Georgia" w:hAnsi="Georgia" w:cs="Georgia"/>
        </w:rPr>
        <w:t>x .</w:t>
      </w:r>
      <w:proofErr w:type="gramEnd"/>
      <w:r w:rsidRPr="00712467">
        <w:rPr>
          <w:rFonts w:ascii="Georgia" w:hAnsi="Georgia" w:cs="Georgia"/>
        </w:rPr>
        <w:t xml:space="preserve"> 03</w:t>
      </w:r>
      <w:r w:rsidRPr="00712467">
        <w:rPr>
          <w:rFonts w:ascii="Georgia" w:hAnsi="Georgia" w:cs="Georgia"/>
          <w:vertAlign w:val="superscript"/>
        </w:rPr>
        <w:t>5</w:t>
      </w:r>
      <w:r w:rsidRPr="00712467">
        <w:rPr>
          <w:rFonts w:ascii="Georgia" w:hAnsi="Georgia" w:cs="Georgia"/>
        </w:rPr>
        <w:t xml:space="preserve">) x ((# of months between April 1, 1996 and July 31, 2003) ÷ 12) = _____ </w:t>
      </w:r>
    </w:p>
    <w:p w14:paraId="6BB89D86"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 xml:space="preserve">(_____    </w:t>
      </w:r>
      <w:proofErr w:type="gramStart"/>
      <w:r w:rsidRPr="00712467">
        <w:rPr>
          <w:rFonts w:ascii="Georgia" w:hAnsi="Georgia" w:cs="Georgia"/>
        </w:rPr>
        <w:t>x .</w:t>
      </w:r>
      <w:proofErr w:type="gramEnd"/>
      <w:r w:rsidRPr="00712467">
        <w:rPr>
          <w:rFonts w:ascii="Georgia" w:hAnsi="Georgia" w:cs="Georgia"/>
        </w:rPr>
        <w:t xml:space="preserve"> 01</w:t>
      </w:r>
      <w:r w:rsidRPr="00712467">
        <w:rPr>
          <w:rFonts w:ascii="Times New Roman" w:hAnsi="Times New Roman" w:cs="Times New Roman"/>
          <w:vertAlign w:val="superscript"/>
        </w:rPr>
        <w:footnoteReference w:customMarkFollows="1" w:id="30"/>
        <w:t>6</w:t>
      </w:r>
      <w:r w:rsidRPr="00712467">
        <w:rPr>
          <w:rFonts w:ascii="Georgia" w:hAnsi="Georgia" w:cs="Georgia"/>
        </w:rPr>
        <w:t xml:space="preserve">) x ((# of months between August 1, 2003 and now) ÷ 12) = _____ </w:t>
      </w:r>
    </w:p>
    <w:p w14:paraId="2480011D"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p>
    <w:p w14:paraId="5DB76A82"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r>
      <w:r w:rsidRPr="00712467">
        <w:rPr>
          <w:rFonts w:ascii="Georgia" w:hAnsi="Georgia" w:cs="Georgia"/>
        </w:rPr>
        <w:tab/>
        <w:t xml:space="preserve">       Total (add the column above) = _____</w:t>
      </w:r>
    </w:p>
    <w:p w14:paraId="607DE72C" w14:textId="77777777" w:rsidR="00CE49B0" w:rsidRPr="00712467" w:rsidRDefault="00CE49B0" w:rsidP="00CE49B0">
      <w:pPr>
        <w:autoSpaceDE w:val="0"/>
        <w:autoSpaceDN w:val="0"/>
        <w:adjustRightInd w:val="0"/>
        <w:spacing w:after="0" w:line="240" w:lineRule="auto"/>
        <w:rPr>
          <w:rFonts w:ascii="Georgia" w:hAnsi="Georgia" w:cs="Georgia"/>
        </w:rPr>
      </w:pPr>
    </w:p>
    <w:p w14:paraId="591A7D0B" w14:textId="77777777" w:rsidR="00CE49B0" w:rsidRPr="00712467" w:rsidRDefault="00CE49B0" w:rsidP="00CE49B0">
      <w:pPr>
        <w:autoSpaceDE w:val="0"/>
        <w:autoSpaceDN w:val="0"/>
        <w:adjustRightInd w:val="0"/>
        <w:spacing w:after="0" w:line="240" w:lineRule="auto"/>
        <w:rPr>
          <w:rFonts w:ascii="Georgia" w:hAnsi="Georgia" w:cs="Georgia"/>
        </w:rPr>
      </w:pPr>
      <w:r w:rsidRPr="00712467">
        <w:rPr>
          <w:rFonts w:ascii="Georgia" w:hAnsi="Georgia" w:cs="Georgia"/>
          <w:b/>
          <w:bCs/>
        </w:rPr>
        <w:t>Example</w:t>
      </w:r>
      <w:r w:rsidRPr="00712467">
        <w:rPr>
          <w:rFonts w:ascii="Georgia" w:hAnsi="Georgia" w:cs="Georgia"/>
        </w:rPr>
        <w:t>: The following example is for a tenant who paid a $275 security deposit on 27 July 1985, lived in his apartment from 1 August 1985 to 29 July 2019, and got the deposit returned 21 August 2019 (remember don’t count partial initial month but do count partial final month).</w:t>
      </w:r>
    </w:p>
    <w:p w14:paraId="683BE4B6" w14:textId="77777777" w:rsidR="00CE49B0" w:rsidRPr="00712467" w:rsidRDefault="00CE49B0" w:rsidP="00CE49B0">
      <w:pPr>
        <w:autoSpaceDE w:val="0"/>
        <w:autoSpaceDN w:val="0"/>
        <w:adjustRightInd w:val="0"/>
        <w:spacing w:after="0" w:line="240" w:lineRule="auto"/>
        <w:rPr>
          <w:rFonts w:ascii="Georgia" w:hAnsi="Georgia" w:cs="Georgia"/>
        </w:rPr>
      </w:pPr>
    </w:p>
    <w:p w14:paraId="5CC21287"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proofErr w:type="gramStart"/>
      <w:r w:rsidRPr="00712467">
        <w:rPr>
          <w:rFonts w:ascii="Georgia" w:hAnsi="Georgia" w:cs="Georgia"/>
        </w:rPr>
        <w:t>( 275</w:t>
      </w:r>
      <w:proofErr w:type="gramEnd"/>
      <w:r w:rsidRPr="00712467">
        <w:rPr>
          <w:rFonts w:ascii="Georgia" w:hAnsi="Georgia" w:cs="Georgia"/>
        </w:rPr>
        <w:t xml:space="preserve"> x .05) x (0÷ 12) </w:t>
      </w:r>
      <w:r w:rsidRPr="00712467">
        <w:rPr>
          <w:rFonts w:ascii="Georgia" w:hAnsi="Georgia" w:cs="Georgia"/>
          <w:color w:val="FF0000"/>
        </w:rPr>
        <w:t>= $0</w:t>
      </w:r>
      <w:r w:rsidRPr="00712467">
        <w:rPr>
          <w:rFonts w:ascii="Georgia" w:hAnsi="Georgia" w:cs="Georgia"/>
          <w:color w:val="FF0000"/>
        </w:rPr>
        <w:tab/>
      </w:r>
      <w:r w:rsidRPr="00712467">
        <w:rPr>
          <w:rFonts w:ascii="Georgia" w:hAnsi="Georgia" w:cs="Georgia"/>
        </w:rPr>
        <w:tab/>
        <w:t xml:space="preserve"># of months prior to Oct. 1984 </w:t>
      </w:r>
      <w:r w:rsidRPr="00712467">
        <w:rPr>
          <w:rFonts w:ascii="Georgia" w:hAnsi="Georgia" w:cs="Georgia"/>
          <w:u w:val="single"/>
        </w:rPr>
        <w:t>= 0</w:t>
      </w:r>
    </w:p>
    <w:p w14:paraId="1C4D9AEA"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proofErr w:type="gramStart"/>
      <w:r w:rsidRPr="00712467">
        <w:rPr>
          <w:rFonts w:ascii="Georgia" w:hAnsi="Georgia" w:cs="Georgia"/>
        </w:rPr>
        <w:t>( 275</w:t>
      </w:r>
      <w:proofErr w:type="gramEnd"/>
      <w:r w:rsidRPr="00712467">
        <w:rPr>
          <w:rFonts w:ascii="Georgia" w:hAnsi="Georgia" w:cs="Georgia"/>
        </w:rPr>
        <w:t xml:space="preserve"> x .055) x (81 ÷ 12)</w:t>
      </w:r>
      <w:r w:rsidRPr="00712467">
        <w:rPr>
          <w:rFonts w:ascii="Georgia" w:hAnsi="Georgia" w:cs="Georgia"/>
          <w:color w:val="FF0000"/>
        </w:rPr>
        <w:t xml:space="preserve"> = $102.09</w:t>
      </w:r>
      <w:r w:rsidRPr="00712467">
        <w:rPr>
          <w:rFonts w:ascii="Georgia" w:hAnsi="Georgia" w:cs="Georgia"/>
        </w:rPr>
        <w:tab/>
        <w:t xml:space="preserve"># of months between Oct. 1, 1984 and April 30, 1992 </w:t>
      </w:r>
      <w:r w:rsidRPr="00712467">
        <w:rPr>
          <w:rFonts w:ascii="Georgia" w:hAnsi="Georgia" w:cs="Georgia"/>
          <w:u w:val="single"/>
        </w:rPr>
        <w:t>= 81</w:t>
      </w:r>
    </w:p>
    <w:p w14:paraId="683CBCA0"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proofErr w:type="gramStart"/>
      <w:r w:rsidRPr="00712467">
        <w:rPr>
          <w:rFonts w:ascii="Georgia" w:hAnsi="Georgia" w:cs="Georgia"/>
        </w:rPr>
        <w:t>( 275</w:t>
      </w:r>
      <w:proofErr w:type="gramEnd"/>
      <w:r w:rsidRPr="00712467">
        <w:rPr>
          <w:rFonts w:ascii="Georgia" w:hAnsi="Georgia" w:cs="Georgia"/>
        </w:rPr>
        <w:t xml:space="preserve"> x .04) x (46 ÷ 12) </w:t>
      </w:r>
      <w:r w:rsidRPr="00712467">
        <w:rPr>
          <w:rFonts w:ascii="Georgia" w:hAnsi="Georgia" w:cs="Georgia"/>
          <w:color w:val="FF0000"/>
        </w:rPr>
        <w:t xml:space="preserve">= $42.17 </w:t>
      </w:r>
      <w:r w:rsidRPr="00712467">
        <w:rPr>
          <w:rFonts w:ascii="Georgia" w:hAnsi="Georgia" w:cs="Georgia"/>
        </w:rPr>
        <w:tab/>
        <w:t xml:space="preserve"># of months between May 1, 1992 and Mar. 1, 1996 </w:t>
      </w:r>
      <w:r w:rsidRPr="00712467">
        <w:rPr>
          <w:rFonts w:ascii="Georgia" w:hAnsi="Georgia" w:cs="Georgia"/>
          <w:u w:val="single"/>
        </w:rPr>
        <w:t>= 46</w:t>
      </w:r>
    </w:p>
    <w:p w14:paraId="7D1D3A1C"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proofErr w:type="gramStart"/>
      <w:r w:rsidRPr="00712467">
        <w:rPr>
          <w:rFonts w:ascii="Georgia" w:hAnsi="Georgia" w:cs="Georgia"/>
        </w:rPr>
        <w:t>( 275</w:t>
      </w:r>
      <w:proofErr w:type="gramEnd"/>
      <w:r w:rsidRPr="00712467">
        <w:rPr>
          <w:rFonts w:ascii="Georgia" w:hAnsi="Georgia" w:cs="Georgia"/>
        </w:rPr>
        <w:t xml:space="preserve"> x .04) x (21 ÷ 365) </w:t>
      </w:r>
      <w:r w:rsidRPr="00712467">
        <w:rPr>
          <w:rFonts w:ascii="Georgia" w:hAnsi="Georgia" w:cs="Georgia"/>
          <w:color w:val="FF0000"/>
        </w:rPr>
        <w:t xml:space="preserve">= $0.63 </w:t>
      </w:r>
      <w:r w:rsidRPr="00712467">
        <w:rPr>
          <w:rFonts w:ascii="Georgia" w:hAnsi="Georgia" w:cs="Georgia"/>
        </w:rPr>
        <w:tab/>
        <w:t xml:space="preserve"># of days between Mar. 1, 1996 and Mar. 21, 1996 </w:t>
      </w:r>
      <w:r w:rsidRPr="00712467">
        <w:rPr>
          <w:rFonts w:ascii="Georgia" w:hAnsi="Georgia" w:cs="Georgia"/>
          <w:u w:val="single"/>
        </w:rPr>
        <w:t>= 21</w:t>
      </w:r>
    </w:p>
    <w:p w14:paraId="654B4B44"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proofErr w:type="gramStart"/>
      <w:r w:rsidRPr="00712467">
        <w:rPr>
          <w:rFonts w:ascii="Georgia" w:hAnsi="Georgia" w:cs="Georgia"/>
        </w:rPr>
        <w:t>( 275</w:t>
      </w:r>
      <w:proofErr w:type="gramEnd"/>
      <w:r w:rsidRPr="00712467">
        <w:rPr>
          <w:rFonts w:ascii="Georgia" w:hAnsi="Georgia" w:cs="Georgia"/>
        </w:rPr>
        <w:t xml:space="preserve"> x .03) x (10 ÷ 365) </w:t>
      </w:r>
      <w:r w:rsidRPr="00712467">
        <w:rPr>
          <w:rFonts w:ascii="Georgia" w:hAnsi="Georgia" w:cs="Georgia"/>
          <w:color w:val="FF0000"/>
        </w:rPr>
        <w:t xml:space="preserve">= $0.23 </w:t>
      </w:r>
      <w:r w:rsidRPr="00712467">
        <w:rPr>
          <w:rFonts w:ascii="Georgia" w:hAnsi="Georgia" w:cs="Georgia"/>
        </w:rPr>
        <w:tab/>
        <w:t xml:space="preserve"># of days between Mar. 22, 1996 and Mar. 31, 1996 </w:t>
      </w:r>
      <w:r w:rsidRPr="00712467">
        <w:rPr>
          <w:rFonts w:ascii="Georgia" w:hAnsi="Georgia" w:cs="Georgia"/>
          <w:u w:val="single"/>
        </w:rPr>
        <w:t>= 10</w:t>
      </w:r>
    </w:p>
    <w:p w14:paraId="14935CBA"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proofErr w:type="gramStart"/>
      <w:r w:rsidRPr="00712467">
        <w:rPr>
          <w:rFonts w:ascii="Georgia" w:hAnsi="Georgia" w:cs="Georgia"/>
        </w:rPr>
        <w:t>( 275</w:t>
      </w:r>
      <w:proofErr w:type="gramEnd"/>
      <w:r w:rsidRPr="00712467">
        <w:rPr>
          <w:rFonts w:ascii="Georgia" w:hAnsi="Georgia" w:cs="Georgia"/>
        </w:rPr>
        <w:t xml:space="preserve"> x .03) x (88 ÷ 12) </w:t>
      </w:r>
      <w:r w:rsidRPr="00712467">
        <w:rPr>
          <w:rFonts w:ascii="Georgia" w:hAnsi="Georgia" w:cs="Georgia"/>
          <w:color w:val="FF0000"/>
        </w:rPr>
        <w:t xml:space="preserve">= $60.50 </w:t>
      </w:r>
      <w:r w:rsidRPr="00712467">
        <w:rPr>
          <w:rFonts w:ascii="Georgia" w:hAnsi="Georgia" w:cs="Georgia"/>
        </w:rPr>
        <w:tab/>
        <w:t xml:space="preserve"># of months between April 1, 1996 and July 31, 2003 </w:t>
      </w:r>
      <w:r w:rsidRPr="00712467">
        <w:rPr>
          <w:rFonts w:ascii="Georgia" w:hAnsi="Georgia" w:cs="Georgia"/>
          <w:u w:val="single"/>
        </w:rPr>
        <w:t>= 88</w:t>
      </w:r>
    </w:p>
    <w:p w14:paraId="74590A0F" w14:textId="77777777" w:rsidR="00CE49B0" w:rsidRPr="00712467" w:rsidRDefault="00CE49B0" w:rsidP="00CE49B0">
      <w:pPr>
        <w:tabs>
          <w:tab w:val="left" w:pos="720"/>
          <w:tab w:val="left" w:pos="1440"/>
          <w:tab w:val="left" w:pos="2160"/>
          <w:tab w:val="left" w:pos="2880"/>
          <w:tab w:val="left" w:pos="3600"/>
        </w:tabs>
        <w:autoSpaceDE w:val="0"/>
        <w:autoSpaceDN w:val="0"/>
        <w:adjustRightInd w:val="0"/>
        <w:spacing w:after="0" w:line="240" w:lineRule="auto"/>
        <w:ind w:left="3600" w:hanging="3600"/>
        <w:rPr>
          <w:rFonts w:ascii="Georgia" w:hAnsi="Georgia" w:cs="Georgia"/>
        </w:rPr>
      </w:pPr>
      <w:proofErr w:type="gramStart"/>
      <w:r w:rsidRPr="00712467">
        <w:rPr>
          <w:rFonts w:ascii="Georgia" w:hAnsi="Georgia" w:cs="Georgia"/>
        </w:rPr>
        <w:t>( 275</w:t>
      </w:r>
      <w:proofErr w:type="gramEnd"/>
      <w:r w:rsidRPr="00712467">
        <w:rPr>
          <w:rFonts w:ascii="Georgia" w:hAnsi="Georgia" w:cs="Georgia"/>
        </w:rPr>
        <w:t xml:space="preserve"> x .01) x (193 ÷ 12) </w:t>
      </w:r>
      <w:r w:rsidRPr="00712467">
        <w:rPr>
          <w:rFonts w:ascii="Georgia" w:hAnsi="Georgia" w:cs="Georgia"/>
          <w:color w:val="FF0000"/>
        </w:rPr>
        <w:t xml:space="preserve">= $44.23 </w:t>
      </w:r>
      <w:r w:rsidRPr="00712467">
        <w:rPr>
          <w:rFonts w:ascii="Georgia" w:hAnsi="Georgia" w:cs="Georgia"/>
        </w:rPr>
        <w:tab/>
        <w:t xml:space="preserve"># of months between Aug. 1, 2003 and Aug. 31, 2019 </w:t>
      </w:r>
      <w:r w:rsidRPr="00712467">
        <w:rPr>
          <w:rFonts w:ascii="Georgia" w:hAnsi="Georgia" w:cs="Georgia"/>
          <w:u w:val="single"/>
        </w:rPr>
        <w:t>= 193</w:t>
      </w:r>
    </w:p>
    <w:p w14:paraId="16E3CE06" w14:textId="77777777" w:rsidR="00CE49B0" w:rsidRPr="00712467" w:rsidRDefault="00CE49B0" w:rsidP="00CE49B0">
      <w:pPr>
        <w:autoSpaceDE w:val="0"/>
        <w:autoSpaceDN w:val="0"/>
        <w:adjustRightInd w:val="0"/>
        <w:spacing w:after="0" w:line="240" w:lineRule="auto"/>
        <w:rPr>
          <w:rFonts w:ascii="Georgia" w:hAnsi="Georgia" w:cs="Georgia"/>
        </w:rPr>
      </w:pPr>
    </w:p>
    <w:p w14:paraId="3C63774C" w14:textId="77777777" w:rsidR="0098471F" w:rsidRPr="00712467" w:rsidRDefault="00CE49B0" w:rsidP="002A37CD">
      <w:pPr>
        <w:ind w:left="720"/>
        <w:rPr>
          <w:rFonts w:ascii="Times New Roman" w:hAnsi="Times New Roman" w:cs="Times New Roman"/>
        </w:rPr>
      </w:pPr>
      <w:r w:rsidRPr="00712467">
        <w:rPr>
          <w:rFonts w:ascii="Georgia" w:hAnsi="Georgia" w:cs="Georgia"/>
        </w:rPr>
        <w:tab/>
      </w:r>
      <w:r w:rsidRPr="00712467">
        <w:rPr>
          <w:rFonts w:ascii="Georgia" w:hAnsi="Georgia" w:cs="Georgia"/>
        </w:rPr>
        <w:tab/>
        <w:t xml:space="preserve">    </w:t>
      </w:r>
      <w:r w:rsidRPr="00712467">
        <w:rPr>
          <w:rFonts w:ascii="Georgia" w:hAnsi="Georgia" w:cs="Georgia"/>
          <w:b/>
          <w:bCs/>
        </w:rPr>
        <w:t xml:space="preserve">Total </w:t>
      </w:r>
      <w:r w:rsidRPr="00712467">
        <w:rPr>
          <w:rFonts w:ascii="Georgia" w:hAnsi="Georgia" w:cs="Georgia"/>
          <w:b/>
          <w:bCs/>
          <w:color w:val="FF0000"/>
        </w:rPr>
        <w:t>=</w:t>
      </w:r>
      <w:r w:rsidRPr="00712467">
        <w:rPr>
          <w:rFonts w:ascii="Georgia" w:hAnsi="Georgia" w:cs="Georgia"/>
          <w:b/>
          <w:bCs/>
        </w:rPr>
        <w:t xml:space="preserve"> </w:t>
      </w:r>
      <w:r w:rsidRPr="00712467">
        <w:rPr>
          <w:rFonts w:ascii="Georgia" w:hAnsi="Georgia" w:cs="Georgia"/>
          <w:b/>
          <w:bCs/>
          <w:color w:val="FF0000"/>
        </w:rPr>
        <w:t>$249.84</w:t>
      </w:r>
    </w:p>
    <w:sectPr w:rsidR="0098471F" w:rsidRPr="00712467">
      <w:footerReference w:type="default" r:id="rId9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FE5DA2" w14:textId="77777777" w:rsidR="00203DAF" w:rsidRDefault="00203DAF" w:rsidP="00E346E2">
      <w:pPr>
        <w:spacing w:after="0" w:line="240" w:lineRule="auto"/>
      </w:pPr>
      <w:r>
        <w:separator/>
      </w:r>
    </w:p>
  </w:endnote>
  <w:endnote w:type="continuationSeparator" w:id="0">
    <w:p w14:paraId="62AD5507" w14:textId="77777777" w:rsidR="00203DAF" w:rsidRDefault="00203DAF" w:rsidP="00E346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45154331"/>
      <w:docPartObj>
        <w:docPartGallery w:val="Page Numbers (Bottom of Page)"/>
        <w:docPartUnique/>
      </w:docPartObj>
    </w:sdtPr>
    <w:sdtEndPr>
      <w:rPr>
        <w:noProof/>
      </w:rPr>
    </w:sdtEndPr>
    <w:sdtContent>
      <w:p w14:paraId="4F044846" w14:textId="77777777" w:rsidR="00063E35" w:rsidRDefault="00063E35">
        <w:pPr>
          <w:pStyle w:val="Footer"/>
          <w:jc w:val="center"/>
        </w:pPr>
        <w:r>
          <w:fldChar w:fldCharType="begin"/>
        </w:r>
        <w:r>
          <w:instrText xml:space="preserve"> PAGE   \* MERGEFORMAT </w:instrText>
        </w:r>
        <w:r>
          <w:fldChar w:fldCharType="separate"/>
        </w:r>
        <w:r w:rsidR="00D05435">
          <w:rPr>
            <w:noProof/>
          </w:rPr>
          <w:t>4</w:t>
        </w:r>
        <w:r>
          <w:rPr>
            <w:noProof/>
          </w:rPr>
          <w:fldChar w:fldCharType="end"/>
        </w:r>
      </w:p>
    </w:sdtContent>
  </w:sdt>
  <w:p w14:paraId="72559525" w14:textId="77777777" w:rsidR="00063E35" w:rsidRDefault="00063E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2F6BA0" w14:textId="77777777" w:rsidR="00203DAF" w:rsidRDefault="00203DAF" w:rsidP="00E346E2">
      <w:pPr>
        <w:spacing w:after="0" w:line="240" w:lineRule="auto"/>
      </w:pPr>
      <w:r>
        <w:separator/>
      </w:r>
    </w:p>
  </w:footnote>
  <w:footnote w:type="continuationSeparator" w:id="0">
    <w:p w14:paraId="65DC6260" w14:textId="77777777" w:rsidR="00203DAF" w:rsidRDefault="00203DAF" w:rsidP="00E346E2">
      <w:pPr>
        <w:spacing w:after="0" w:line="240" w:lineRule="auto"/>
      </w:pPr>
      <w:r>
        <w:continuationSeparator/>
      </w:r>
    </w:p>
  </w:footnote>
  <w:footnote w:id="1">
    <w:p w14:paraId="4236DAE6" w14:textId="77777777" w:rsidR="00063E35" w:rsidRPr="00682939" w:rsidRDefault="00063E35">
      <w:pPr>
        <w:pStyle w:val="FootnoteText"/>
        <w:rPr>
          <w:rFonts w:ascii="Times New Roman" w:hAnsi="Times New Roman" w:cs="Times New Roman"/>
          <w:sz w:val="24"/>
          <w:szCs w:val="24"/>
        </w:rPr>
      </w:pPr>
      <w:r w:rsidRPr="00682939">
        <w:rPr>
          <w:rStyle w:val="FootnoteReference"/>
          <w:rFonts w:ascii="Times New Roman" w:hAnsi="Times New Roman" w:cs="Times New Roman"/>
          <w:sz w:val="24"/>
          <w:szCs w:val="24"/>
        </w:rPr>
        <w:footnoteRef/>
      </w:r>
      <w:r>
        <w:rPr>
          <w:rFonts w:ascii="Times New Roman" w:hAnsi="Times New Roman" w:cs="Times New Roman"/>
          <w:sz w:val="24"/>
          <w:szCs w:val="24"/>
        </w:rPr>
        <w:t xml:space="preserve"> Available at </w:t>
      </w:r>
      <w:hyperlink r:id="rId1" w:history="1">
        <w:r w:rsidRPr="00523778">
          <w:rPr>
            <w:rStyle w:val="Hyperlink"/>
            <w:rFonts w:ascii="Times New Roman" w:hAnsi="Times New Roman" w:cs="Times New Roman"/>
            <w:sz w:val="24"/>
            <w:szCs w:val="24"/>
          </w:rPr>
          <w:t>http://homelinemn.org/wp-content/uploads/Sec-Dep-Laws%20(1971-2014).pdf</w:t>
        </w:r>
      </w:hyperlink>
      <w:r>
        <w:rPr>
          <w:rFonts w:ascii="Times New Roman" w:hAnsi="Times New Roman" w:cs="Times New Roman"/>
          <w:sz w:val="24"/>
          <w:szCs w:val="24"/>
        </w:rPr>
        <w:t xml:space="preserve"> This webpage</w:t>
      </w:r>
      <w:r w:rsidRPr="00682939">
        <w:rPr>
          <w:rFonts w:ascii="Times New Roman" w:hAnsi="Times New Roman" w:cs="Times New Roman"/>
          <w:sz w:val="24"/>
          <w:szCs w:val="24"/>
        </w:rPr>
        <w:t xml:space="preserve"> also displays the prior law, </w:t>
      </w:r>
      <w:hyperlink r:id="rId2" w:history="1">
        <w:r w:rsidRPr="004320BF">
          <w:rPr>
            <w:rStyle w:val="Hyperlink"/>
            <w:rFonts w:ascii="Times New Roman" w:hAnsi="Times New Roman" w:cs="Times New Roman"/>
            <w:sz w:val="24"/>
            <w:szCs w:val="24"/>
          </w:rPr>
          <w:t>Minn. Stat. § 504.19 (1971</w:t>
        </w:r>
      </w:hyperlink>
      <w:r w:rsidRPr="00682939">
        <w:rPr>
          <w:rFonts w:ascii="Times New Roman" w:hAnsi="Times New Roman" w:cs="Times New Roman"/>
          <w:sz w:val="24"/>
          <w:szCs w:val="24"/>
        </w:rPr>
        <w:t xml:space="preserve">), which governed residential security deposits from 1971 until the 1973 </w:t>
      </w:r>
      <w:r>
        <w:rPr>
          <w:rFonts w:ascii="Times New Roman" w:hAnsi="Times New Roman" w:cs="Times New Roman"/>
          <w:sz w:val="24"/>
          <w:szCs w:val="24"/>
        </w:rPr>
        <w:t xml:space="preserve">law </w:t>
      </w:r>
      <w:r w:rsidRPr="00682939">
        <w:rPr>
          <w:rFonts w:ascii="Times New Roman" w:hAnsi="Times New Roman" w:cs="Times New Roman"/>
          <w:sz w:val="24"/>
          <w:szCs w:val="24"/>
        </w:rPr>
        <w:t>repealed and replaced it.</w:t>
      </w:r>
    </w:p>
    <w:p w14:paraId="4D78748F" w14:textId="77777777" w:rsidR="00063E35" w:rsidRDefault="00063E35">
      <w:pPr>
        <w:pStyle w:val="FootnoteText"/>
      </w:pPr>
    </w:p>
  </w:footnote>
  <w:footnote w:id="2">
    <w:p w14:paraId="211C64F9" w14:textId="5C1A8C6A" w:rsidR="00063E35" w:rsidRPr="00682939" w:rsidRDefault="00063E35">
      <w:pPr>
        <w:pStyle w:val="FootnoteText"/>
        <w:rPr>
          <w:rFonts w:ascii="Times New Roman" w:hAnsi="Times New Roman" w:cs="Times New Roman"/>
          <w:sz w:val="24"/>
          <w:szCs w:val="24"/>
        </w:rPr>
      </w:pPr>
      <w:r w:rsidRPr="00682939">
        <w:rPr>
          <w:rStyle w:val="FootnoteReference"/>
          <w:rFonts w:ascii="Times New Roman" w:hAnsi="Times New Roman" w:cs="Times New Roman"/>
          <w:sz w:val="24"/>
          <w:szCs w:val="24"/>
        </w:rPr>
        <w:footnoteRef/>
      </w:r>
      <w:r w:rsidRPr="00682939">
        <w:rPr>
          <w:rFonts w:ascii="Times New Roman" w:hAnsi="Times New Roman" w:cs="Times New Roman"/>
          <w:sz w:val="24"/>
          <w:szCs w:val="24"/>
        </w:rPr>
        <w:t xml:space="preserve"> In theory, there might be a few exceptions. Subdivision 11 of the statute makes it applicable “only to tenancies commencing or renewed on or after July 1, 1973. For the purposes of this section, estates at will shall be deemed to be renewed at the commencement of each rental period.” Perhaps </w:t>
      </w:r>
      <w:r>
        <w:rPr>
          <w:rFonts w:ascii="Times New Roman" w:hAnsi="Times New Roman" w:cs="Times New Roman"/>
          <w:sz w:val="24"/>
          <w:szCs w:val="24"/>
        </w:rPr>
        <w:t xml:space="preserve">in all of Minnesota there are still a </w:t>
      </w:r>
      <w:r w:rsidRPr="00682939">
        <w:rPr>
          <w:rFonts w:ascii="Times New Roman" w:hAnsi="Times New Roman" w:cs="Times New Roman"/>
          <w:sz w:val="24"/>
          <w:szCs w:val="24"/>
        </w:rPr>
        <w:t>handful of very long</w:t>
      </w:r>
      <w:r>
        <w:rPr>
          <w:rFonts w:ascii="Times New Roman" w:hAnsi="Times New Roman" w:cs="Times New Roman"/>
          <w:sz w:val="24"/>
          <w:szCs w:val="24"/>
        </w:rPr>
        <w:t>,</w:t>
      </w:r>
      <w:r w:rsidRPr="00682939">
        <w:rPr>
          <w:rFonts w:ascii="Times New Roman" w:hAnsi="Times New Roman" w:cs="Times New Roman"/>
          <w:sz w:val="24"/>
          <w:szCs w:val="24"/>
        </w:rPr>
        <w:t xml:space="preserve"> term </w:t>
      </w:r>
      <w:r>
        <w:rPr>
          <w:rFonts w:ascii="Times New Roman" w:hAnsi="Times New Roman" w:cs="Times New Roman"/>
          <w:sz w:val="24"/>
          <w:szCs w:val="24"/>
        </w:rPr>
        <w:t xml:space="preserve">residential </w:t>
      </w:r>
      <w:r w:rsidRPr="00682939">
        <w:rPr>
          <w:rFonts w:ascii="Times New Roman" w:hAnsi="Times New Roman" w:cs="Times New Roman"/>
          <w:sz w:val="24"/>
          <w:szCs w:val="24"/>
        </w:rPr>
        <w:t>leases executed before July 1973.</w:t>
      </w:r>
    </w:p>
  </w:footnote>
  <w:footnote w:id="3">
    <w:p w14:paraId="595A61D2" w14:textId="77777777" w:rsidR="00063E35" w:rsidRDefault="00063E35" w:rsidP="00151C08">
      <w:pPr>
        <w:pStyle w:val="first"/>
      </w:pPr>
      <w:r>
        <w:rPr>
          <w:rStyle w:val="FootnoteReference"/>
        </w:rPr>
        <w:footnoteRef/>
      </w:r>
      <w:r>
        <w:t xml:space="preserve"> That definition has been in place since 1941. </w:t>
      </w:r>
      <w:hyperlink r:id="rId3" w:history="1">
        <w:r>
          <w:rPr>
            <w:rStyle w:val="Hyperlink"/>
          </w:rPr>
          <w:t>1941 Minn. Laws c 492 s 45</w:t>
        </w:r>
      </w:hyperlink>
      <w:r>
        <w:t xml:space="preserve">; </w:t>
      </w:r>
      <w:hyperlink r:id="rId4" w:history="1">
        <w:r>
          <w:rPr>
            <w:rStyle w:val="Hyperlink"/>
          </w:rPr>
          <w:t>1973 Minn Laws c 725 s 83</w:t>
        </w:r>
      </w:hyperlink>
      <w:r>
        <w:t>.</w:t>
      </w:r>
    </w:p>
    <w:p w14:paraId="7B67AC6C" w14:textId="77777777" w:rsidR="00063E35" w:rsidRDefault="00063E35">
      <w:pPr>
        <w:pStyle w:val="FootnoteText"/>
      </w:pPr>
    </w:p>
  </w:footnote>
  <w:footnote w:id="4">
    <w:p w14:paraId="4A883CA7" w14:textId="1799CCFD" w:rsidR="00D357FD" w:rsidRDefault="00D357FD" w:rsidP="006F6D59">
      <w:pPr>
        <w:pStyle w:val="btitleprolog"/>
        <w:shd w:val="clear" w:color="auto" w:fill="FFFFFF"/>
        <w:spacing w:before="48" w:beforeAutospacing="0" w:after="120" w:afterAutospacing="0"/>
      </w:pPr>
      <w:r w:rsidRPr="003853BC">
        <w:rPr>
          <w:rStyle w:val="FootnoteReference"/>
        </w:rPr>
        <w:footnoteRef/>
      </w:r>
      <w:r w:rsidRPr="003853BC">
        <w:t xml:space="preserve"> </w:t>
      </w:r>
      <w:hyperlink r:id="rId5" w:anchor="laws.0.105.0" w:history="1">
        <w:r w:rsidRPr="003853BC">
          <w:rPr>
            <w:rStyle w:val="Hyperlink"/>
          </w:rPr>
          <w:t xml:space="preserve">2024 Minn. Laws </w:t>
        </w:r>
        <w:proofErr w:type="spellStart"/>
        <w:r w:rsidRPr="003853BC">
          <w:rPr>
            <w:rStyle w:val="Hyperlink"/>
          </w:rPr>
          <w:t>ch.</w:t>
        </w:r>
        <w:proofErr w:type="spellEnd"/>
        <w:r w:rsidRPr="003853BC">
          <w:rPr>
            <w:rStyle w:val="Hyperlink"/>
          </w:rPr>
          <w:t xml:space="preserve"> 85, s. 105</w:t>
        </w:r>
      </w:hyperlink>
      <w:r w:rsidRPr="003853BC">
        <w:t xml:space="preserve"> deleted the reference to 3% interest before August 1, 2003. However, as discussed in th</w:t>
      </w:r>
      <w:r w:rsidR="00F1617C">
        <w:t>e text above</w:t>
      </w:r>
      <w:r w:rsidRPr="003853BC">
        <w:t>, since the session law that changed the interest rate from 3% to 1% used the phrase “shall bear”, the amendment did not change the interest earned prior to 8/1/2003.</w:t>
      </w:r>
      <w:r w:rsidR="00521C38" w:rsidRPr="003853BC">
        <w:t xml:space="preserve"> Indeed, this 2024 amendment was part of the Revisor’s bill, which is not designed to make material changes to statutes</w:t>
      </w:r>
      <w:r w:rsidR="008C5365">
        <w:t>. A</w:t>
      </w:r>
      <w:r w:rsidR="00521C38" w:rsidRPr="003853BC">
        <w:t>s the bill</w:t>
      </w:r>
      <w:r w:rsidR="00875433">
        <w:t>’s</w:t>
      </w:r>
      <w:r w:rsidR="00521C38" w:rsidRPr="003853BC">
        <w:t xml:space="preserve"> introduction itself states, it is an “act </w:t>
      </w:r>
      <w:r w:rsidR="00521C38" w:rsidRPr="00521C38">
        <w:rPr>
          <w:color w:val="000000"/>
        </w:rPr>
        <w:t>relating to legislative enactments; making miscellaneous technical corrections to laws and statutes; correcting erroneous, obsolete, and omitted text and references; removing redundant, conflicting, and superseded provisions</w:t>
      </w:r>
      <w:r w:rsidR="00521C38" w:rsidRPr="003853BC">
        <w:rPr>
          <w:color w:val="000000"/>
        </w:rPr>
        <w:t>.”</w:t>
      </w:r>
      <w:r w:rsidR="003853BC" w:rsidRPr="003853BC">
        <w:rPr>
          <w:color w:val="000000"/>
        </w:rPr>
        <w:t xml:space="preserve"> </w:t>
      </w:r>
      <w:r w:rsidR="003853BC" w:rsidRPr="0087547B">
        <w:rPr>
          <w:i/>
          <w:iCs/>
          <w:color w:val="000000"/>
        </w:rPr>
        <w:t>See</w:t>
      </w:r>
      <w:r w:rsidR="003853BC" w:rsidRPr="003853BC">
        <w:rPr>
          <w:color w:val="000000"/>
        </w:rPr>
        <w:t xml:space="preserve"> </w:t>
      </w:r>
      <w:hyperlink r:id="rId6" w:history="1">
        <w:r w:rsidR="003853BC" w:rsidRPr="003853BC">
          <w:rPr>
            <w:rStyle w:val="Hyperlink"/>
            <w:i/>
            <w:iCs/>
          </w:rPr>
          <w:t>City of New Hope v. Catholic Cemeteries</w:t>
        </w:r>
        <w:r w:rsidR="003853BC" w:rsidRPr="003853BC">
          <w:rPr>
            <w:rStyle w:val="Hyperlink"/>
          </w:rPr>
          <w:t>, 467 N.W.2d 336,339 (Minn Ct. App. 1991)</w:t>
        </w:r>
      </w:hyperlink>
      <w:r w:rsidR="003853BC" w:rsidRPr="003853BC">
        <w:rPr>
          <w:color w:val="000000"/>
        </w:rPr>
        <w:t xml:space="preserve"> (“r</w:t>
      </w:r>
      <w:r w:rsidR="003853BC" w:rsidRPr="003853BC">
        <w:rPr>
          <w:color w:val="222222"/>
          <w:shd w:val="clear" w:color="auto" w:fill="FFFFFF"/>
        </w:rPr>
        <w:t>evisor's bill which by its title purported to remove redundant and obsolete</w:t>
      </w:r>
      <w:r w:rsidR="003853BC">
        <w:rPr>
          <w:color w:val="222222"/>
          <w:shd w:val="clear" w:color="auto" w:fill="FFFFFF"/>
        </w:rPr>
        <w:t xml:space="preserve"> language</w:t>
      </w:r>
      <w:r w:rsidR="003853BC" w:rsidRPr="003853BC">
        <w:rPr>
          <w:color w:val="222222"/>
          <w:shd w:val="clear" w:color="auto" w:fill="FFFFFF"/>
        </w:rPr>
        <w:t xml:space="preserve">, to simplify grammar and syntax, and to improve language style </w:t>
      </w:r>
      <w:r w:rsidR="003853BC" w:rsidRPr="003853BC">
        <w:rPr>
          <w:color w:val="222222"/>
          <w:u w:val="single"/>
          <w:shd w:val="clear" w:color="auto" w:fill="FFFFFF"/>
        </w:rPr>
        <w:t>without causing changes in meaning</w:t>
      </w:r>
      <w:r w:rsidR="003853BC" w:rsidRPr="003853BC">
        <w:rPr>
          <w:color w:val="222222"/>
          <w:shd w:val="clear" w:color="auto" w:fill="FFFFFF"/>
        </w:rPr>
        <w:t>”)</w:t>
      </w:r>
    </w:p>
  </w:footnote>
  <w:footnote w:id="5">
    <w:p w14:paraId="534EA418" w14:textId="77777777" w:rsidR="00063E35" w:rsidRDefault="00063E35" w:rsidP="003705CD">
      <w:r>
        <w:rPr>
          <w:rStyle w:val="FootnoteReference"/>
        </w:rPr>
        <w:footnoteRef/>
      </w:r>
      <w:r>
        <w:t xml:space="preserve"> </w:t>
      </w:r>
      <w:r w:rsidRPr="009E52AD">
        <w:rPr>
          <w:rFonts w:ascii="Times New Roman" w:hAnsi="Times New Roman" w:cs="Times New Roman"/>
          <w:sz w:val="24"/>
          <w:szCs w:val="24"/>
        </w:rPr>
        <w:t>Under Minn. Stat. § 645.44, subd. 5 it is not clear whether Columbus Day or the day after Thanksgiving would count as a holiday for the landl</w:t>
      </w:r>
      <w:r>
        <w:rPr>
          <w:rFonts w:ascii="Times New Roman" w:hAnsi="Times New Roman" w:cs="Times New Roman"/>
          <w:sz w:val="24"/>
          <w:szCs w:val="24"/>
        </w:rPr>
        <w:t xml:space="preserve">ord. Following the reasoning of </w:t>
      </w:r>
      <w:hyperlink r:id="rId7" w:history="1">
        <w:r w:rsidRPr="009E52AD">
          <w:rPr>
            <w:rStyle w:val="Hyperlink"/>
            <w:rFonts w:ascii="Times New Roman" w:hAnsi="Times New Roman" w:cs="Times New Roman"/>
            <w:i/>
            <w:iCs/>
            <w:sz w:val="24"/>
            <w:szCs w:val="24"/>
          </w:rPr>
          <w:t>Commandeur LLC v. Howard Hartry, Inc.,</w:t>
        </w:r>
        <w:r w:rsidRPr="009E52AD">
          <w:rPr>
            <w:rStyle w:val="Hyperlink"/>
            <w:rFonts w:ascii="Times New Roman" w:hAnsi="Times New Roman" w:cs="Times New Roman"/>
            <w:sz w:val="24"/>
            <w:szCs w:val="24"/>
          </w:rPr>
          <w:t xml:space="preserve"> 724 N.W.2d 508 (Minn. 2006)</w:t>
        </w:r>
      </w:hyperlink>
      <w:r w:rsidRPr="009E52AD">
        <w:rPr>
          <w:rFonts w:ascii="Times New Roman" w:hAnsi="Times New Roman" w:cs="Times New Roman"/>
          <w:sz w:val="24"/>
          <w:szCs w:val="24"/>
        </w:rPr>
        <w:t xml:space="preserve"> probably both </w:t>
      </w:r>
      <w:r>
        <w:rPr>
          <w:rFonts w:ascii="Times New Roman" w:hAnsi="Times New Roman" w:cs="Times New Roman"/>
          <w:sz w:val="24"/>
          <w:szCs w:val="24"/>
        </w:rPr>
        <w:t xml:space="preserve">days </w:t>
      </w:r>
      <w:r w:rsidRPr="009E52AD">
        <w:rPr>
          <w:rFonts w:ascii="Times New Roman" w:hAnsi="Times New Roman" w:cs="Times New Roman"/>
          <w:sz w:val="24"/>
          <w:szCs w:val="24"/>
        </w:rPr>
        <w:t>would count</w:t>
      </w:r>
      <w:r>
        <w:rPr>
          <w:rFonts w:ascii="Times New Roman" w:hAnsi="Times New Roman" w:cs="Times New Roman"/>
          <w:sz w:val="24"/>
          <w:szCs w:val="24"/>
        </w:rPr>
        <w:t xml:space="preserve"> as holidays</w:t>
      </w:r>
      <w:r w:rsidRPr="009E52AD">
        <w:rPr>
          <w:rFonts w:ascii="Times New Roman" w:hAnsi="Times New Roman" w:cs="Times New Roman"/>
          <w:sz w:val="24"/>
          <w:szCs w:val="24"/>
        </w:rPr>
        <w:t>. However, the conservative landlord should assume neither would count if she is in a position to meet the deadline without either being a “holiday”.</w:t>
      </w:r>
    </w:p>
  </w:footnote>
  <w:footnote w:id="6">
    <w:p w14:paraId="2454CC88" w14:textId="77777777" w:rsidR="007E6FC7" w:rsidRDefault="00063E35" w:rsidP="003705CD">
      <w:pPr>
        <w:rPr>
          <w:rFonts w:ascii="Times New Roman" w:hAnsi="Times New Roman" w:cs="Times New Roman"/>
          <w:sz w:val="24"/>
          <w:szCs w:val="24"/>
        </w:rPr>
      </w:pPr>
      <w:r>
        <w:rPr>
          <w:rStyle w:val="FootnoteReference"/>
        </w:rPr>
        <w:footnoteRef/>
      </w:r>
      <w:r>
        <w:t xml:space="preserve"> </w:t>
      </w:r>
      <w:r>
        <w:rPr>
          <w:rFonts w:ascii="Times New Roman" w:hAnsi="Times New Roman" w:cs="Times New Roman"/>
          <w:sz w:val="24"/>
          <w:szCs w:val="24"/>
        </w:rPr>
        <w:t xml:space="preserve">Pages 13-16 of </w:t>
      </w:r>
      <w:hyperlink r:id="rId8" w:history="1">
        <w:r w:rsidRPr="003705CD">
          <w:rPr>
            <w:rStyle w:val="Hyperlink"/>
            <w:rFonts w:ascii="Times New Roman" w:hAnsi="Times New Roman" w:cs="Times New Roman"/>
            <w:i/>
            <w:iCs/>
            <w:sz w:val="24"/>
            <w:szCs w:val="24"/>
          </w:rPr>
          <w:t>Babler v. Penn</w:t>
        </w:r>
        <w:r w:rsidRPr="003705CD">
          <w:rPr>
            <w:rStyle w:val="Hyperlink"/>
            <w:rFonts w:ascii="Times New Roman" w:hAnsi="Times New Roman" w:cs="Times New Roman"/>
            <w:sz w:val="24"/>
            <w:szCs w:val="24"/>
          </w:rPr>
          <w:t xml:space="preserve">, Minn. Dist. Ct. File No. 62-CV-13-1539 (Ramsey </w:t>
        </w:r>
        <w:proofErr w:type="spellStart"/>
        <w:r w:rsidRPr="003705CD">
          <w:rPr>
            <w:rStyle w:val="Hyperlink"/>
            <w:rFonts w:ascii="Times New Roman" w:hAnsi="Times New Roman" w:cs="Times New Roman"/>
            <w:sz w:val="24"/>
            <w:szCs w:val="24"/>
          </w:rPr>
          <w:t>Cty</w:t>
        </w:r>
        <w:proofErr w:type="spellEnd"/>
        <w:r w:rsidRPr="003705CD">
          <w:rPr>
            <w:rStyle w:val="Hyperlink"/>
            <w:rFonts w:ascii="Times New Roman" w:hAnsi="Times New Roman" w:cs="Times New Roman"/>
            <w:sz w:val="24"/>
            <w:szCs w:val="24"/>
          </w:rPr>
          <w:t>. Aug. 6, 2013)</w:t>
        </w:r>
      </w:hyperlink>
      <w:r>
        <w:rPr>
          <w:rFonts w:ascii="Times New Roman" w:hAnsi="Times New Roman" w:cs="Times New Roman"/>
          <w:sz w:val="24"/>
          <w:szCs w:val="24"/>
        </w:rPr>
        <w:t xml:space="preserve"> include</w:t>
      </w:r>
      <w:r w:rsidRPr="003705CD">
        <w:rPr>
          <w:rFonts w:ascii="Times New Roman" w:hAnsi="Times New Roman" w:cs="Times New Roman"/>
          <w:sz w:val="24"/>
          <w:szCs w:val="24"/>
        </w:rPr>
        <w:t xml:space="preserve"> a</w:t>
      </w:r>
      <w:r>
        <w:rPr>
          <w:rFonts w:ascii="Times New Roman" w:hAnsi="Times New Roman" w:cs="Times New Roman"/>
          <w:sz w:val="24"/>
          <w:szCs w:val="24"/>
        </w:rPr>
        <w:t>n excellent discussion of this issue.</w:t>
      </w:r>
      <w:r w:rsidRPr="009E52AD">
        <w:rPr>
          <w:rFonts w:ascii="Times New Roman" w:hAnsi="Times New Roman" w:cs="Times New Roman"/>
          <w:sz w:val="24"/>
          <w:szCs w:val="24"/>
        </w:rPr>
        <w:t xml:space="preserve"> </w:t>
      </w:r>
    </w:p>
    <w:p w14:paraId="0AFA061D" w14:textId="444C7BCC" w:rsidR="00063E35" w:rsidRPr="003705CD" w:rsidRDefault="00AF43AF" w:rsidP="003705CD">
      <w:pPr>
        <w:rPr>
          <w:rFonts w:ascii="Times New Roman" w:hAnsi="Times New Roman" w:cs="Times New Roman"/>
          <w:sz w:val="24"/>
          <w:szCs w:val="24"/>
        </w:rPr>
      </w:pPr>
      <w:r>
        <w:rPr>
          <w:rFonts w:ascii="Times New Roman" w:hAnsi="Times New Roman" w:cs="Times New Roman"/>
          <w:sz w:val="24"/>
          <w:szCs w:val="24"/>
        </w:rPr>
        <w:t xml:space="preserve">In </w:t>
      </w:r>
      <w:hyperlink r:id="rId9" w:history="1">
        <w:r w:rsidR="007E6FC7" w:rsidRPr="007E6FC7">
          <w:rPr>
            <w:rStyle w:val="Hyperlink"/>
            <w:rFonts w:ascii="Times New Roman" w:hAnsi="Times New Roman" w:cs="Times New Roman"/>
            <w:i/>
            <w:iCs/>
            <w:sz w:val="24"/>
            <w:szCs w:val="24"/>
          </w:rPr>
          <w:t>Williams v. Diallo</w:t>
        </w:r>
        <w:r w:rsidR="007E6FC7" w:rsidRPr="007E6FC7">
          <w:rPr>
            <w:rStyle w:val="Hyperlink"/>
            <w:rFonts w:ascii="Times New Roman" w:hAnsi="Times New Roman" w:cs="Times New Roman"/>
            <w:sz w:val="24"/>
            <w:szCs w:val="24"/>
          </w:rPr>
          <w:t>, No. A23-0426 (Minn. Ct. App. Jan. 29, 2024) (nonprecedential)</w:t>
        </w:r>
      </w:hyperlink>
      <w:r>
        <w:rPr>
          <w:rFonts w:ascii="Times New Roman" w:hAnsi="Times New Roman" w:cs="Times New Roman"/>
          <w:sz w:val="24"/>
          <w:szCs w:val="24"/>
        </w:rPr>
        <w:t>, the tenant argued that a statement sent by text was not a “written statement” because i</w:t>
      </w:r>
      <w:r w:rsidR="006F6D59">
        <w:rPr>
          <w:rFonts w:ascii="Times New Roman" w:hAnsi="Times New Roman" w:cs="Times New Roman"/>
          <w:sz w:val="24"/>
          <w:szCs w:val="24"/>
        </w:rPr>
        <w:t>t</w:t>
      </w:r>
      <w:r>
        <w:rPr>
          <w:rFonts w:ascii="Times New Roman" w:hAnsi="Times New Roman" w:cs="Times New Roman"/>
          <w:sz w:val="24"/>
          <w:szCs w:val="24"/>
        </w:rPr>
        <w:t xml:space="preserve"> was not sent by US mail. The court rejected the argument on the grounds that section 504B.178 </w:t>
      </w:r>
      <w:r w:rsidR="007E6FC7">
        <w:rPr>
          <w:rFonts w:ascii="Times New Roman" w:hAnsi="Times New Roman" w:cs="Times New Roman"/>
          <w:sz w:val="24"/>
          <w:szCs w:val="24"/>
        </w:rPr>
        <w:t xml:space="preserve">only </w:t>
      </w:r>
      <w:r>
        <w:rPr>
          <w:rFonts w:ascii="Times New Roman" w:hAnsi="Times New Roman" w:cs="Times New Roman"/>
          <w:sz w:val="24"/>
          <w:szCs w:val="24"/>
        </w:rPr>
        <w:t>requires the statement to be “furnished”</w:t>
      </w:r>
      <w:r w:rsidR="007E6FC7">
        <w:rPr>
          <w:rFonts w:ascii="Times New Roman" w:hAnsi="Times New Roman" w:cs="Times New Roman"/>
          <w:sz w:val="24"/>
          <w:szCs w:val="24"/>
        </w:rPr>
        <w:t xml:space="preserve"> but</w:t>
      </w:r>
      <w:r>
        <w:rPr>
          <w:rFonts w:ascii="Times New Roman" w:hAnsi="Times New Roman" w:cs="Times New Roman"/>
          <w:sz w:val="24"/>
          <w:szCs w:val="24"/>
        </w:rPr>
        <w:t xml:space="preserve"> not necessarily </w:t>
      </w:r>
      <w:r w:rsidR="00120476">
        <w:rPr>
          <w:rFonts w:ascii="Times New Roman" w:hAnsi="Times New Roman" w:cs="Times New Roman"/>
          <w:sz w:val="24"/>
          <w:szCs w:val="24"/>
        </w:rPr>
        <w:t xml:space="preserve">furnished </w:t>
      </w:r>
      <w:r>
        <w:rPr>
          <w:rFonts w:ascii="Times New Roman" w:hAnsi="Times New Roman" w:cs="Times New Roman"/>
          <w:sz w:val="24"/>
          <w:szCs w:val="24"/>
        </w:rPr>
        <w:t>by US mail. The tenant did not argue that the text was not written nor that texting had not been a method for her to communicate with her landlord. When the written-statement language was enacted in 1973, the legislature obviously meant “furnish” to mean something other than texts or emails</w:t>
      </w:r>
      <w:r w:rsidR="006F6D59">
        <w:rPr>
          <w:rFonts w:ascii="Times New Roman" w:hAnsi="Times New Roman" w:cs="Times New Roman"/>
          <w:sz w:val="24"/>
          <w:szCs w:val="24"/>
        </w:rPr>
        <w:t>; probably it had in mind writing on paper – including a paper-delivered telegram – but I suppose an electronic message that appeared on the tenant’s TV or stock-monitor would have been a thought</w:t>
      </w:r>
      <w:r>
        <w:rPr>
          <w:rFonts w:ascii="Times New Roman" w:hAnsi="Times New Roman" w:cs="Times New Roman"/>
          <w:sz w:val="24"/>
          <w:szCs w:val="24"/>
        </w:rPr>
        <w:t>. Therefore</w:t>
      </w:r>
      <w:r w:rsidR="007E6FC7">
        <w:rPr>
          <w:rFonts w:ascii="Times New Roman" w:hAnsi="Times New Roman" w:cs="Times New Roman"/>
          <w:sz w:val="24"/>
          <w:szCs w:val="24"/>
        </w:rPr>
        <w:t>,</w:t>
      </w:r>
      <w:r>
        <w:rPr>
          <w:rFonts w:ascii="Times New Roman" w:hAnsi="Times New Roman" w:cs="Times New Roman"/>
          <w:sz w:val="24"/>
          <w:szCs w:val="24"/>
        </w:rPr>
        <w:t xml:space="preserve"> </w:t>
      </w:r>
      <w:hyperlink r:id="rId10" w:history="1">
        <w:r w:rsidR="007E6FC7" w:rsidRPr="007E6FC7">
          <w:rPr>
            <w:rStyle w:val="Hyperlink"/>
            <w:rFonts w:ascii="Times New Roman" w:hAnsi="Times New Roman" w:cs="Times New Roman"/>
            <w:i/>
            <w:iCs/>
            <w:sz w:val="24"/>
            <w:szCs w:val="24"/>
          </w:rPr>
          <w:t>Williams v. Diallo</w:t>
        </w:r>
      </w:hyperlink>
      <w:r w:rsidR="007E6FC7">
        <w:rPr>
          <w:rFonts w:ascii="Times New Roman" w:hAnsi="Times New Roman" w:cs="Times New Roman"/>
          <w:sz w:val="24"/>
          <w:szCs w:val="24"/>
        </w:rPr>
        <w:t xml:space="preserve"> </w:t>
      </w:r>
      <w:r>
        <w:rPr>
          <w:rFonts w:ascii="Times New Roman" w:hAnsi="Times New Roman" w:cs="Times New Roman"/>
          <w:sz w:val="24"/>
          <w:szCs w:val="24"/>
        </w:rPr>
        <w:t xml:space="preserve">does not directly decide if a text meets the requirement of a “written statement” and the discussion in </w:t>
      </w:r>
      <w:hyperlink r:id="rId11" w:history="1">
        <w:r w:rsidRPr="003705CD">
          <w:rPr>
            <w:rStyle w:val="Hyperlink"/>
            <w:rFonts w:ascii="Times New Roman" w:hAnsi="Times New Roman" w:cs="Times New Roman"/>
            <w:i/>
            <w:iCs/>
            <w:sz w:val="24"/>
            <w:szCs w:val="24"/>
          </w:rPr>
          <w:t>Babler</w:t>
        </w:r>
      </w:hyperlink>
      <w:r>
        <w:rPr>
          <w:rFonts w:ascii="Times New Roman" w:hAnsi="Times New Roman" w:cs="Times New Roman"/>
          <w:sz w:val="24"/>
          <w:szCs w:val="24"/>
        </w:rPr>
        <w:t xml:space="preserve"> is still an important read.</w:t>
      </w:r>
    </w:p>
  </w:footnote>
  <w:footnote w:id="7">
    <w:p w14:paraId="34C92E66" w14:textId="77777777" w:rsidR="00063E35" w:rsidRDefault="00063E35">
      <w:pPr>
        <w:pStyle w:val="FootnoteText"/>
      </w:pPr>
      <w:r>
        <w:rPr>
          <w:rStyle w:val="FootnoteReference"/>
        </w:rPr>
        <w:footnoteRef/>
      </w:r>
      <w:r>
        <w:t xml:space="preserve"> </w:t>
      </w:r>
      <w:r w:rsidRPr="00A702A7">
        <w:rPr>
          <w:rFonts w:ascii="Times New Roman" w:hAnsi="Times New Roman" w:cs="Times New Roman"/>
          <w:sz w:val="24"/>
          <w:szCs w:val="24"/>
        </w:rPr>
        <w:t>This mailbox rule is in the first sentence of part (b) of subdivision 3</w:t>
      </w:r>
      <w:r>
        <w:t>.</w:t>
      </w:r>
    </w:p>
    <w:p w14:paraId="2505CACF" w14:textId="77777777" w:rsidR="00063E35" w:rsidRDefault="00063E35">
      <w:pPr>
        <w:pStyle w:val="FootnoteText"/>
      </w:pPr>
    </w:p>
  </w:footnote>
  <w:footnote w:id="8">
    <w:p w14:paraId="6A42332D" w14:textId="77777777" w:rsidR="00063E35" w:rsidRDefault="00063E35">
      <w:pPr>
        <w:pStyle w:val="FootnoteText"/>
      </w:pPr>
      <w:r>
        <w:rPr>
          <w:rStyle w:val="FootnoteReference"/>
        </w:rPr>
        <w:footnoteRef/>
      </w:r>
      <w:r>
        <w:t xml:space="preserve"> </w:t>
      </w:r>
      <w:r w:rsidRPr="00710756">
        <w:rPr>
          <w:rFonts w:ascii="Times New Roman" w:hAnsi="Times New Roman" w:cs="Times New Roman"/>
          <w:sz w:val="24"/>
          <w:szCs w:val="24"/>
        </w:rPr>
        <w:t xml:space="preserve">Available on this same blog. The direct URL is </w:t>
      </w:r>
      <w:hyperlink r:id="rId12" w:history="1">
        <w:r w:rsidRPr="00710756">
          <w:rPr>
            <w:rStyle w:val="Hyperlink"/>
            <w:rFonts w:ascii="Times New Roman" w:hAnsi="Times New Roman" w:cs="Times New Roman"/>
            <w:sz w:val="24"/>
            <w:szCs w:val="24"/>
          </w:rPr>
          <w:t>https://birnberglegalwebsite.net/2019/07/22/mungall-v-garry-the-court-of-appeals-misconstrues-the-21-day-clock-in-minn-stat-%c2%a7-504b-178-2/</w:t>
        </w:r>
      </w:hyperlink>
      <w:r>
        <w:t xml:space="preserve"> </w:t>
      </w:r>
    </w:p>
    <w:p w14:paraId="08B2263C" w14:textId="77777777" w:rsidR="00063E35" w:rsidRDefault="00063E35">
      <w:pPr>
        <w:pStyle w:val="FootnoteText"/>
      </w:pPr>
    </w:p>
  </w:footnote>
  <w:footnote w:id="9">
    <w:p w14:paraId="357179F4" w14:textId="77777777" w:rsidR="00063E35" w:rsidRDefault="00063E35">
      <w:pPr>
        <w:pStyle w:val="FootnoteText"/>
        <w:rPr>
          <w:rFonts w:ascii="Times New Roman" w:hAnsi="Times New Roman" w:cs="Times New Roman"/>
          <w:sz w:val="24"/>
          <w:szCs w:val="24"/>
        </w:rPr>
      </w:pPr>
      <w:r>
        <w:rPr>
          <w:rStyle w:val="FootnoteReference"/>
        </w:rPr>
        <w:footnoteRef/>
      </w:r>
      <w:r>
        <w:t xml:space="preserve"> </w:t>
      </w:r>
      <w:r w:rsidRPr="007F55C1">
        <w:rPr>
          <w:rFonts w:ascii="Times New Roman" w:hAnsi="Times New Roman" w:cs="Times New Roman"/>
          <w:sz w:val="24"/>
          <w:szCs w:val="24"/>
        </w:rPr>
        <w:t>Of course, the amount of payment will depend on any number of factors, such as which party is more desperate to do the assignment. All other things being equal, a fair payment for the assignment is the amount of the deposit plus accrued interest.</w:t>
      </w:r>
      <w:r>
        <w:rPr>
          <w:rFonts w:ascii="Times New Roman" w:hAnsi="Times New Roman" w:cs="Times New Roman"/>
          <w:sz w:val="24"/>
          <w:szCs w:val="24"/>
        </w:rPr>
        <w:t xml:space="preserve"> Other switching-roommate issues are discussed here: </w:t>
      </w:r>
      <w:hyperlink r:id="rId13" w:history="1">
        <w:r w:rsidRPr="00D070FD">
          <w:rPr>
            <w:rStyle w:val="Hyperlink"/>
            <w:rFonts w:ascii="Times New Roman" w:hAnsi="Times New Roman" w:cs="Times New Roman"/>
            <w:sz w:val="24"/>
            <w:szCs w:val="24"/>
          </w:rPr>
          <w:t>http://homelinemn.org/wp-content/uploads/Tenants%20in%20Common%20-%20security%20deposit%20return.3.pdf</w:t>
        </w:r>
      </w:hyperlink>
      <w:r>
        <w:rPr>
          <w:rFonts w:ascii="Times New Roman" w:hAnsi="Times New Roman" w:cs="Times New Roman"/>
          <w:sz w:val="24"/>
          <w:szCs w:val="24"/>
        </w:rPr>
        <w:t xml:space="preserve"> </w:t>
      </w:r>
    </w:p>
    <w:p w14:paraId="5D605B48" w14:textId="77777777" w:rsidR="00063E35" w:rsidRDefault="00063E35">
      <w:pPr>
        <w:pStyle w:val="FootnoteText"/>
      </w:pPr>
    </w:p>
  </w:footnote>
  <w:footnote w:id="10">
    <w:p w14:paraId="549ACA99" w14:textId="77777777" w:rsidR="00063E35" w:rsidRDefault="00063E35">
      <w:pPr>
        <w:pStyle w:val="FootnoteText"/>
      </w:pPr>
      <w:r>
        <w:rPr>
          <w:rStyle w:val="FootnoteReference"/>
        </w:rPr>
        <w:footnoteRef/>
      </w:r>
      <w:r>
        <w:t xml:space="preserve"> </w:t>
      </w:r>
      <w:r w:rsidRPr="005804E5">
        <w:rPr>
          <w:rFonts w:ascii="Times New Roman" w:hAnsi="Times New Roman" w:cs="Times New Roman"/>
          <w:sz w:val="24"/>
          <w:szCs w:val="24"/>
        </w:rPr>
        <w:t xml:space="preserve">There is a nonprecedential case allowing three of four roommates to sue </w:t>
      </w:r>
      <w:r>
        <w:rPr>
          <w:rFonts w:ascii="Times New Roman" w:hAnsi="Times New Roman" w:cs="Times New Roman"/>
          <w:sz w:val="24"/>
          <w:szCs w:val="24"/>
        </w:rPr>
        <w:t>for</w:t>
      </w:r>
      <w:r w:rsidRPr="005804E5">
        <w:rPr>
          <w:rFonts w:ascii="Times New Roman" w:hAnsi="Times New Roman" w:cs="Times New Roman"/>
          <w:sz w:val="24"/>
          <w:szCs w:val="24"/>
        </w:rPr>
        <w:t xml:space="preserve"> the deposit. </w:t>
      </w:r>
      <w:hyperlink r:id="rId14" w:history="1">
        <w:r w:rsidRPr="00542FBD">
          <w:rPr>
            <w:rStyle w:val="Hyperlink"/>
            <w:rFonts w:ascii="Times New Roman" w:hAnsi="Times New Roman" w:cs="Times New Roman"/>
            <w:i/>
            <w:iCs/>
            <w:sz w:val="24"/>
            <w:szCs w:val="24"/>
          </w:rPr>
          <w:t xml:space="preserve">Vogt v. </w:t>
        </w:r>
        <w:proofErr w:type="spellStart"/>
        <w:r w:rsidRPr="00542FBD">
          <w:rPr>
            <w:rStyle w:val="Hyperlink"/>
            <w:rFonts w:ascii="Times New Roman" w:hAnsi="Times New Roman" w:cs="Times New Roman"/>
            <w:i/>
            <w:iCs/>
            <w:sz w:val="24"/>
            <w:szCs w:val="24"/>
          </w:rPr>
          <w:t>Demeules</w:t>
        </w:r>
        <w:proofErr w:type="spellEnd"/>
        <w:r w:rsidRPr="00542FBD">
          <w:rPr>
            <w:rStyle w:val="Hyperlink"/>
            <w:rFonts w:ascii="Times New Roman" w:hAnsi="Times New Roman" w:cs="Times New Roman"/>
            <w:sz w:val="24"/>
            <w:szCs w:val="24"/>
          </w:rPr>
          <w:t>, No. C0-92-716, 1992 WL 203287 (Minn. Ct. App. Aug. 25, 1992)</w:t>
        </w:r>
      </w:hyperlink>
      <w:r w:rsidRPr="00542FBD">
        <w:rPr>
          <w:rFonts w:ascii="Times New Roman" w:hAnsi="Times New Roman" w:cs="Times New Roman"/>
          <w:sz w:val="24"/>
          <w:szCs w:val="24"/>
        </w:rPr>
        <w:t xml:space="preserve"> </w:t>
      </w:r>
      <w:r w:rsidRPr="005804E5">
        <w:rPr>
          <w:rFonts w:ascii="Times New Roman" w:hAnsi="Times New Roman" w:cs="Times New Roman"/>
          <w:color w:val="000000"/>
          <w:sz w:val="24"/>
          <w:szCs w:val="24"/>
        </w:rPr>
        <w:t xml:space="preserve">The opinion does not state whether the fourth roommate cooperated </w:t>
      </w:r>
      <w:r>
        <w:rPr>
          <w:rFonts w:ascii="Times New Roman" w:hAnsi="Times New Roman" w:cs="Times New Roman"/>
          <w:color w:val="000000"/>
          <w:sz w:val="24"/>
          <w:szCs w:val="24"/>
        </w:rPr>
        <w:t>n</w:t>
      </w:r>
      <w:r w:rsidRPr="005804E5">
        <w:rPr>
          <w:rFonts w:ascii="Times New Roman" w:hAnsi="Times New Roman" w:cs="Times New Roman"/>
          <w:color w:val="000000"/>
          <w:sz w:val="24"/>
          <w:szCs w:val="24"/>
        </w:rPr>
        <w:t xml:space="preserve">or whether any of them lived out of state, and it did not discuss the rule from </w:t>
      </w:r>
      <w:r w:rsidRPr="005804E5">
        <w:rPr>
          <w:rFonts w:ascii="Times New Roman" w:hAnsi="Times New Roman" w:cs="Times New Roman"/>
          <w:i/>
          <w:color w:val="000000"/>
          <w:sz w:val="24"/>
          <w:szCs w:val="24"/>
        </w:rPr>
        <w:t>Rowland</w:t>
      </w:r>
      <w:r w:rsidRPr="005804E5">
        <w:rPr>
          <w:rFonts w:ascii="Times New Roman" w:hAnsi="Times New Roman" w:cs="Times New Roman"/>
          <w:color w:val="000000"/>
          <w:sz w:val="24"/>
          <w:szCs w:val="24"/>
        </w:rPr>
        <w:t xml:space="preserve"> or </w:t>
      </w:r>
      <w:r w:rsidRPr="005804E5">
        <w:rPr>
          <w:rFonts w:ascii="Times New Roman" w:hAnsi="Times New Roman" w:cs="Times New Roman"/>
          <w:i/>
          <w:color w:val="000000"/>
          <w:sz w:val="24"/>
          <w:szCs w:val="24"/>
        </w:rPr>
        <w:t>Peck</w:t>
      </w:r>
      <w:r w:rsidRPr="005804E5">
        <w:rPr>
          <w:rFonts w:ascii="Times New Roman" w:hAnsi="Times New Roman" w:cs="Times New Roman"/>
          <w:color w:val="000000"/>
          <w:sz w:val="24"/>
          <w:szCs w:val="24"/>
        </w:rPr>
        <w:t>.</w:t>
      </w:r>
    </w:p>
  </w:footnote>
  <w:footnote w:id="11">
    <w:p w14:paraId="515B2992" w14:textId="77777777" w:rsidR="00063E35" w:rsidRDefault="00063E35" w:rsidP="00F7118F">
      <w:pPr>
        <w:pStyle w:val="FootnoteText"/>
      </w:pPr>
      <w:r>
        <w:rPr>
          <w:rStyle w:val="FootnoteReference"/>
        </w:rPr>
        <w:footnoteRef/>
      </w:r>
      <w:r>
        <w:t xml:space="preserve"> </w:t>
      </w:r>
      <w:r w:rsidRPr="006B3707">
        <w:rPr>
          <w:rFonts w:ascii="Times New Roman" w:hAnsi="Times New Roman" w:cs="Times New Roman"/>
          <w:sz w:val="24"/>
          <w:szCs w:val="24"/>
        </w:rPr>
        <w:t xml:space="preserve">Available, respectively, at </w:t>
      </w:r>
      <w:hyperlink r:id="rId15" w:history="1">
        <w:r w:rsidRPr="006B3707">
          <w:rPr>
            <w:rStyle w:val="Hyperlink"/>
            <w:rFonts w:ascii="Times New Roman" w:hAnsi="Times New Roman" w:cs="Times New Roman"/>
            <w:sz w:val="24"/>
            <w:szCs w:val="24"/>
          </w:rPr>
          <w:t>http</w:t>
        </w:r>
      </w:hyperlink>
      <w:hyperlink r:id="rId16" w:history="1">
        <w:r w:rsidRPr="006B3707">
          <w:rPr>
            <w:rStyle w:val="Hyperlink"/>
            <w:rFonts w:ascii="Times New Roman" w:hAnsi="Times New Roman" w:cs="Times New Roman"/>
            <w:sz w:val="24"/>
            <w:szCs w:val="24"/>
          </w:rPr>
          <w:t>://www.mnhousing.gov/get/MHFA_006416</w:t>
        </w:r>
      </w:hyperlink>
      <w:hyperlink r:id="rId17" w:history="1">
        <w:r w:rsidRPr="006B3707">
          <w:rPr>
            <w:rStyle w:val="Hyperlink"/>
            <w:rFonts w:ascii="Times New Roman" w:hAnsi="Times New Roman" w:cs="Times New Roman"/>
            <w:sz w:val="24"/>
            <w:szCs w:val="24"/>
          </w:rPr>
          <w:t xml:space="preserve"> </w:t>
        </w:r>
      </w:hyperlink>
      <w:r w:rsidRPr="006B3707">
        <w:rPr>
          <w:rFonts w:ascii="Times New Roman" w:hAnsi="Times New Roman" w:cs="Times New Roman"/>
          <w:sz w:val="24"/>
          <w:szCs w:val="24"/>
        </w:rPr>
        <w:t xml:space="preserve"> and </w:t>
      </w:r>
      <w:hyperlink r:id="rId18" w:history="1">
        <w:r w:rsidRPr="006B3707">
          <w:rPr>
            <w:rStyle w:val="Hyperlink"/>
            <w:rFonts w:ascii="Times New Roman" w:hAnsi="Times New Roman" w:cs="Times New Roman"/>
            <w:sz w:val="24"/>
            <w:szCs w:val="24"/>
          </w:rPr>
          <w:t>https://www.mmha.com/FAQ</w:t>
        </w:r>
      </w:hyperlink>
      <w:hyperlink r:id="rId19" w:history="1">
        <w:r w:rsidRPr="006B3707">
          <w:rPr>
            <w:rStyle w:val="Hyperlink"/>
          </w:rPr>
          <w:t xml:space="preserve"> </w:t>
        </w:r>
      </w:hyperlink>
      <w:r>
        <w:t>.</w:t>
      </w:r>
    </w:p>
    <w:p w14:paraId="3156A5A6" w14:textId="77777777" w:rsidR="00063E35" w:rsidRDefault="00063E35" w:rsidP="00F7118F">
      <w:pPr>
        <w:pStyle w:val="FootnoteText"/>
      </w:pPr>
    </w:p>
  </w:footnote>
  <w:footnote w:id="12">
    <w:p w14:paraId="641DA273" w14:textId="1B130AD7" w:rsidR="00063E35" w:rsidRDefault="00063E35" w:rsidP="0078219B">
      <w:pPr>
        <w:rPr>
          <w:rFonts w:ascii="Times New Roman" w:hAnsi="Times New Roman" w:cs="Times New Roman"/>
          <w:sz w:val="24"/>
          <w:szCs w:val="24"/>
        </w:rPr>
      </w:pPr>
      <w:r w:rsidRPr="0040168A">
        <w:rPr>
          <w:rStyle w:val="FootnoteReference"/>
        </w:rPr>
        <w:footnoteRef/>
      </w:r>
      <w:r>
        <w:rPr>
          <w:rFonts w:ascii="Times New Roman" w:hAnsi="Times New Roman" w:cs="Times New Roman"/>
          <w:sz w:val="24"/>
          <w:szCs w:val="24"/>
        </w:rPr>
        <w:t xml:space="preserve">Jack Horner, the now-retired, long-term main lobbyist for the Minnesota </w:t>
      </w:r>
      <w:proofErr w:type="spellStart"/>
      <w:r>
        <w:rPr>
          <w:rFonts w:ascii="Times New Roman" w:hAnsi="Times New Roman" w:cs="Times New Roman"/>
          <w:sz w:val="24"/>
          <w:szCs w:val="24"/>
        </w:rPr>
        <w:t>Multihousing</w:t>
      </w:r>
      <w:proofErr w:type="spellEnd"/>
      <w:r>
        <w:rPr>
          <w:rFonts w:ascii="Times New Roman" w:hAnsi="Times New Roman" w:cs="Times New Roman"/>
          <w:sz w:val="24"/>
          <w:szCs w:val="24"/>
        </w:rPr>
        <w:t xml:space="preserve"> Association (the landlords’ trade group), wrote a CLE about security deposits in 1980. Mr. Horner was at the committee hearings in 1977 when the legislature considered changing the “other funds” language but declined to do so; </w:t>
      </w:r>
      <w:hyperlink r:id="rId20" w:history="1">
        <w:r w:rsidRPr="0078066B">
          <w:rPr>
            <w:rStyle w:val="Hyperlink"/>
            <w:rFonts w:ascii="Times New Roman" w:hAnsi="Times New Roman" w:cs="Times New Roman"/>
            <w:sz w:val="24"/>
            <w:szCs w:val="24"/>
          </w:rPr>
          <w:t>he had not yet started his lobbying job when the original law was written in 1973</w:t>
        </w:r>
      </w:hyperlink>
      <w:r>
        <w:rPr>
          <w:rFonts w:ascii="Times New Roman" w:hAnsi="Times New Roman" w:cs="Times New Roman"/>
          <w:sz w:val="24"/>
          <w:szCs w:val="24"/>
        </w:rPr>
        <w:t xml:space="preserve">. </w:t>
      </w:r>
      <w:r w:rsidR="00521C38">
        <w:rPr>
          <w:rFonts w:ascii="Times New Roman" w:hAnsi="Times New Roman" w:cs="Times New Roman"/>
          <w:sz w:val="24"/>
          <w:szCs w:val="24"/>
        </w:rPr>
        <w:t>In his CLE, he</w:t>
      </w:r>
      <w:r>
        <w:rPr>
          <w:rFonts w:ascii="Times New Roman" w:hAnsi="Times New Roman" w:cs="Times New Roman"/>
          <w:sz w:val="24"/>
          <w:szCs w:val="24"/>
        </w:rPr>
        <w:t xml:space="preserve"> wrote that the other-funds provision was meant to cover things other than either rent or physical damage. He gave two examples, writing:</w:t>
      </w:r>
    </w:p>
    <w:p w14:paraId="5FEE0B1D" w14:textId="77777777" w:rsidR="00063E35" w:rsidRDefault="00063E35" w:rsidP="0078219B">
      <w:pPr>
        <w:ind w:left="720"/>
        <w:rPr>
          <w:rFonts w:ascii="Times New Roman" w:hAnsi="Times New Roman" w:cs="Times New Roman"/>
          <w:sz w:val="24"/>
          <w:szCs w:val="24"/>
        </w:rPr>
      </w:pPr>
      <w:r>
        <w:rPr>
          <w:rFonts w:ascii="Times New Roman" w:hAnsi="Times New Roman" w:cs="Times New Roman"/>
          <w:sz w:val="24"/>
          <w:szCs w:val="24"/>
        </w:rPr>
        <w:t>There are many kinds of damages that a landlord may suffer due to a tenant’s breach which are not defaults in rent or physical damage exceeding ordinary war and tear. Such damages include damages incidental to the breach of a lease such as a landlord’s need to advertise the vacant apartment or pay a commission to a firm which secures a new tenant. A tenant’s obligation to pay for utilities should be spelled out in the lease as appropriate.</w:t>
      </w:r>
    </w:p>
    <w:p w14:paraId="4A2D429B" w14:textId="77777777" w:rsidR="00063E35" w:rsidRPr="00D57AB9" w:rsidRDefault="00000000" w:rsidP="0078219B">
      <w:pPr>
        <w:rPr>
          <w:rFonts w:ascii="Times New Roman" w:hAnsi="Times New Roman" w:cs="Times New Roman"/>
          <w:bCs/>
          <w:iCs/>
          <w:sz w:val="24"/>
          <w:szCs w:val="24"/>
        </w:rPr>
      </w:pPr>
      <w:hyperlink r:id="rId21" w:history="1">
        <w:r w:rsidR="00063E35" w:rsidRPr="00D57AB9">
          <w:rPr>
            <w:rStyle w:val="Hyperlink"/>
            <w:rFonts w:ascii="Times New Roman" w:hAnsi="Times New Roman" w:cs="Times New Roman"/>
            <w:bCs/>
            <w:iCs/>
            <w:sz w:val="24"/>
            <w:szCs w:val="24"/>
          </w:rPr>
          <w:t xml:space="preserve">“Additional Remedies and Other Concerns in the Landlord and Tenant Relationship” by John G. Horner, in </w:t>
        </w:r>
        <w:r w:rsidR="00063E35" w:rsidRPr="00D57AB9">
          <w:rPr>
            <w:rStyle w:val="Hyperlink"/>
            <w:rFonts w:ascii="Times New Roman" w:hAnsi="Times New Roman" w:cs="Times New Roman"/>
            <w:bCs/>
            <w:i/>
            <w:iCs/>
            <w:sz w:val="24"/>
            <w:szCs w:val="24"/>
          </w:rPr>
          <w:t>Residential Landlord and Tenant Law – 1980</w:t>
        </w:r>
        <w:r w:rsidR="00063E35" w:rsidRPr="00D57AB9">
          <w:rPr>
            <w:rStyle w:val="Hyperlink"/>
            <w:rFonts w:ascii="Times New Roman" w:hAnsi="Times New Roman" w:cs="Times New Roman"/>
            <w:bCs/>
            <w:iCs/>
            <w:sz w:val="24"/>
            <w:szCs w:val="24"/>
          </w:rPr>
          <w:t>, Sponsored by Advanc</w:t>
        </w:r>
        <w:r w:rsidR="00063E35">
          <w:rPr>
            <w:rStyle w:val="Hyperlink"/>
            <w:rFonts w:ascii="Times New Roman" w:hAnsi="Times New Roman" w:cs="Times New Roman"/>
            <w:bCs/>
            <w:iCs/>
            <w:sz w:val="24"/>
            <w:szCs w:val="24"/>
          </w:rPr>
          <w:t>ed</w:t>
        </w:r>
        <w:r w:rsidR="00063E35" w:rsidRPr="00D57AB9">
          <w:rPr>
            <w:rStyle w:val="Hyperlink"/>
            <w:rFonts w:ascii="Times New Roman" w:hAnsi="Times New Roman" w:cs="Times New Roman"/>
            <w:bCs/>
            <w:iCs/>
            <w:sz w:val="24"/>
            <w:szCs w:val="24"/>
          </w:rPr>
          <w:t xml:space="preserve"> Legal Education, Hamline University School of Law (1980</w:t>
        </w:r>
        <w:r w:rsidR="00063E35">
          <w:rPr>
            <w:rStyle w:val="Hyperlink"/>
            <w:rFonts w:ascii="Times New Roman" w:hAnsi="Times New Roman" w:cs="Times New Roman"/>
            <w:bCs/>
            <w:iCs/>
            <w:sz w:val="24"/>
            <w:szCs w:val="24"/>
          </w:rPr>
          <w:t>)</w:t>
        </w:r>
      </w:hyperlink>
      <w:r w:rsidR="00063E35">
        <w:rPr>
          <w:rFonts w:ascii="Times New Roman" w:hAnsi="Times New Roman" w:cs="Times New Roman"/>
          <w:bCs/>
          <w:iCs/>
          <w:sz w:val="24"/>
          <w:szCs w:val="24"/>
        </w:rPr>
        <w:t xml:space="preserve"> at 150-151</w:t>
      </w:r>
    </w:p>
    <w:p w14:paraId="456123CD" w14:textId="77777777" w:rsidR="00063E35" w:rsidRPr="00007122" w:rsidRDefault="00063E35" w:rsidP="0078219B">
      <w:pPr>
        <w:rPr>
          <w:rFonts w:ascii="Times New Roman" w:hAnsi="Times New Roman" w:cs="Times New Roman"/>
          <w:sz w:val="24"/>
          <w:szCs w:val="24"/>
        </w:rPr>
      </w:pPr>
      <w:r w:rsidRPr="00007122">
        <w:rPr>
          <w:rFonts w:ascii="Times New Roman" w:hAnsi="Times New Roman" w:cs="Times New Roman"/>
          <w:bCs/>
          <w:iCs/>
          <w:sz w:val="24"/>
          <w:szCs w:val="24"/>
        </w:rPr>
        <w:t>He</w:t>
      </w:r>
      <w:r w:rsidRPr="00007122">
        <w:rPr>
          <w:rFonts w:ascii="Times New Roman" w:hAnsi="Times New Roman" w:cs="Times New Roman"/>
          <w:sz w:val="24"/>
          <w:szCs w:val="24"/>
        </w:rPr>
        <w:t xml:space="preserve"> then went on to write:</w:t>
      </w:r>
    </w:p>
    <w:p w14:paraId="3AA7541A" w14:textId="77777777" w:rsidR="00063E35" w:rsidRDefault="00063E35" w:rsidP="0078219B">
      <w:pPr>
        <w:pStyle w:val="FootnoteText"/>
        <w:ind w:left="720"/>
        <w:rPr>
          <w:rFonts w:ascii="Times New Roman" w:hAnsi="Times New Roman" w:cs="Times New Roman"/>
          <w:color w:val="222222"/>
          <w:sz w:val="24"/>
          <w:szCs w:val="24"/>
          <w:shd w:val="clear" w:color="auto" w:fill="FFFFFF"/>
        </w:rPr>
      </w:pPr>
      <w:r w:rsidRPr="006D755E">
        <w:rPr>
          <w:rFonts w:ascii="Times New Roman" w:hAnsi="Times New Roman" w:cs="Times New Roman"/>
          <w:color w:val="222222"/>
          <w:sz w:val="24"/>
          <w:szCs w:val="24"/>
          <w:shd w:val="clear" w:color="auto" w:fill="FFFFFF"/>
        </w:rPr>
        <w:t xml:space="preserve">It seems to me that a tenant should leave the premises in a condition befitting an ordinary good housekeeper. On the other hand, I believe a landlord would have difficulty enforcing the withholding of a deposit for a tenant’s failure to perform major house cleaning tasks such as shampooing carpets, scrubbing walls or waxing floors that </w:t>
      </w:r>
      <w:proofErr w:type="gramStart"/>
      <w:r w:rsidRPr="006D755E">
        <w:rPr>
          <w:rFonts w:ascii="Times New Roman" w:hAnsi="Times New Roman" w:cs="Times New Roman"/>
          <w:color w:val="222222"/>
          <w:sz w:val="24"/>
          <w:szCs w:val="24"/>
          <w:shd w:val="clear" w:color="auto" w:fill="FFFFFF"/>
        </w:rPr>
        <w:t xml:space="preserve">every once in a while </w:t>
      </w:r>
      <w:proofErr w:type="gramEnd"/>
      <w:r w:rsidRPr="006D755E">
        <w:rPr>
          <w:rFonts w:ascii="Times New Roman" w:hAnsi="Times New Roman" w:cs="Times New Roman"/>
          <w:color w:val="222222"/>
          <w:sz w:val="24"/>
          <w:szCs w:val="24"/>
          <w:shd w:val="clear" w:color="auto" w:fill="FFFFFF"/>
        </w:rPr>
        <w:t>a landlord will attempt to demand of a tenant upon vacating the premises. However, a tenant probably could be held responsible if there were extraordinary soiling of the walls or floors, such as crayon marks etc.</w:t>
      </w:r>
      <w:r>
        <w:rPr>
          <w:rFonts w:ascii="Times New Roman" w:hAnsi="Times New Roman" w:cs="Times New Roman"/>
          <w:color w:val="222222"/>
          <w:sz w:val="24"/>
          <w:szCs w:val="24"/>
          <w:shd w:val="clear" w:color="auto" w:fill="FFFFFF"/>
        </w:rPr>
        <w:t xml:space="preserve"> </w:t>
      </w:r>
    </w:p>
    <w:p w14:paraId="4052411D" w14:textId="77777777" w:rsidR="00063E35" w:rsidRDefault="00063E35" w:rsidP="0078219B">
      <w:pPr>
        <w:pStyle w:val="FootnoteText"/>
        <w:rPr>
          <w:rFonts w:ascii="Times New Roman" w:hAnsi="Times New Roman" w:cs="Times New Roman"/>
          <w:bCs/>
          <w:i/>
          <w:iCs/>
          <w:sz w:val="24"/>
          <w:szCs w:val="24"/>
        </w:rPr>
      </w:pPr>
    </w:p>
    <w:p w14:paraId="2E98BCF1" w14:textId="77777777" w:rsidR="00063E35" w:rsidRDefault="00063E35" w:rsidP="0078219B">
      <w:pPr>
        <w:pStyle w:val="FootnoteText"/>
        <w:rPr>
          <w:rFonts w:ascii="Times New Roman" w:hAnsi="Times New Roman" w:cs="Times New Roman"/>
          <w:bCs/>
          <w:iCs/>
          <w:sz w:val="24"/>
          <w:szCs w:val="24"/>
        </w:rPr>
      </w:pPr>
      <w:r w:rsidRPr="0040168A">
        <w:rPr>
          <w:rFonts w:ascii="Times New Roman" w:hAnsi="Times New Roman" w:cs="Times New Roman"/>
          <w:bCs/>
          <w:i/>
          <w:iCs/>
          <w:sz w:val="24"/>
          <w:szCs w:val="24"/>
        </w:rPr>
        <w:t>Id</w:t>
      </w:r>
      <w:r w:rsidRPr="0040168A">
        <w:rPr>
          <w:rFonts w:ascii="Times New Roman" w:hAnsi="Times New Roman" w:cs="Times New Roman"/>
          <w:bCs/>
          <w:iCs/>
          <w:sz w:val="24"/>
          <w:szCs w:val="24"/>
        </w:rPr>
        <w:t>. at 151.</w:t>
      </w:r>
    </w:p>
    <w:p w14:paraId="3495475D" w14:textId="77777777" w:rsidR="00063E35" w:rsidRPr="006D755E" w:rsidRDefault="00063E35" w:rsidP="0078219B">
      <w:pPr>
        <w:pStyle w:val="FootnoteText"/>
      </w:pPr>
    </w:p>
  </w:footnote>
  <w:footnote w:id="13">
    <w:p w14:paraId="5DDF7E25" w14:textId="4D001981" w:rsidR="00063E35" w:rsidRDefault="00063E35">
      <w:pPr>
        <w:pStyle w:val="FootnoteText"/>
      </w:pPr>
      <w:r>
        <w:rPr>
          <w:rStyle w:val="FootnoteReference"/>
        </w:rPr>
        <w:footnoteRef/>
      </w:r>
      <w:r w:rsidRPr="00DC55D4">
        <w:rPr>
          <w:rFonts w:ascii="Times New Roman" w:hAnsi="Times New Roman" w:cs="Times New Roman"/>
          <w:sz w:val="24"/>
          <w:szCs w:val="24"/>
        </w:rPr>
        <w:t>See footnote</w:t>
      </w:r>
      <w:r w:rsidR="00893DBE">
        <w:rPr>
          <w:rFonts w:ascii="Times New Roman" w:hAnsi="Times New Roman" w:cs="Times New Roman"/>
          <w:sz w:val="24"/>
          <w:szCs w:val="24"/>
        </w:rPr>
        <w:t xml:space="preserve"> </w:t>
      </w:r>
      <w:r w:rsidR="00521C38">
        <w:rPr>
          <w:rFonts w:ascii="Times New Roman" w:hAnsi="Times New Roman" w:cs="Times New Roman"/>
          <w:sz w:val="24"/>
          <w:szCs w:val="24"/>
        </w:rPr>
        <w:t>12</w:t>
      </w:r>
      <w:r w:rsidRPr="00DC55D4">
        <w:rPr>
          <w:rFonts w:ascii="Times New Roman" w:hAnsi="Times New Roman" w:cs="Times New Roman"/>
          <w:sz w:val="24"/>
          <w:szCs w:val="24"/>
        </w:rPr>
        <w:t>.</w:t>
      </w:r>
    </w:p>
  </w:footnote>
  <w:footnote w:id="14">
    <w:p w14:paraId="61F73698" w14:textId="77777777" w:rsidR="00063E35" w:rsidRDefault="00063E35">
      <w:pPr>
        <w:pStyle w:val="FootnoteText"/>
        <w:rPr>
          <w:rFonts w:ascii="Times New Roman" w:hAnsi="Times New Roman" w:cs="Times New Roman"/>
          <w:sz w:val="24"/>
          <w:szCs w:val="24"/>
        </w:rPr>
      </w:pPr>
      <w:r>
        <w:rPr>
          <w:rStyle w:val="FootnoteReference"/>
        </w:rPr>
        <w:footnoteRef/>
      </w:r>
      <w:r>
        <w:t xml:space="preserve"> </w:t>
      </w:r>
      <w:r w:rsidRPr="00ED71E8">
        <w:rPr>
          <w:rFonts w:ascii="Times New Roman" w:hAnsi="Times New Roman" w:cs="Times New Roman"/>
          <w:sz w:val="24"/>
          <w:szCs w:val="24"/>
        </w:rPr>
        <w:t>When the damage is to something like carpeting that requires depreciation analysis (see above), the expected lifetime of the (old) damaged carpeting has to be determined. Carpet dealers and repairers have this sort of evidence. For carpeting in use in many apartments, the landlord likely has records of how often it has needed to replace carpeting in other units where the only damage was ordinary wear and tear.</w:t>
      </w:r>
    </w:p>
    <w:p w14:paraId="63F6474C" w14:textId="77777777" w:rsidR="00063E35" w:rsidRDefault="00063E35">
      <w:pPr>
        <w:pStyle w:val="FootnoteText"/>
      </w:pPr>
    </w:p>
  </w:footnote>
  <w:footnote w:id="15">
    <w:p w14:paraId="7A1A25E4" w14:textId="3AC088B3" w:rsidR="00063E35" w:rsidRDefault="00063E35">
      <w:pPr>
        <w:pStyle w:val="FootnoteText"/>
        <w:rPr>
          <w:rFonts w:ascii="Times New Roman" w:hAnsi="Times New Roman" w:cs="Times New Roman"/>
          <w:sz w:val="24"/>
          <w:szCs w:val="24"/>
        </w:rPr>
      </w:pPr>
      <w:r w:rsidRPr="008C3873">
        <w:rPr>
          <w:rStyle w:val="FootnoteReference"/>
          <w:sz w:val="24"/>
          <w:szCs w:val="24"/>
        </w:rPr>
        <w:footnoteRef/>
      </w:r>
      <w:r w:rsidRPr="008C3873">
        <w:rPr>
          <w:sz w:val="24"/>
          <w:szCs w:val="24"/>
        </w:rPr>
        <w:t xml:space="preserve"> </w:t>
      </w:r>
      <w:r w:rsidRPr="008C3873">
        <w:rPr>
          <w:rFonts w:ascii="Times New Roman" w:hAnsi="Times New Roman" w:cs="Times New Roman"/>
          <w:sz w:val="24"/>
          <w:szCs w:val="24"/>
        </w:rPr>
        <w:t xml:space="preserve">There is an odd nonprecedential case, </w:t>
      </w:r>
      <w:hyperlink r:id="rId22" w:history="1">
        <w:r w:rsidRPr="008C3873">
          <w:rPr>
            <w:rStyle w:val="Hyperlink"/>
            <w:rFonts w:ascii="Times New Roman" w:hAnsi="Times New Roman" w:cs="Times New Roman"/>
            <w:i/>
            <w:iCs/>
            <w:sz w:val="24"/>
            <w:szCs w:val="24"/>
          </w:rPr>
          <w:t>Johnson v. Schoen</w:t>
        </w:r>
        <w:r w:rsidRPr="008C3873">
          <w:rPr>
            <w:rStyle w:val="Hyperlink"/>
            <w:rFonts w:ascii="Times New Roman" w:hAnsi="Times New Roman" w:cs="Times New Roman"/>
            <w:sz w:val="24"/>
            <w:szCs w:val="24"/>
          </w:rPr>
          <w:t>, No. A03-887, 2004 WL 614857 (Minn. Ct. App. Mar. 30, 2004)</w:t>
        </w:r>
      </w:hyperlink>
      <w:r w:rsidRPr="008C3873">
        <w:rPr>
          <w:rFonts w:ascii="Times New Roman" w:hAnsi="Times New Roman" w:cs="Times New Roman"/>
          <w:sz w:val="24"/>
          <w:szCs w:val="24"/>
        </w:rPr>
        <w:t xml:space="preserve">, affirming a forfeiture of the landlord’s right to withhold the </w:t>
      </w:r>
      <w:r>
        <w:rPr>
          <w:rFonts w:ascii="Times New Roman" w:hAnsi="Times New Roman" w:cs="Times New Roman"/>
          <w:sz w:val="24"/>
          <w:szCs w:val="24"/>
        </w:rPr>
        <w:t xml:space="preserve">$700 </w:t>
      </w:r>
      <w:r w:rsidRPr="008C3873">
        <w:rPr>
          <w:rFonts w:ascii="Times New Roman" w:hAnsi="Times New Roman" w:cs="Times New Roman"/>
          <w:sz w:val="24"/>
          <w:szCs w:val="24"/>
        </w:rPr>
        <w:t>deposit even though the tenant owed a month’s worth of rent</w:t>
      </w:r>
      <w:r>
        <w:rPr>
          <w:rFonts w:ascii="Times New Roman" w:hAnsi="Times New Roman" w:cs="Times New Roman"/>
          <w:sz w:val="24"/>
          <w:szCs w:val="24"/>
        </w:rPr>
        <w:t xml:space="preserve">, which was $700/month </w:t>
      </w:r>
      <w:r w:rsidRPr="008C3873">
        <w:rPr>
          <w:rFonts w:ascii="Times New Roman" w:hAnsi="Times New Roman" w:cs="Times New Roman"/>
          <w:sz w:val="24"/>
          <w:szCs w:val="24"/>
        </w:rPr>
        <w:t xml:space="preserve">. The case is odd in several ways. The tenant did not sue for the doubling penalty </w:t>
      </w:r>
      <w:r>
        <w:rPr>
          <w:rFonts w:ascii="Times New Roman" w:hAnsi="Times New Roman" w:cs="Times New Roman"/>
          <w:sz w:val="24"/>
          <w:szCs w:val="24"/>
        </w:rPr>
        <w:t>but</w:t>
      </w:r>
      <w:r w:rsidRPr="008C3873">
        <w:rPr>
          <w:rFonts w:ascii="Times New Roman" w:hAnsi="Times New Roman" w:cs="Times New Roman"/>
          <w:sz w:val="24"/>
          <w:szCs w:val="24"/>
        </w:rPr>
        <w:t xml:space="preserve"> the landlord made no counterclaim for the rent nor did the landlord ever account for the deposit</w:t>
      </w:r>
      <w:r>
        <w:rPr>
          <w:rFonts w:ascii="Times New Roman" w:hAnsi="Times New Roman" w:cs="Times New Roman"/>
          <w:sz w:val="24"/>
          <w:szCs w:val="24"/>
        </w:rPr>
        <w:t>,</w:t>
      </w:r>
      <w:r w:rsidRPr="008C3873">
        <w:rPr>
          <w:rFonts w:ascii="Times New Roman" w:hAnsi="Times New Roman" w:cs="Times New Roman"/>
          <w:sz w:val="24"/>
          <w:szCs w:val="24"/>
        </w:rPr>
        <w:t xml:space="preserve"> even after months of litigation. The net result was</w:t>
      </w:r>
      <w:r>
        <w:rPr>
          <w:rFonts w:ascii="Times New Roman" w:hAnsi="Times New Roman" w:cs="Times New Roman"/>
          <w:sz w:val="24"/>
          <w:szCs w:val="24"/>
        </w:rPr>
        <w:t xml:space="preserve"> nearly the same</w:t>
      </w:r>
      <w:r w:rsidRPr="008C3873">
        <w:rPr>
          <w:rFonts w:ascii="Times New Roman" w:hAnsi="Times New Roman" w:cs="Times New Roman"/>
          <w:sz w:val="24"/>
          <w:szCs w:val="24"/>
        </w:rPr>
        <w:t xml:space="preserve"> as if the tenant sued for the doubling penalty and the landlord counterclaimed for the one month of unpaid rent.</w:t>
      </w:r>
      <w:r>
        <w:rPr>
          <w:rFonts w:ascii="Times New Roman" w:hAnsi="Times New Roman" w:cs="Times New Roman"/>
          <w:sz w:val="24"/>
          <w:szCs w:val="24"/>
        </w:rPr>
        <w:t xml:space="preserve"> (The rental amount is not in the appellate decision but is stated in the </w:t>
      </w:r>
      <w:hyperlink r:id="rId23" w:history="1">
        <w:r w:rsidRPr="00C4210E">
          <w:rPr>
            <w:rStyle w:val="Hyperlink"/>
            <w:rFonts w:ascii="Times New Roman" w:hAnsi="Times New Roman" w:cs="Times New Roman"/>
            <w:sz w:val="24"/>
            <w:szCs w:val="24"/>
          </w:rPr>
          <w:t>underlying trial court order</w:t>
        </w:r>
      </w:hyperlink>
      <w:r>
        <w:rPr>
          <w:rFonts w:ascii="Times New Roman" w:hAnsi="Times New Roman" w:cs="Times New Roman"/>
          <w:sz w:val="24"/>
          <w:szCs w:val="24"/>
        </w:rPr>
        <w:t xml:space="preserve"> as Finding #1.) </w:t>
      </w:r>
    </w:p>
    <w:p w14:paraId="582CA29F" w14:textId="77777777" w:rsidR="00063E35" w:rsidRPr="008C3873" w:rsidRDefault="00063E35">
      <w:pPr>
        <w:pStyle w:val="FootnoteText"/>
        <w:rPr>
          <w:sz w:val="24"/>
          <w:szCs w:val="24"/>
        </w:rPr>
      </w:pPr>
    </w:p>
  </w:footnote>
  <w:footnote w:id="16">
    <w:p w14:paraId="4367A546" w14:textId="77777777" w:rsidR="00063E35" w:rsidRDefault="00063E35">
      <w:pPr>
        <w:pStyle w:val="FootnoteText"/>
        <w:rPr>
          <w:rFonts w:ascii="Times New Roman" w:hAnsi="Times New Roman" w:cs="Times New Roman"/>
          <w:sz w:val="24"/>
          <w:szCs w:val="24"/>
        </w:rPr>
      </w:pPr>
      <w:r w:rsidRPr="00844DBA">
        <w:rPr>
          <w:rStyle w:val="FootnoteReference"/>
          <w:rFonts w:ascii="Times New Roman" w:hAnsi="Times New Roman" w:cs="Times New Roman"/>
          <w:sz w:val="24"/>
          <w:szCs w:val="24"/>
        </w:rPr>
        <w:footnoteRef/>
      </w:r>
      <w:r w:rsidRPr="00844DBA">
        <w:rPr>
          <w:rFonts w:ascii="Times New Roman" w:hAnsi="Times New Roman" w:cs="Times New Roman"/>
          <w:sz w:val="24"/>
          <w:szCs w:val="24"/>
        </w:rPr>
        <w:t xml:space="preserve"> At the time there was no Court of Appeals and the original trial court </w:t>
      </w:r>
      <w:r>
        <w:rPr>
          <w:rFonts w:ascii="Times New Roman" w:hAnsi="Times New Roman" w:cs="Times New Roman"/>
          <w:sz w:val="24"/>
          <w:szCs w:val="24"/>
        </w:rPr>
        <w:t xml:space="preserve">in this case </w:t>
      </w:r>
      <w:r w:rsidRPr="00844DBA">
        <w:rPr>
          <w:rFonts w:ascii="Times New Roman" w:hAnsi="Times New Roman" w:cs="Times New Roman"/>
          <w:sz w:val="24"/>
          <w:szCs w:val="24"/>
        </w:rPr>
        <w:t>was Municipal Court. Appeal could be had to the Supreme Court or (first) to a three-judge panel made up of judges from the District Court in the district. That is what happened in this case, which was appealed no further.</w:t>
      </w:r>
    </w:p>
    <w:p w14:paraId="7A3C3D67" w14:textId="77777777" w:rsidR="00063E35" w:rsidRPr="00844DBA" w:rsidRDefault="00063E35">
      <w:pPr>
        <w:pStyle w:val="FootnoteText"/>
        <w:rPr>
          <w:rFonts w:ascii="Times New Roman" w:hAnsi="Times New Roman" w:cs="Times New Roman"/>
          <w:sz w:val="24"/>
          <w:szCs w:val="24"/>
        </w:rPr>
      </w:pPr>
    </w:p>
  </w:footnote>
  <w:footnote w:id="17">
    <w:p w14:paraId="740C837D" w14:textId="77777777" w:rsidR="00063E35" w:rsidRPr="00400ECB" w:rsidRDefault="00063E35" w:rsidP="000232D0">
      <w:pPr>
        <w:pStyle w:val="FootnoteText"/>
        <w:rPr>
          <w:rFonts w:ascii="Times New Roman" w:hAnsi="Times New Roman" w:cs="Times New Roman"/>
          <w:color w:val="FF0000"/>
          <w:sz w:val="24"/>
          <w:szCs w:val="24"/>
        </w:rPr>
      </w:pPr>
      <w:r w:rsidRPr="000232D0">
        <w:rPr>
          <w:rStyle w:val="FootnoteReference"/>
        </w:rPr>
        <w:footnoteRef/>
      </w:r>
      <w:r w:rsidRPr="000232D0">
        <w:t xml:space="preserve"> </w:t>
      </w:r>
      <w:r w:rsidRPr="000232D0">
        <w:rPr>
          <w:rFonts w:ascii="Times New Roman" w:hAnsi="Times New Roman" w:cs="Times New Roman"/>
          <w:sz w:val="24"/>
          <w:szCs w:val="24"/>
        </w:rPr>
        <w:t xml:space="preserve">Available at </w:t>
      </w:r>
      <w:hyperlink r:id="rId24" w:history="1">
        <w:r w:rsidRPr="007727A4">
          <w:rPr>
            <w:rStyle w:val="Hyperlink"/>
            <w:rFonts w:ascii="Times New Roman" w:hAnsi="Times New Roman" w:cs="Times New Roman"/>
            <w:sz w:val="24"/>
            <w:szCs w:val="24"/>
          </w:rPr>
          <w:t>https://birnberglegalwebsite.files.wordpress.com/2021/04/security-deposit-legislative-history-of-504b-subd-8-penalty.pdf</w:t>
        </w:r>
      </w:hyperlink>
      <w:r>
        <w:rPr>
          <w:rFonts w:ascii="Times New Roman" w:hAnsi="Times New Roman" w:cs="Times New Roman"/>
          <w:color w:val="FF0000"/>
          <w:sz w:val="24"/>
          <w:szCs w:val="24"/>
        </w:rPr>
        <w:t xml:space="preserve"> </w:t>
      </w:r>
      <w:r w:rsidRPr="00400ECB">
        <w:rPr>
          <w:rFonts w:ascii="Times New Roman" w:hAnsi="Times New Roman" w:cs="Times New Roman"/>
          <w:color w:val="FF0000"/>
          <w:sz w:val="24"/>
          <w:szCs w:val="24"/>
        </w:rPr>
        <w:t>.</w:t>
      </w:r>
    </w:p>
    <w:p w14:paraId="1F1D41FB" w14:textId="77777777" w:rsidR="00063E35" w:rsidRPr="00400ECB" w:rsidRDefault="00063E35" w:rsidP="000232D0">
      <w:pPr>
        <w:pStyle w:val="FootnoteText"/>
        <w:rPr>
          <w:rFonts w:ascii="Times New Roman" w:hAnsi="Times New Roman" w:cs="Times New Roman"/>
          <w:color w:val="FF0000"/>
          <w:sz w:val="24"/>
          <w:szCs w:val="24"/>
        </w:rPr>
      </w:pPr>
    </w:p>
  </w:footnote>
  <w:footnote w:id="18">
    <w:p w14:paraId="4078FF7E" w14:textId="77777777" w:rsidR="00063E35" w:rsidRDefault="00063E35">
      <w:pPr>
        <w:pStyle w:val="FootnoteText"/>
        <w:rPr>
          <w:rFonts w:ascii="Times New Roman" w:hAnsi="Times New Roman" w:cs="Times New Roman"/>
          <w:sz w:val="24"/>
          <w:szCs w:val="24"/>
        </w:rPr>
      </w:pPr>
      <w:r w:rsidRPr="00437AAE">
        <w:rPr>
          <w:rStyle w:val="FootnoteReference"/>
          <w:rFonts w:ascii="Times New Roman" w:hAnsi="Times New Roman" w:cs="Times New Roman"/>
          <w:sz w:val="24"/>
          <w:szCs w:val="24"/>
        </w:rPr>
        <w:footnoteRef/>
      </w:r>
      <w:r w:rsidRPr="00437AAE">
        <w:rPr>
          <w:rFonts w:ascii="Times New Roman" w:hAnsi="Times New Roman" w:cs="Times New Roman"/>
          <w:sz w:val="24"/>
          <w:szCs w:val="24"/>
        </w:rPr>
        <w:t xml:space="preserve"> Available by searching for “security deposit” at </w:t>
      </w:r>
      <w:hyperlink r:id="rId25" w:history="1">
        <w:r w:rsidRPr="00437AAE">
          <w:rPr>
            <w:rStyle w:val="Hyperlink"/>
            <w:rFonts w:ascii="Times New Roman" w:hAnsi="Times New Roman" w:cs="Times New Roman"/>
            <w:sz w:val="24"/>
            <w:szCs w:val="24"/>
          </w:rPr>
          <w:t>https://www.law.cornell.edu</w:t>
        </w:r>
      </w:hyperlink>
      <w:r>
        <w:rPr>
          <w:rFonts w:ascii="Times New Roman" w:hAnsi="Times New Roman" w:cs="Times New Roman"/>
          <w:sz w:val="24"/>
          <w:szCs w:val="24"/>
        </w:rPr>
        <w:t>. This is probably an incomplete list.</w:t>
      </w:r>
    </w:p>
    <w:p w14:paraId="7CEE5F49" w14:textId="77777777" w:rsidR="00063E35" w:rsidRPr="00437AAE" w:rsidRDefault="00063E35">
      <w:pPr>
        <w:pStyle w:val="FootnoteText"/>
        <w:rPr>
          <w:rFonts w:ascii="Times New Roman" w:hAnsi="Times New Roman" w:cs="Times New Roman"/>
          <w:sz w:val="24"/>
          <w:szCs w:val="24"/>
        </w:rPr>
      </w:pPr>
    </w:p>
  </w:footnote>
  <w:footnote w:id="19">
    <w:p w14:paraId="5FCA5D8B" w14:textId="77777777" w:rsidR="00063E35" w:rsidRPr="00BB772D" w:rsidRDefault="00063E35" w:rsidP="00E94474">
      <w:pPr>
        <w:pStyle w:val="FootnoteText"/>
        <w:rPr>
          <w:rFonts w:ascii="Times New Roman" w:hAnsi="Times New Roman" w:cs="Times New Roman"/>
          <w:sz w:val="24"/>
          <w:szCs w:val="24"/>
        </w:rPr>
      </w:pPr>
      <w:r w:rsidRPr="00BB772D">
        <w:rPr>
          <w:rStyle w:val="FootnoteReference"/>
          <w:rFonts w:ascii="Times New Roman" w:hAnsi="Times New Roman" w:cs="Times New Roman"/>
          <w:sz w:val="24"/>
          <w:szCs w:val="24"/>
        </w:rPr>
        <w:footnoteRef/>
      </w:r>
      <w:r w:rsidRPr="00BB772D">
        <w:rPr>
          <w:rFonts w:ascii="Times New Roman" w:hAnsi="Times New Roman" w:cs="Times New Roman"/>
          <w:sz w:val="24"/>
          <w:szCs w:val="24"/>
        </w:rPr>
        <w:t xml:space="preserve"> The district court’s order is available here: </w:t>
      </w:r>
      <w:hyperlink r:id="rId26" w:history="1">
        <w:r w:rsidRPr="00BB772D">
          <w:rPr>
            <w:rStyle w:val="Hyperlink"/>
            <w:rFonts w:ascii="Times New Roman" w:hAnsi="Times New Roman" w:cs="Times New Roman"/>
            <w:sz w:val="24"/>
            <w:szCs w:val="24"/>
          </w:rPr>
          <w:t>https</w:t>
        </w:r>
      </w:hyperlink>
      <w:hyperlink r:id="rId27" w:history="1">
        <w:r w:rsidRPr="00BB772D">
          <w:rPr>
            <w:rStyle w:val="Hyperlink"/>
            <w:rFonts w:ascii="Times New Roman" w:hAnsi="Times New Roman" w:cs="Times New Roman"/>
            <w:sz w:val="24"/>
            <w:szCs w:val="24"/>
          </w:rPr>
          <w:t>://</w:t>
        </w:r>
      </w:hyperlink>
      <w:hyperlink r:id="rId28" w:history="1">
        <w:r w:rsidRPr="00BB772D">
          <w:rPr>
            <w:rStyle w:val="Hyperlink"/>
            <w:rFonts w:ascii="Times New Roman" w:hAnsi="Times New Roman" w:cs="Times New Roman"/>
            <w:sz w:val="24"/>
            <w:szCs w:val="24"/>
          </w:rPr>
          <w:t>birnberglegalwebsite.files.wordpress.com/2021/02/national-corporation-for-housing-vs-liberty-state-bank-504.20-district-court-order.pdf</w:t>
        </w:r>
      </w:hyperlink>
    </w:p>
    <w:p w14:paraId="7173783B" w14:textId="77777777" w:rsidR="00063E35" w:rsidRDefault="00063E35">
      <w:pPr>
        <w:pStyle w:val="FootnoteText"/>
      </w:pPr>
    </w:p>
  </w:footnote>
  <w:footnote w:id="20">
    <w:p w14:paraId="75D86E5C" w14:textId="5F6E407C" w:rsidR="00063E35" w:rsidRDefault="00063E35">
      <w:pPr>
        <w:pStyle w:val="FootnoteText"/>
        <w:rPr>
          <w:color w:val="FF0000"/>
        </w:rPr>
      </w:pPr>
      <w:r>
        <w:rPr>
          <w:rStyle w:val="FootnoteReference"/>
        </w:rPr>
        <w:footnoteRef/>
      </w:r>
      <w:r>
        <w:t xml:space="preserve"> </w:t>
      </w:r>
      <w:r w:rsidRPr="00C111D6">
        <w:rPr>
          <w:rFonts w:ascii="Times New Roman" w:hAnsi="Times New Roman" w:cs="Times New Roman"/>
          <w:sz w:val="24"/>
          <w:szCs w:val="24"/>
        </w:rPr>
        <w:t xml:space="preserve">The full legislative history of the 1973 law, including the original bill and the amendment, are available at </w:t>
      </w:r>
      <w:hyperlink r:id="rId29" w:history="1">
        <w:r w:rsidRPr="00817487">
          <w:rPr>
            <w:rStyle w:val="Hyperlink"/>
            <w:rFonts w:ascii="Times New Roman" w:hAnsi="Times New Roman" w:cs="Times New Roman"/>
            <w:bCs/>
            <w:sz w:val="24"/>
            <w:szCs w:val="24"/>
          </w:rPr>
          <w:t>detailed legislative history of 1973 session law</w:t>
        </w:r>
      </w:hyperlink>
      <w:r w:rsidRPr="00D47193">
        <w:rPr>
          <w:rFonts w:ascii="Times New Roman" w:hAnsi="Times New Roman" w:cs="Times New Roman"/>
          <w:color w:val="FF0000"/>
          <w:sz w:val="24"/>
          <w:szCs w:val="24"/>
        </w:rPr>
        <w:t xml:space="preserve">. </w:t>
      </w:r>
      <w:r w:rsidRPr="00191679">
        <w:rPr>
          <w:rFonts w:ascii="Times New Roman" w:hAnsi="Times New Roman" w:cs="Times New Roman"/>
          <w:sz w:val="24"/>
          <w:szCs w:val="24"/>
        </w:rPr>
        <w:t xml:space="preserve">The </w:t>
      </w:r>
      <w:hyperlink r:id="rId30" w:history="1">
        <w:r w:rsidRPr="00191679">
          <w:rPr>
            <w:rStyle w:val="Hyperlink"/>
            <w:rFonts w:ascii="Times New Roman" w:hAnsi="Times New Roman" w:cs="Times New Roman"/>
            <w:sz w:val="24"/>
            <w:szCs w:val="24"/>
          </w:rPr>
          <w:t>letter to Senator Tennessen</w:t>
        </w:r>
      </w:hyperlink>
      <w:r w:rsidRPr="00191679">
        <w:rPr>
          <w:rFonts w:ascii="Times New Roman" w:hAnsi="Times New Roman" w:cs="Times New Roman"/>
          <w:sz w:val="24"/>
          <w:szCs w:val="24"/>
        </w:rPr>
        <w:t xml:space="preserve"> is </w:t>
      </w:r>
      <w:r>
        <w:rPr>
          <w:rFonts w:ascii="Times New Roman" w:hAnsi="Times New Roman" w:cs="Times New Roman"/>
          <w:sz w:val="24"/>
          <w:szCs w:val="24"/>
        </w:rPr>
        <w:t>among</w:t>
      </w:r>
      <w:r w:rsidRPr="00191679">
        <w:rPr>
          <w:rFonts w:ascii="Times New Roman" w:hAnsi="Times New Roman" w:cs="Times New Roman"/>
          <w:sz w:val="24"/>
          <w:szCs w:val="24"/>
        </w:rPr>
        <w:t xml:space="preserve"> </w:t>
      </w:r>
      <w:r>
        <w:rPr>
          <w:rFonts w:ascii="Times New Roman" w:hAnsi="Times New Roman" w:cs="Times New Roman"/>
          <w:sz w:val="24"/>
          <w:szCs w:val="24"/>
        </w:rPr>
        <w:t xml:space="preserve">his papers on file with </w:t>
      </w:r>
      <w:r w:rsidRPr="00191679">
        <w:rPr>
          <w:rFonts w:ascii="Times New Roman" w:hAnsi="Times New Roman" w:cs="Times New Roman"/>
          <w:sz w:val="24"/>
          <w:szCs w:val="24"/>
        </w:rPr>
        <w:t>the Gale Family Library at the Minne</w:t>
      </w:r>
      <w:r>
        <w:rPr>
          <w:rFonts w:ascii="Times New Roman" w:hAnsi="Times New Roman" w:cs="Times New Roman"/>
          <w:sz w:val="24"/>
          <w:szCs w:val="24"/>
        </w:rPr>
        <w:t>sota History Museum in Box 147.C.</w:t>
      </w:r>
      <w:r w:rsidRPr="00191679">
        <w:rPr>
          <w:rFonts w:ascii="Times New Roman" w:hAnsi="Times New Roman" w:cs="Times New Roman"/>
          <w:sz w:val="24"/>
          <w:szCs w:val="24"/>
        </w:rPr>
        <w:t>7.6.F</w:t>
      </w:r>
      <w:r>
        <w:rPr>
          <w:rFonts w:ascii="Times New Roman" w:hAnsi="Times New Roman" w:cs="Times New Roman"/>
          <w:sz w:val="24"/>
          <w:szCs w:val="24"/>
        </w:rPr>
        <w:t>.</w:t>
      </w:r>
    </w:p>
    <w:p w14:paraId="0B0EB43D" w14:textId="77777777" w:rsidR="00063E35" w:rsidRDefault="00063E35">
      <w:pPr>
        <w:pStyle w:val="FootnoteText"/>
      </w:pPr>
    </w:p>
  </w:footnote>
  <w:footnote w:id="21">
    <w:p w14:paraId="4E254287" w14:textId="77777777" w:rsidR="00063E35" w:rsidRDefault="00063E35">
      <w:pPr>
        <w:pStyle w:val="FootnoteText"/>
        <w:rPr>
          <w:rFonts w:ascii="Times New Roman" w:hAnsi="Times New Roman" w:cs="Times New Roman"/>
          <w:sz w:val="24"/>
          <w:szCs w:val="24"/>
        </w:rPr>
      </w:pPr>
      <w:r w:rsidRPr="003660ED">
        <w:rPr>
          <w:rStyle w:val="FootnoteReference"/>
          <w:rFonts w:ascii="Times New Roman" w:hAnsi="Times New Roman" w:cs="Times New Roman"/>
          <w:sz w:val="24"/>
          <w:szCs w:val="24"/>
        </w:rPr>
        <w:footnoteRef/>
      </w:r>
      <w:r w:rsidRPr="003660ED">
        <w:rPr>
          <w:rFonts w:ascii="Times New Roman" w:hAnsi="Times New Roman" w:cs="Times New Roman"/>
          <w:sz w:val="24"/>
          <w:szCs w:val="24"/>
        </w:rPr>
        <w:t xml:space="preserve"> If the tenant is also interested in “putting the hurt” on the landlord, she can file with the IRS and serve on the landlord a Form 1099-MISC, resulting in him owing taxes on the discharged debt since it is now “income”. </w:t>
      </w:r>
      <w:hyperlink r:id="rId31" w:history="1">
        <w:r w:rsidRPr="003660ED">
          <w:rPr>
            <w:rStyle w:val="Hyperlink"/>
            <w:rFonts w:ascii="Times New Roman" w:hAnsi="Times New Roman" w:cs="Times New Roman"/>
            <w:sz w:val="24"/>
            <w:szCs w:val="24"/>
          </w:rPr>
          <w:t>IRS Service Center Advice, SSA 998-020</w:t>
        </w:r>
      </w:hyperlink>
      <w:r w:rsidRPr="003660ED">
        <w:rPr>
          <w:rFonts w:ascii="Times New Roman" w:hAnsi="Times New Roman" w:cs="Times New Roman"/>
          <w:sz w:val="24"/>
          <w:szCs w:val="24"/>
        </w:rPr>
        <w:t xml:space="preserve"> (“there is no specific prohibition in the Internal Revenue Code or the Income Tax Regulations that forbids the reporting of discharges of indebtedness by entities not required to report. Such reporting may encourage voluntary tax compliance”); </w:t>
      </w:r>
      <w:hyperlink r:id="rId32" w:history="1">
        <w:proofErr w:type="spellStart"/>
        <w:r w:rsidRPr="003660ED">
          <w:rPr>
            <w:rStyle w:val="Hyperlink"/>
            <w:rFonts w:ascii="Times New Roman" w:hAnsi="Times New Roman" w:cs="Times New Roman"/>
            <w:i/>
            <w:iCs/>
            <w:sz w:val="24"/>
            <w:szCs w:val="24"/>
          </w:rPr>
          <w:t>Cavato</w:t>
        </w:r>
        <w:proofErr w:type="spellEnd"/>
        <w:r w:rsidRPr="003660ED">
          <w:rPr>
            <w:rStyle w:val="Hyperlink"/>
            <w:rFonts w:ascii="Times New Roman" w:hAnsi="Times New Roman" w:cs="Times New Roman"/>
            <w:i/>
            <w:iCs/>
            <w:sz w:val="24"/>
            <w:szCs w:val="24"/>
          </w:rPr>
          <w:t xml:space="preserve"> v. Hayes, </w:t>
        </w:r>
        <w:r w:rsidRPr="003660ED">
          <w:rPr>
            <w:rStyle w:val="Hyperlink"/>
            <w:rFonts w:ascii="Times New Roman" w:hAnsi="Times New Roman" w:cs="Times New Roman"/>
            <w:sz w:val="24"/>
            <w:szCs w:val="24"/>
          </w:rPr>
          <w:t>File No. 08-C-6957 (N.D. Ill. Eastern Div. Oct. 9, 2009)</w:t>
        </w:r>
      </w:hyperlink>
      <w:r>
        <w:rPr>
          <w:rFonts w:ascii="Times New Roman" w:hAnsi="Times New Roman" w:cs="Times New Roman"/>
          <w:i/>
          <w:iCs/>
          <w:sz w:val="24"/>
          <w:szCs w:val="24"/>
        </w:rPr>
        <w:t xml:space="preserve">, </w:t>
      </w:r>
      <w:r w:rsidRPr="004973B8">
        <w:rPr>
          <w:rFonts w:ascii="Times New Roman" w:hAnsi="Times New Roman" w:cs="Times New Roman"/>
          <w:iCs/>
          <w:sz w:val="24"/>
          <w:szCs w:val="24"/>
        </w:rPr>
        <w:t>affirmed along with a July 2010 order in</w:t>
      </w:r>
      <w:r w:rsidRPr="003660ED">
        <w:rPr>
          <w:rFonts w:ascii="Times New Roman" w:hAnsi="Times New Roman" w:cs="Times New Roman"/>
          <w:sz w:val="24"/>
          <w:szCs w:val="24"/>
        </w:rPr>
        <w:t xml:space="preserve"> </w:t>
      </w:r>
      <w:hyperlink r:id="rId33" w:history="1">
        <w:r w:rsidRPr="003660ED">
          <w:rPr>
            <w:rStyle w:val="Hyperlink"/>
            <w:rFonts w:ascii="Times New Roman" w:hAnsi="Times New Roman" w:cs="Times New Roman"/>
            <w:i/>
            <w:iCs/>
            <w:sz w:val="24"/>
            <w:szCs w:val="24"/>
          </w:rPr>
          <w:t>Cavoto v. Hayes,</w:t>
        </w:r>
        <w:r w:rsidRPr="003660ED">
          <w:rPr>
            <w:rStyle w:val="Hyperlink"/>
            <w:rFonts w:ascii="Times New Roman" w:hAnsi="Times New Roman" w:cs="Times New Roman"/>
            <w:sz w:val="24"/>
            <w:szCs w:val="24"/>
          </w:rPr>
          <w:t xml:space="preserve"> 634 F.3d 921 (7th Cir. 2011)</w:t>
        </w:r>
      </w:hyperlink>
      <w:r w:rsidRPr="003660ED">
        <w:rPr>
          <w:rFonts w:ascii="Times New Roman" w:hAnsi="Times New Roman" w:cs="Times New Roman"/>
          <w:sz w:val="24"/>
          <w:szCs w:val="24"/>
        </w:rPr>
        <w:t>.</w:t>
      </w:r>
    </w:p>
    <w:p w14:paraId="067621FE" w14:textId="77777777" w:rsidR="00063E35" w:rsidRDefault="00063E35">
      <w:pPr>
        <w:pStyle w:val="FootnoteText"/>
      </w:pPr>
    </w:p>
  </w:footnote>
  <w:footnote w:id="22">
    <w:p w14:paraId="7D02C4CB" w14:textId="77777777" w:rsidR="00063E35" w:rsidRPr="003660ED" w:rsidRDefault="00063E35" w:rsidP="002460E2">
      <w:pPr>
        <w:pStyle w:val="FootnoteText"/>
        <w:rPr>
          <w:sz w:val="24"/>
          <w:szCs w:val="24"/>
        </w:rPr>
      </w:pPr>
      <w:r w:rsidRPr="003660ED">
        <w:rPr>
          <w:rStyle w:val="FootnoteReference"/>
          <w:sz w:val="24"/>
          <w:szCs w:val="24"/>
        </w:rPr>
        <w:footnoteRef/>
      </w:r>
      <w:r w:rsidRPr="003660ED">
        <w:rPr>
          <w:sz w:val="24"/>
          <w:szCs w:val="24"/>
        </w:rPr>
        <w:t xml:space="preserve"> </w:t>
      </w:r>
      <w:r w:rsidRPr="003660ED">
        <w:rPr>
          <w:rFonts w:ascii="Times New Roman" w:hAnsi="Times New Roman" w:cs="Times New Roman"/>
          <w:sz w:val="24"/>
          <w:szCs w:val="24"/>
        </w:rPr>
        <w:t xml:space="preserve">For a single (unmarried) taxpayer, combined Minnesota and marginal tax brackets are currently12% at $9,876, 17.36% at $12,400, 18.8% at $26,960, </w:t>
      </w:r>
      <w:r>
        <w:rPr>
          <w:rFonts w:ascii="Times New Roman" w:hAnsi="Times New Roman" w:cs="Times New Roman"/>
          <w:sz w:val="24"/>
          <w:szCs w:val="24"/>
        </w:rPr>
        <w:t xml:space="preserve">and </w:t>
      </w:r>
      <w:r w:rsidRPr="003660ED">
        <w:rPr>
          <w:rFonts w:ascii="Times New Roman" w:hAnsi="Times New Roman" w:cs="Times New Roman"/>
          <w:sz w:val="24"/>
          <w:szCs w:val="24"/>
        </w:rPr>
        <w:t>28.8% at $40,126.</w:t>
      </w:r>
    </w:p>
    <w:p w14:paraId="6E449070" w14:textId="77777777" w:rsidR="00063E35" w:rsidRDefault="00063E35">
      <w:pPr>
        <w:pStyle w:val="FootnoteText"/>
      </w:pPr>
    </w:p>
  </w:footnote>
  <w:footnote w:id="23">
    <w:p w14:paraId="5765F9B8" w14:textId="77777777" w:rsidR="00063E35" w:rsidRDefault="00063E35">
      <w:pPr>
        <w:pStyle w:val="FootnoteText"/>
      </w:pPr>
      <w:r>
        <w:rPr>
          <w:rStyle w:val="FootnoteReference"/>
        </w:rPr>
        <w:footnoteRef/>
      </w:r>
      <w:r>
        <w:t xml:space="preserve"> </w:t>
      </w:r>
      <w:r w:rsidRPr="0098017B">
        <w:rPr>
          <w:rFonts w:ascii="Times New Roman" w:hAnsi="Times New Roman" w:cs="Times New Roman"/>
          <w:sz w:val="24"/>
          <w:szCs w:val="24"/>
        </w:rPr>
        <w:t xml:space="preserve">The place to report would be line 1 of </w:t>
      </w:r>
      <w:hyperlink r:id="rId34" w:history="1">
        <w:r w:rsidRPr="0098017B">
          <w:rPr>
            <w:rStyle w:val="Hyperlink"/>
            <w:rFonts w:ascii="Times New Roman" w:hAnsi="Times New Roman" w:cs="Times New Roman"/>
            <w:sz w:val="24"/>
            <w:szCs w:val="24"/>
          </w:rPr>
          <w:t>Schedule B</w:t>
        </w:r>
      </w:hyperlink>
      <w:r w:rsidRPr="0098017B">
        <w:rPr>
          <w:rFonts w:ascii="Times New Roman" w:hAnsi="Times New Roman" w:cs="Times New Roman"/>
          <w:sz w:val="24"/>
          <w:szCs w:val="24"/>
        </w:rPr>
        <w:t xml:space="preserve"> on the federal return</w:t>
      </w:r>
      <w:r>
        <w:t>.</w:t>
      </w:r>
    </w:p>
    <w:p w14:paraId="7E29EA5F" w14:textId="77777777" w:rsidR="00063E35" w:rsidRDefault="00063E35">
      <w:pPr>
        <w:pStyle w:val="FootnoteText"/>
      </w:pPr>
    </w:p>
  </w:footnote>
  <w:footnote w:id="24">
    <w:p w14:paraId="2911393F" w14:textId="77777777" w:rsidR="00063E35" w:rsidRDefault="00063E35">
      <w:pPr>
        <w:pStyle w:val="FootnoteText"/>
      </w:pPr>
      <w:r>
        <w:rPr>
          <w:rStyle w:val="FootnoteReference"/>
        </w:rPr>
        <w:footnoteRef/>
      </w:r>
      <w:r>
        <w:t xml:space="preserve"> </w:t>
      </w:r>
      <w:r w:rsidRPr="009F5AE8">
        <w:rPr>
          <w:rFonts w:ascii="Times New Roman" w:hAnsi="Times New Roman" w:cs="Times New Roman"/>
          <w:sz w:val="24"/>
          <w:szCs w:val="24"/>
        </w:rPr>
        <w:t xml:space="preserve">If no Minnesota tenants report their interest income, Minnesota is losing out on about $350,000 - $500,000 per year in income tax revenue, estimated as follows. Data from the 2019 census indicates there were about 703,681 leases in the state and the median monthly rent was $1,019. If the deposits </w:t>
      </w:r>
      <w:r>
        <w:rPr>
          <w:rFonts w:ascii="Times New Roman" w:hAnsi="Times New Roman" w:cs="Times New Roman"/>
          <w:sz w:val="24"/>
          <w:szCs w:val="24"/>
        </w:rPr>
        <w:t>average</w:t>
      </w:r>
      <w:r w:rsidRPr="009F5AE8">
        <w:rPr>
          <w:rFonts w:ascii="Times New Roman" w:hAnsi="Times New Roman" w:cs="Times New Roman"/>
          <w:sz w:val="24"/>
          <w:szCs w:val="24"/>
        </w:rPr>
        <w:t xml:space="preserve"> one month of rent, annual interest would be $10.19 for each lease or </w:t>
      </w:r>
      <w:r>
        <w:rPr>
          <w:rFonts w:ascii="Times New Roman" w:hAnsi="Times New Roman" w:cs="Times New Roman"/>
          <w:sz w:val="24"/>
          <w:szCs w:val="24"/>
        </w:rPr>
        <w:t xml:space="preserve">a total of </w:t>
      </w:r>
      <w:r w:rsidRPr="009F5AE8">
        <w:rPr>
          <w:rFonts w:ascii="Times New Roman" w:hAnsi="Times New Roman" w:cs="Times New Roman"/>
          <w:sz w:val="24"/>
          <w:szCs w:val="24"/>
        </w:rPr>
        <w:t>$7,170.517 interest income/yr. With Minnesota tenants typically being in the 5.35% or 6.80% tax bracket</w:t>
      </w:r>
      <w:r>
        <w:rPr>
          <w:rFonts w:ascii="Times New Roman" w:hAnsi="Times New Roman" w:cs="Times New Roman"/>
          <w:sz w:val="24"/>
          <w:szCs w:val="24"/>
        </w:rPr>
        <w:t>s</w:t>
      </w:r>
      <w:r w:rsidRPr="009F5AE8">
        <w:rPr>
          <w:rFonts w:ascii="Times New Roman" w:hAnsi="Times New Roman" w:cs="Times New Roman"/>
          <w:sz w:val="24"/>
          <w:szCs w:val="24"/>
        </w:rPr>
        <w:t>, the lost state</w:t>
      </w:r>
      <w:r>
        <w:rPr>
          <w:rFonts w:ascii="Times New Roman" w:hAnsi="Times New Roman" w:cs="Times New Roman"/>
          <w:sz w:val="24"/>
          <w:szCs w:val="24"/>
        </w:rPr>
        <w:t xml:space="preserve"> taxes would have been $383,</w:t>
      </w:r>
      <w:r w:rsidRPr="009F5AE8">
        <w:rPr>
          <w:rFonts w:ascii="Times New Roman" w:hAnsi="Times New Roman" w:cs="Times New Roman"/>
          <w:sz w:val="24"/>
          <w:szCs w:val="24"/>
        </w:rPr>
        <w:t xml:space="preserve">622 to $487,595. The same tenants would likely have been in the 10-22% federal tax brackets, so the lost federal taxes would have been $717,051 to </w:t>
      </w:r>
      <w:r>
        <w:rPr>
          <w:rFonts w:ascii="Times New Roman" w:hAnsi="Times New Roman" w:cs="Times New Roman"/>
          <w:sz w:val="24"/>
          <w:szCs w:val="24"/>
        </w:rPr>
        <w:t>$1,577,513 just from this state</w:t>
      </w:r>
      <w:r w:rsidRPr="009F5AE8">
        <w:rPr>
          <w:rFonts w:ascii="Times New Roman" w:hAnsi="Times New Roman" w:cs="Times New Roman"/>
          <w:sz w:val="24"/>
          <w:szCs w:val="24"/>
        </w:rPr>
        <w:t>.</w:t>
      </w:r>
    </w:p>
  </w:footnote>
  <w:footnote w:id="25">
    <w:p w14:paraId="14CDEDBF" w14:textId="77777777" w:rsidR="00063E35" w:rsidRDefault="00063E35" w:rsidP="00CE49B0">
      <w:pPr>
        <w:spacing w:after="240"/>
        <w:rPr>
          <w:sz w:val="24"/>
          <w:szCs w:val="24"/>
        </w:rPr>
      </w:pPr>
      <w:r>
        <w:rPr>
          <w:sz w:val="24"/>
          <w:szCs w:val="24"/>
          <w:vertAlign w:val="superscript"/>
        </w:rPr>
        <w:t>1</w:t>
      </w:r>
      <w:r>
        <w:rPr>
          <w:sz w:val="24"/>
          <w:szCs w:val="24"/>
        </w:rPr>
        <w:t xml:space="preserve">Adopted from </w:t>
      </w:r>
      <w:hyperlink r:id="rId35" w:history="1">
        <w:r w:rsidRPr="007727A4">
          <w:rPr>
            <w:rStyle w:val="Hyperlink"/>
            <w:sz w:val="24"/>
            <w:szCs w:val="24"/>
          </w:rPr>
          <w:t>http://homelinemn.org/wp-content/uploads/security-deposit-interest1.pdf</w:t>
        </w:r>
      </w:hyperlink>
      <w:r>
        <w:rPr>
          <w:sz w:val="24"/>
          <w:szCs w:val="24"/>
        </w:rPr>
        <w:t xml:space="preserve"> </w:t>
      </w:r>
    </w:p>
  </w:footnote>
  <w:footnote w:id="26">
    <w:p w14:paraId="3B267348" w14:textId="77777777" w:rsidR="00063E35" w:rsidRDefault="00063E35" w:rsidP="00CE49B0">
      <w:pPr>
        <w:spacing w:after="240"/>
        <w:rPr>
          <w:sz w:val="24"/>
          <w:szCs w:val="24"/>
        </w:rPr>
      </w:pPr>
      <w:r>
        <w:rPr>
          <w:sz w:val="24"/>
          <w:szCs w:val="24"/>
          <w:vertAlign w:val="superscript"/>
        </w:rPr>
        <w:t>2</w:t>
      </w:r>
      <w:r>
        <w:rPr>
          <w:sz w:val="24"/>
          <w:szCs w:val="24"/>
        </w:rPr>
        <w:t xml:space="preserve">See 1973 Minn Laws </w:t>
      </w:r>
      <w:proofErr w:type="spellStart"/>
      <w:r>
        <w:rPr>
          <w:sz w:val="24"/>
          <w:szCs w:val="24"/>
        </w:rPr>
        <w:t>ch.</w:t>
      </w:r>
      <w:proofErr w:type="spellEnd"/>
      <w:r>
        <w:rPr>
          <w:sz w:val="24"/>
          <w:szCs w:val="24"/>
        </w:rPr>
        <w:t xml:space="preserve"> 561, s. 1</w:t>
      </w:r>
    </w:p>
  </w:footnote>
  <w:footnote w:id="27">
    <w:p w14:paraId="4D216227" w14:textId="77777777" w:rsidR="00063E35" w:rsidRDefault="00063E35" w:rsidP="00CE49B0">
      <w:pPr>
        <w:spacing w:after="240"/>
        <w:rPr>
          <w:sz w:val="24"/>
          <w:szCs w:val="24"/>
        </w:rPr>
      </w:pPr>
      <w:r>
        <w:rPr>
          <w:sz w:val="24"/>
          <w:szCs w:val="24"/>
          <w:vertAlign w:val="superscript"/>
        </w:rPr>
        <w:t>3</w:t>
      </w:r>
      <w:r>
        <w:rPr>
          <w:sz w:val="24"/>
          <w:szCs w:val="24"/>
        </w:rPr>
        <w:t xml:space="preserve">See 1984 Minn Laws </w:t>
      </w:r>
      <w:proofErr w:type="spellStart"/>
      <w:r>
        <w:rPr>
          <w:sz w:val="24"/>
          <w:szCs w:val="24"/>
        </w:rPr>
        <w:t>ch.</w:t>
      </w:r>
      <w:proofErr w:type="spellEnd"/>
      <w:r>
        <w:rPr>
          <w:sz w:val="24"/>
          <w:szCs w:val="24"/>
        </w:rPr>
        <w:t xml:space="preserve"> 565, s. 1-2</w:t>
      </w:r>
    </w:p>
  </w:footnote>
  <w:footnote w:id="28">
    <w:p w14:paraId="14BF5992" w14:textId="77777777" w:rsidR="00063E35" w:rsidRDefault="00063E35" w:rsidP="00CE49B0">
      <w:pPr>
        <w:spacing w:after="240"/>
        <w:rPr>
          <w:sz w:val="24"/>
          <w:szCs w:val="24"/>
        </w:rPr>
      </w:pPr>
      <w:r>
        <w:rPr>
          <w:sz w:val="24"/>
          <w:szCs w:val="24"/>
          <w:vertAlign w:val="superscript"/>
        </w:rPr>
        <w:t>4</w:t>
      </w:r>
      <w:r>
        <w:rPr>
          <w:sz w:val="24"/>
          <w:szCs w:val="24"/>
        </w:rPr>
        <w:t xml:space="preserve">See 1992 Minn Laws </w:t>
      </w:r>
      <w:proofErr w:type="spellStart"/>
      <w:r>
        <w:rPr>
          <w:sz w:val="24"/>
          <w:szCs w:val="24"/>
        </w:rPr>
        <w:t>ch.</w:t>
      </w:r>
      <w:proofErr w:type="spellEnd"/>
      <w:r>
        <w:rPr>
          <w:sz w:val="24"/>
          <w:szCs w:val="24"/>
        </w:rPr>
        <w:t xml:space="preserve"> 555, art. 2, s. 1,3</w:t>
      </w:r>
    </w:p>
  </w:footnote>
  <w:footnote w:id="29">
    <w:p w14:paraId="0BDC02FE" w14:textId="77777777" w:rsidR="00063E35" w:rsidRDefault="00063E35" w:rsidP="00CE49B0">
      <w:pPr>
        <w:spacing w:after="240"/>
        <w:rPr>
          <w:sz w:val="24"/>
          <w:szCs w:val="24"/>
        </w:rPr>
      </w:pPr>
      <w:r>
        <w:rPr>
          <w:sz w:val="24"/>
          <w:szCs w:val="24"/>
          <w:vertAlign w:val="superscript"/>
        </w:rPr>
        <w:t>5</w:t>
      </w:r>
      <w:r>
        <w:rPr>
          <w:sz w:val="24"/>
          <w:szCs w:val="24"/>
        </w:rPr>
        <w:t xml:space="preserve">See 1996 Minn Laws </w:t>
      </w:r>
      <w:proofErr w:type="spellStart"/>
      <w:r>
        <w:rPr>
          <w:sz w:val="24"/>
          <w:szCs w:val="24"/>
        </w:rPr>
        <w:t>ch.</w:t>
      </w:r>
      <w:proofErr w:type="spellEnd"/>
      <w:r>
        <w:rPr>
          <w:sz w:val="24"/>
          <w:szCs w:val="24"/>
        </w:rPr>
        <w:t xml:space="preserve"> 357, s. 1,4</w:t>
      </w:r>
    </w:p>
  </w:footnote>
  <w:footnote w:id="30">
    <w:p w14:paraId="126B92A8" w14:textId="77777777" w:rsidR="00063E35" w:rsidRDefault="00063E35" w:rsidP="00CE49B0">
      <w:pPr>
        <w:spacing w:after="240"/>
        <w:rPr>
          <w:sz w:val="24"/>
          <w:szCs w:val="24"/>
        </w:rPr>
      </w:pPr>
      <w:r>
        <w:rPr>
          <w:sz w:val="24"/>
          <w:szCs w:val="24"/>
          <w:vertAlign w:val="superscript"/>
        </w:rPr>
        <w:t>6</w:t>
      </w:r>
      <w:r>
        <w:rPr>
          <w:sz w:val="24"/>
          <w:szCs w:val="24"/>
        </w:rPr>
        <w:t xml:space="preserve">See 2003 Minn Laws </w:t>
      </w:r>
      <w:proofErr w:type="spellStart"/>
      <w:r>
        <w:rPr>
          <w:sz w:val="24"/>
          <w:szCs w:val="24"/>
        </w:rPr>
        <w:t>ch.</w:t>
      </w:r>
      <w:proofErr w:type="spellEnd"/>
      <w:r>
        <w:rPr>
          <w:sz w:val="24"/>
          <w:szCs w:val="24"/>
        </w:rPr>
        <w:t xml:space="preserve"> 52, s. 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974574"/>
    <w:multiLevelType w:val="hybridMultilevel"/>
    <w:tmpl w:val="485E8C1C"/>
    <w:lvl w:ilvl="0" w:tplc="7BB2CF3C">
      <w:start w:val="1"/>
      <w:numFmt w:val="bullet"/>
      <w:lvlText w:val="•"/>
      <w:lvlJc w:val="left"/>
      <w:pPr>
        <w:tabs>
          <w:tab w:val="num" w:pos="720"/>
        </w:tabs>
        <w:ind w:left="720" w:hanging="360"/>
      </w:pPr>
      <w:rPr>
        <w:rFonts w:ascii="Arial" w:hAnsi="Arial" w:hint="default"/>
      </w:rPr>
    </w:lvl>
    <w:lvl w:ilvl="1" w:tplc="EE9EE3DC" w:tentative="1">
      <w:start w:val="1"/>
      <w:numFmt w:val="bullet"/>
      <w:lvlText w:val="•"/>
      <w:lvlJc w:val="left"/>
      <w:pPr>
        <w:tabs>
          <w:tab w:val="num" w:pos="1440"/>
        </w:tabs>
        <w:ind w:left="1440" w:hanging="360"/>
      </w:pPr>
      <w:rPr>
        <w:rFonts w:ascii="Arial" w:hAnsi="Arial" w:hint="default"/>
      </w:rPr>
    </w:lvl>
    <w:lvl w:ilvl="2" w:tplc="F27AE49E" w:tentative="1">
      <w:start w:val="1"/>
      <w:numFmt w:val="bullet"/>
      <w:lvlText w:val="•"/>
      <w:lvlJc w:val="left"/>
      <w:pPr>
        <w:tabs>
          <w:tab w:val="num" w:pos="2160"/>
        </w:tabs>
        <w:ind w:left="2160" w:hanging="360"/>
      </w:pPr>
      <w:rPr>
        <w:rFonts w:ascii="Arial" w:hAnsi="Arial" w:hint="default"/>
      </w:rPr>
    </w:lvl>
    <w:lvl w:ilvl="3" w:tplc="1B5C05B2" w:tentative="1">
      <w:start w:val="1"/>
      <w:numFmt w:val="bullet"/>
      <w:lvlText w:val="•"/>
      <w:lvlJc w:val="left"/>
      <w:pPr>
        <w:tabs>
          <w:tab w:val="num" w:pos="2880"/>
        </w:tabs>
        <w:ind w:left="2880" w:hanging="360"/>
      </w:pPr>
      <w:rPr>
        <w:rFonts w:ascii="Arial" w:hAnsi="Arial" w:hint="default"/>
      </w:rPr>
    </w:lvl>
    <w:lvl w:ilvl="4" w:tplc="E974844A" w:tentative="1">
      <w:start w:val="1"/>
      <w:numFmt w:val="bullet"/>
      <w:lvlText w:val="•"/>
      <w:lvlJc w:val="left"/>
      <w:pPr>
        <w:tabs>
          <w:tab w:val="num" w:pos="3600"/>
        </w:tabs>
        <w:ind w:left="3600" w:hanging="360"/>
      </w:pPr>
      <w:rPr>
        <w:rFonts w:ascii="Arial" w:hAnsi="Arial" w:hint="default"/>
      </w:rPr>
    </w:lvl>
    <w:lvl w:ilvl="5" w:tplc="955A1544" w:tentative="1">
      <w:start w:val="1"/>
      <w:numFmt w:val="bullet"/>
      <w:lvlText w:val="•"/>
      <w:lvlJc w:val="left"/>
      <w:pPr>
        <w:tabs>
          <w:tab w:val="num" w:pos="4320"/>
        </w:tabs>
        <w:ind w:left="4320" w:hanging="360"/>
      </w:pPr>
      <w:rPr>
        <w:rFonts w:ascii="Arial" w:hAnsi="Arial" w:hint="default"/>
      </w:rPr>
    </w:lvl>
    <w:lvl w:ilvl="6" w:tplc="371CA32A" w:tentative="1">
      <w:start w:val="1"/>
      <w:numFmt w:val="bullet"/>
      <w:lvlText w:val="•"/>
      <w:lvlJc w:val="left"/>
      <w:pPr>
        <w:tabs>
          <w:tab w:val="num" w:pos="5040"/>
        </w:tabs>
        <w:ind w:left="5040" w:hanging="360"/>
      </w:pPr>
      <w:rPr>
        <w:rFonts w:ascii="Arial" w:hAnsi="Arial" w:hint="default"/>
      </w:rPr>
    </w:lvl>
    <w:lvl w:ilvl="7" w:tplc="2D44F310" w:tentative="1">
      <w:start w:val="1"/>
      <w:numFmt w:val="bullet"/>
      <w:lvlText w:val="•"/>
      <w:lvlJc w:val="left"/>
      <w:pPr>
        <w:tabs>
          <w:tab w:val="num" w:pos="5760"/>
        </w:tabs>
        <w:ind w:left="5760" w:hanging="360"/>
      </w:pPr>
      <w:rPr>
        <w:rFonts w:ascii="Arial" w:hAnsi="Arial" w:hint="default"/>
      </w:rPr>
    </w:lvl>
    <w:lvl w:ilvl="8" w:tplc="62B41E7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5592740"/>
    <w:multiLevelType w:val="hybridMultilevel"/>
    <w:tmpl w:val="D49C0BFA"/>
    <w:lvl w:ilvl="0" w:tplc="DA2A1ECC">
      <w:start w:val="1"/>
      <w:numFmt w:val="bullet"/>
      <w:lvlText w:val="•"/>
      <w:lvlJc w:val="left"/>
      <w:pPr>
        <w:tabs>
          <w:tab w:val="num" w:pos="720"/>
        </w:tabs>
        <w:ind w:left="720" w:hanging="360"/>
      </w:pPr>
      <w:rPr>
        <w:rFonts w:ascii="Arial" w:hAnsi="Arial" w:hint="default"/>
      </w:rPr>
    </w:lvl>
    <w:lvl w:ilvl="1" w:tplc="BA12FDB8">
      <w:start w:val="1"/>
      <w:numFmt w:val="bullet"/>
      <w:lvlText w:val="•"/>
      <w:lvlJc w:val="left"/>
      <w:pPr>
        <w:tabs>
          <w:tab w:val="num" w:pos="1440"/>
        </w:tabs>
        <w:ind w:left="1440" w:hanging="360"/>
      </w:pPr>
      <w:rPr>
        <w:rFonts w:ascii="Arial" w:hAnsi="Arial" w:hint="default"/>
      </w:rPr>
    </w:lvl>
    <w:lvl w:ilvl="2" w:tplc="19C2A2DA" w:tentative="1">
      <w:start w:val="1"/>
      <w:numFmt w:val="bullet"/>
      <w:lvlText w:val="•"/>
      <w:lvlJc w:val="left"/>
      <w:pPr>
        <w:tabs>
          <w:tab w:val="num" w:pos="2160"/>
        </w:tabs>
        <w:ind w:left="2160" w:hanging="360"/>
      </w:pPr>
      <w:rPr>
        <w:rFonts w:ascii="Arial" w:hAnsi="Arial" w:hint="default"/>
      </w:rPr>
    </w:lvl>
    <w:lvl w:ilvl="3" w:tplc="30989954" w:tentative="1">
      <w:start w:val="1"/>
      <w:numFmt w:val="bullet"/>
      <w:lvlText w:val="•"/>
      <w:lvlJc w:val="left"/>
      <w:pPr>
        <w:tabs>
          <w:tab w:val="num" w:pos="2880"/>
        </w:tabs>
        <w:ind w:left="2880" w:hanging="360"/>
      </w:pPr>
      <w:rPr>
        <w:rFonts w:ascii="Arial" w:hAnsi="Arial" w:hint="default"/>
      </w:rPr>
    </w:lvl>
    <w:lvl w:ilvl="4" w:tplc="BA280708" w:tentative="1">
      <w:start w:val="1"/>
      <w:numFmt w:val="bullet"/>
      <w:lvlText w:val="•"/>
      <w:lvlJc w:val="left"/>
      <w:pPr>
        <w:tabs>
          <w:tab w:val="num" w:pos="3600"/>
        </w:tabs>
        <w:ind w:left="3600" w:hanging="360"/>
      </w:pPr>
      <w:rPr>
        <w:rFonts w:ascii="Arial" w:hAnsi="Arial" w:hint="default"/>
      </w:rPr>
    </w:lvl>
    <w:lvl w:ilvl="5" w:tplc="34027D5C" w:tentative="1">
      <w:start w:val="1"/>
      <w:numFmt w:val="bullet"/>
      <w:lvlText w:val="•"/>
      <w:lvlJc w:val="left"/>
      <w:pPr>
        <w:tabs>
          <w:tab w:val="num" w:pos="4320"/>
        </w:tabs>
        <w:ind w:left="4320" w:hanging="360"/>
      </w:pPr>
      <w:rPr>
        <w:rFonts w:ascii="Arial" w:hAnsi="Arial" w:hint="default"/>
      </w:rPr>
    </w:lvl>
    <w:lvl w:ilvl="6" w:tplc="ABD2467A" w:tentative="1">
      <w:start w:val="1"/>
      <w:numFmt w:val="bullet"/>
      <w:lvlText w:val="•"/>
      <w:lvlJc w:val="left"/>
      <w:pPr>
        <w:tabs>
          <w:tab w:val="num" w:pos="5040"/>
        </w:tabs>
        <w:ind w:left="5040" w:hanging="360"/>
      </w:pPr>
      <w:rPr>
        <w:rFonts w:ascii="Arial" w:hAnsi="Arial" w:hint="default"/>
      </w:rPr>
    </w:lvl>
    <w:lvl w:ilvl="7" w:tplc="3C3AE270" w:tentative="1">
      <w:start w:val="1"/>
      <w:numFmt w:val="bullet"/>
      <w:lvlText w:val="•"/>
      <w:lvlJc w:val="left"/>
      <w:pPr>
        <w:tabs>
          <w:tab w:val="num" w:pos="5760"/>
        </w:tabs>
        <w:ind w:left="5760" w:hanging="360"/>
      </w:pPr>
      <w:rPr>
        <w:rFonts w:ascii="Arial" w:hAnsi="Arial" w:hint="default"/>
      </w:rPr>
    </w:lvl>
    <w:lvl w:ilvl="8" w:tplc="6FA80D5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E006050"/>
    <w:multiLevelType w:val="hybridMultilevel"/>
    <w:tmpl w:val="3FE6DBFA"/>
    <w:lvl w:ilvl="0" w:tplc="8632AEAE">
      <w:start w:val="1"/>
      <w:numFmt w:val="bullet"/>
      <w:lvlText w:val="•"/>
      <w:lvlJc w:val="left"/>
      <w:pPr>
        <w:tabs>
          <w:tab w:val="num" w:pos="720"/>
        </w:tabs>
        <w:ind w:left="720" w:hanging="360"/>
      </w:pPr>
      <w:rPr>
        <w:rFonts w:ascii="Arial" w:hAnsi="Arial" w:hint="default"/>
      </w:rPr>
    </w:lvl>
    <w:lvl w:ilvl="1" w:tplc="E7623550">
      <w:start w:val="1"/>
      <w:numFmt w:val="bullet"/>
      <w:lvlText w:val="•"/>
      <w:lvlJc w:val="left"/>
      <w:pPr>
        <w:tabs>
          <w:tab w:val="num" w:pos="1440"/>
        </w:tabs>
        <w:ind w:left="1440" w:hanging="360"/>
      </w:pPr>
      <w:rPr>
        <w:rFonts w:ascii="Arial" w:hAnsi="Arial" w:hint="default"/>
      </w:rPr>
    </w:lvl>
    <w:lvl w:ilvl="2" w:tplc="C02E3D6C" w:tentative="1">
      <w:start w:val="1"/>
      <w:numFmt w:val="bullet"/>
      <w:lvlText w:val="•"/>
      <w:lvlJc w:val="left"/>
      <w:pPr>
        <w:tabs>
          <w:tab w:val="num" w:pos="2160"/>
        </w:tabs>
        <w:ind w:left="2160" w:hanging="360"/>
      </w:pPr>
      <w:rPr>
        <w:rFonts w:ascii="Arial" w:hAnsi="Arial" w:hint="default"/>
      </w:rPr>
    </w:lvl>
    <w:lvl w:ilvl="3" w:tplc="C4CECF28" w:tentative="1">
      <w:start w:val="1"/>
      <w:numFmt w:val="bullet"/>
      <w:lvlText w:val="•"/>
      <w:lvlJc w:val="left"/>
      <w:pPr>
        <w:tabs>
          <w:tab w:val="num" w:pos="2880"/>
        </w:tabs>
        <w:ind w:left="2880" w:hanging="360"/>
      </w:pPr>
      <w:rPr>
        <w:rFonts w:ascii="Arial" w:hAnsi="Arial" w:hint="default"/>
      </w:rPr>
    </w:lvl>
    <w:lvl w:ilvl="4" w:tplc="B0D43732" w:tentative="1">
      <w:start w:val="1"/>
      <w:numFmt w:val="bullet"/>
      <w:lvlText w:val="•"/>
      <w:lvlJc w:val="left"/>
      <w:pPr>
        <w:tabs>
          <w:tab w:val="num" w:pos="3600"/>
        </w:tabs>
        <w:ind w:left="3600" w:hanging="360"/>
      </w:pPr>
      <w:rPr>
        <w:rFonts w:ascii="Arial" w:hAnsi="Arial" w:hint="default"/>
      </w:rPr>
    </w:lvl>
    <w:lvl w:ilvl="5" w:tplc="ECBA6094" w:tentative="1">
      <w:start w:val="1"/>
      <w:numFmt w:val="bullet"/>
      <w:lvlText w:val="•"/>
      <w:lvlJc w:val="left"/>
      <w:pPr>
        <w:tabs>
          <w:tab w:val="num" w:pos="4320"/>
        </w:tabs>
        <w:ind w:left="4320" w:hanging="360"/>
      </w:pPr>
      <w:rPr>
        <w:rFonts w:ascii="Arial" w:hAnsi="Arial" w:hint="default"/>
      </w:rPr>
    </w:lvl>
    <w:lvl w:ilvl="6" w:tplc="69AEB99A" w:tentative="1">
      <w:start w:val="1"/>
      <w:numFmt w:val="bullet"/>
      <w:lvlText w:val="•"/>
      <w:lvlJc w:val="left"/>
      <w:pPr>
        <w:tabs>
          <w:tab w:val="num" w:pos="5040"/>
        </w:tabs>
        <w:ind w:left="5040" w:hanging="360"/>
      </w:pPr>
      <w:rPr>
        <w:rFonts w:ascii="Arial" w:hAnsi="Arial" w:hint="default"/>
      </w:rPr>
    </w:lvl>
    <w:lvl w:ilvl="7" w:tplc="D39204B0" w:tentative="1">
      <w:start w:val="1"/>
      <w:numFmt w:val="bullet"/>
      <w:lvlText w:val="•"/>
      <w:lvlJc w:val="left"/>
      <w:pPr>
        <w:tabs>
          <w:tab w:val="num" w:pos="5760"/>
        </w:tabs>
        <w:ind w:left="5760" w:hanging="360"/>
      </w:pPr>
      <w:rPr>
        <w:rFonts w:ascii="Arial" w:hAnsi="Arial" w:hint="default"/>
      </w:rPr>
    </w:lvl>
    <w:lvl w:ilvl="8" w:tplc="1BE0D79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E564D61"/>
    <w:multiLevelType w:val="hybridMultilevel"/>
    <w:tmpl w:val="78D4CC4E"/>
    <w:lvl w:ilvl="0" w:tplc="7CD8FC82">
      <w:start w:val="1"/>
      <w:numFmt w:val="bullet"/>
      <w:lvlText w:val="•"/>
      <w:lvlJc w:val="left"/>
      <w:pPr>
        <w:tabs>
          <w:tab w:val="num" w:pos="720"/>
        </w:tabs>
        <w:ind w:left="720" w:hanging="360"/>
      </w:pPr>
      <w:rPr>
        <w:rFonts w:ascii="Arial" w:hAnsi="Arial" w:hint="default"/>
      </w:rPr>
    </w:lvl>
    <w:lvl w:ilvl="1" w:tplc="A8BA6EE8" w:tentative="1">
      <w:start w:val="1"/>
      <w:numFmt w:val="bullet"/>
      <w:lvlText w:val="•"/>
      <w:lvlJc w:val="left"/>
      <w:pPr>
        <w:tabs>
          <w:tab w:val="num" w:pos="1440"/>
        </w:tabs>
        <w:ind w:left="1440" w:hanging="360"/>
      </w:pPr>
      <w:rPr>
        <w:rFonts w:ascii="Arial" w:hAnsi="Arial" w:hint="default"/>
      </w:rPr>
    </w:lvl>
    <w:lvl w:ilvl="2" w:tplc="3F40F868" w:tentative="1">
      <w:start w:val="1"/>
      <w:numFmt w:val="bullet"/>
      <w:lvlText w:val="•"/>
      <w:lvlJc w:val="left"/>
      <w:pPr>
        <w:tabs>
          <w:tab w:val="num" w:pos="2160"/>
        </w:tabs>
        <w:ind w:left="2160" w:hanging="360"/>
      </w:pPr>
      <w:rPr>
        <w:rFonts w:ascii="Arial" w:hAnsi="Arial" w:hint="default"/>
      </w:rPr>
    </w:lvl>
    <w:lvl w:ilvl="3" w:tplc="65DABF1E" w:tentative="1">
      <w:start w:val="1"/>
      <w:numFmt w:val="bullet"/>
      <w:lvlText w:val="•"/>
      <w:lvlJc w:val="left"/>
      <w:pPr>
        <w:tabs>
          <w:tab w:val="num" w:pos="2880"/>
        </w:tabs>
        <w:ind w:left="2880" w:hanging="360"/>
      </w:pPr>
      <w:rPr>
        <w:rFonts w:ascii="Arial" w:hAnsi="Arial" w:hint="default"/>
      </w:rPr>
    </w:lvl>
    <w:lvl w:ilvl="4" w:tplc="7D603F22" w:tentative="1">
      <w:start w:val="1"/>
      <w:numFmt w:val="bullet"/>
      <w:lvlText w:val="•"/>
      <w:lvlJc w:val="left"/>
      <w:pPr>
        <w:tabs>
          <w:tab w:val="num" w:pos="3600"/>
        </w:tabs>
        <w:ind w:left="3600" w:hanging="360"/>
      </w:pPr>
      <w:rPr>
        <w:rFonts w:ascii="Arial" w:hAnsi="Arial" w:hint="default"/>
      </w:rPr>
    </w:lvl>
    <w:lvl w:ilvl="5" w:tplc="726AE71C" w:tentative="1">
      <w:start w:val="1"/>
      <w:numFmt w:val="bullet"/>
      <w:lvlText w:val="•"/>
      <w:lvlJc w:val="left"/>
      <w:pPr>
        <w:tabs>
          <w:tab w:val="num" w:pos="4320"/>
        </w:tabs>
        <w:ind w:left="4320" w:hanging="360"/>
      </w:pPr>
      <w:rPr>
        <w:rFonts w:ascii="Arial" w:hAnsi="Arial" w:hint="default"/>
      </w:rPr>
    </w:lvl>
    <w:lvl w:ilvl="6" w:tplc="CC2A1EFA" w:tentative="1">
      <w:start w:val="1"/>
      <w:numFmt w:val="bullet"/>
      <w:lvlText w:val="•"/>
      <w:lvlJc w:val="left"/>
      <w:pPr>
        <w:tabs>
          <w:tab w:val="num" w:pos="5040"/>
        </w:tabs>
        <w:ind w:left="5040" w:hanging="360"/>
      </w:pPr>
      <w:rPr>
        <w:rFonts w:ascii="Arial" w:hAnsi="Arial" w:hint="default"/>
      </w:rPr>
    </w:lvl>
    <w:lvl w:ilvl="7" w:tplc="A7B8A652" w:tentative="1">
      <w:start w:val="1"/>
      <w:numFmt w:val="bullet"/>
      <w:lvlText w:val="•"/>
      <w:lvlJc w:val="left"/>
      <w:pPr>
        <w:tabs>
          <w:tab w:val="num" w:pos="5760"/>
        </w:tabs>
        <w:ind w:left="5760" w:hanging="360"/>
      </w:pPr>
      <w:rPr>
        <w:rFonts w:ascii="Arial" w:hAnsi="Arial" w:hint="default"/>
      </w:rPr>
    </w:lvl>
    <w:lvl w:ilvl="8" w:tplc="1AFEFE3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ED01C2B"/>
    <w:multiLevelType w:val="hybridMultilevel"/>
    <w:tmpl w:val="9C6208F4"/>
    <w:lvl w:ilvl="0" w:tplc="D8B40D3E">
      <w:start w:val="1"/>
      <w:numFmt w:val="bullet"/>
      <w:lvlText w:val="•"/>
      <w:lvlJc w:val="left"/>
      <w:pPr>
        <w:tabs>
          <w:tab w:val="num" w:pos="720"/>
        </w:tabs>
        <w:ind w:left="720" w:hanging="360"/>
      </w:pPr>
      <w:rPr>
        <w:rFonts w:ascii="Arial" w:hAnsi="Arial" w:hint="default"/>
      </w:rPr>
    </w:lvl>
    <w:lvl w:ilvl="1" w:tplc="7CFC3E06" w:tentative="1">
      <w:start w:val="1"/>
      <w:numFmt w:val="bullet"/>
      <w:lvlText w:val="•"/>
      <w:lvlJc w:val="left"/>
      <w:pPr>
        <w:tabs>
          <w:tab w:val="num" w:pos="1440"/>
        </w:tabs>
        <w:ind w:left="1440" w:hanging="360"/>
      </w:pPr>
      <w:rPr>
        <w:rFonts w:ascii="Arial" w:hAnsi="Arial" w:hint="default"/>
      </w:rPr>
    </w:lvl>
    <w:lvl w:ilvl="2" w:tplc="BA4A4B94" w:tentative="1">
      <w:start w:val="1"/>
      <w:numFmt w:val="bullet"/>
      <w:lvlText w:val="•"/>
      <w:lvlJc w:val="left"/>
      <w:pPr>
        <w:tabs>
          <w:tab w:val="num" w:pos="2160"/>
        </w:tabs>
        <w:ind w:left="2160" w:hanging="360"/>
      </w:pPr>
      <w:rPr>
        <w:rFonts w:ascii="Arial" w:hAnsi="Arial" w:hint="default"/>
      </w:rPr>
    </w:lvl>
    <w:lvl w:ilvl="3" w:tplc="C456B8BE" w:tentative="1">
      <w:start w:val="1"/>
      <w:numFmt w:val="bullet"/>
      <w:lvlText w:val="•"/>
      <w:lvlJc w:val="left"/>
      <w:pPr>
        <w:tabs>
          <w:tab w:val="num" w:pos="2880"/>
        </w:tabs>
        <w:ind w:left="2880" w:hanging="360"/>
      </w:pPr>
      <w:rPr>
        <w:rFonts w:ascii="Arial" w:hAnsi="Arial" w:hint="default"/>
      </w:rPr>
    </w:lvl>
    <w:lvl w:ilvl="4" w:tplc="D65C196A" w:tentative="1">
      <w:start w:val="1"/>
      <w:numFmt w:val="bullet"/>
      <w:lvlText w:val="•"/>
      <w:lvlJc w:val="left"/>
      <w:pPr>
        <w:tabs>
          <w:tab w:val="num" w:pos="3600"/>
        </w:tabs>
        <w:ind w:left="3600" w:hanging="360"/>
      </w:pPr>
      <w:rPr>
        <w:rFonts w:ascii="Arial" w:hAnsi="Arial" w:hint="default"/>
      </w:rPr>
    </w:lvl>
    <w:lvl w:ilvl="5" w:tplc="40E272AE" w:tentative="1">
      <w:start w:val="1"/>
      <w:numFmt w:val="bullet"/>
      <w:lvlText w:val="•"/>
      <w:lvlJc w:val="left"/>
      <w:pPr>
        <w:tabs>
          <w:tab w:val="num" w:pos="4320"/>
        </w:tabs>
        <w:ind w:left="4320" w:hanging="360"/>
      </w:pPr>
      <w:rPr>
        <w:rFonts w:ascii="Arial" w:hAnsi="Arial" w:hint="default"/>
      </w:rPr>
    </w:lvl>
    <w:lvl w:ilvl="6" w:tplc="1E78288A" w:tentative="1">
      <w:start w:val="1"/>
      <w:numFmt w:val="bullet"/>
      <w:lvlText w:val="•"/>
      <w:lvlJc w:val="left"/>
      <w:pPr>
        <w:tabs>
          <w:tab w:val="num" w:pos="5040"/>
        </w:tabs>
        <w:ind w:left="5040" w:hanging="360"/>
      </w:pPr>
      <w:rPr>
        <w:rFonts w:ascii="Arial" w:hAnsi="Arial" w:hint="default"/>
      </w:rPr>
    </w:lvl>
    <w:lvl w:ilvl="7" w:tplc="A4665E38" w:tentative="1">
      <w:start w:val="1"/>
      <w:numFmt w:val="bullet"/>
      <w:lvlText w:val="•"/>
      <w:lvlJc w:val="left"/>
      <w:pPr>
        <w:tabs>
          <w:tab w:val="num" w:pos="5760"/>
        </w:tabs>
        <w:ind w:left="5760" w:hanging="360"/>
      </w:pPr>
      <w:rPr>
        <w:rFonts w:ascii="Arial" w:hAnsi="Arial" w:hint="default"/>
      </w:rPr>
    </w:lvl>
    <w:lvl w:ilvl="8" w:tplc="F982A06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0457F17"/>
    <w:multiLevelType w:val="hybridMultilevel"/>
    <w:tmpl w:val="D9C0521E"/>
    <w:lvl w:ilvl="0" w:tplc="9F72868C">
      <w:start w:val="1"/>
      <w:numFmt w:val="bullet"/>
      <w:lvlText w:val="•"/>
      <w:lvlJc w:val="left"/>
      <w:pPr>
        <w:tabs>
          <w:tab w:val="num" w:pos="720"/>
        </w:tabs>
        <w:ind w:left="720" w:hanging="360"/>
      </w:pPr>
      <w:rPr>
        <w:rFonts w:ascii="Arial" w:hAnsi="Arial" w:hint="default"/>
      </w:rPr>
    </w:lvl>
    <w:lvl w:ilvl="1" w:tplc="46D61298" w:tentative="1">
      <w:start w:val="1"/>
      <w:numFmt w:val="bullet"/>
      <w:lvlText w:val="•"/>
      <w:lvlJc w:val="left"/>
      <w:pPr>
        <w:tabs>
          <w:tab w:val="num" w:pos="1440"/>
        </w:tabs>
        <w:ind w:left="1440" w:hanging="360"/>
      </w:pPr>
      <w:rPr>
        <w:rFonts w:ascii="Arial" w:hAnsi="Arial" w:hint="default"/>
      </w:rPr>
    </w:lvl>
    <w:lvl w:ilvl="2" w:tplc="CFA2F0C0" w:tentative="1">
      <w:start w:val="1"/>
      <w:numFmt w:val="bullet"/>
      <w:lvlText w:val="•"/>
      <w:lvlJc w:val="left"/>
      <w:pPr>
        <w:tabs>
          <w:tab w:val="num" w:pos="2160"/>
        </w:tabs>
        <w:ind w:left="2160" w:hanging="360"/>
      </w:pPr>
      <w:rPr>
        <w:rFonts w:ascii="Arial" w:hAnsi="Arial" w:hint="default"/>
      </w:rPr>
    </w:lvl>
    <w:lvl w:ilvl="3" w:tplc="92D6C622" w:tentative="1">
      <w:start w:val="1"/>
      <w:numFmt w:val="bullet"/>
      <w:lvlText w:val="•"/>
      <w:lvlJc w:val="left"/>
      <w:pPr>
        <w:tabs>
          <w:tab w:val="num" w:pos="2880"/>
        </w:tabs>
        <w:ind w:left="2880" w:hanging="360"/>
      </w:pPr>
      <w:rPr>
        <w:rFonts w:ascii="Arial" w:hAnsi="Arial" w:hint="default"/>
      </w:rPr>
    </w:lvl>
    <w:lvl w:ilvl="4" w:tplc="BD16A060" w:tentative="1">
      <w:start w:val="1"/>
      <w:numFmt w:val="bullet"/>
      <w:lvlText w:val="•"/>
      <w:lvlJc w:val="left"/>
      <w:pPr>
        <w:tabs>
          <w:tab w:val="num" w:pos="3600"/>
        </w:tabs>
        <w:ind w:left="3600" w:hanging="360"/>
      </w:pPr>
      <w:rPr>
        <w:rFonts w:ascii="Arial" w:hAnsi="Arial" w:hint="default"/>
      </w:rPr>
    </w:lvl>
    <w:lvl w:ilvl="5" w:tplc="1F847406" w:tentative="1">
      <w:start w:val="1"/>
      <w:numFmt w:val="bullet"/>
      <w:lvlText w:val="•"/>
      <w:lvlJc w:val="left"/>
      <w:pPr>
        <w:tabs>
          <w:tab w:val="num" w:pos="4320"/>
        </w:tabs>
        <w:ind w:left="4320" w:hanging="360"/>
      </w:pPr>
      <w:rPr>
        <w:rFonts w:ascii="Arial" w:hAnsi="Arial" w:hint="default"/>
      </w:rPr>
    </w:lvl>
    <w:lvl w:ilvl="6" w:tplc="ABE2AA04" w:tentative="1">
      <w:start w:val="1"/>
      <w:numFmt w:val="bullet"/>
      <w:lvlText w:val="•"/>
      <w:lvlJc w:val="left"/>
      <w:pPr>
        <w:tabs>
          <w:tab w:val="num" w:pos="5040"/>
        </w:tabs>
        <w:ind w:left="5040" w:hanging="360"/>
      </w:pPr>
      <w:rPr>
        <w:rFonts w:ascii="Arial" w:hAnsi="Arial" w:hint="default"/>
      </w:rPr>
    </w:lvl>
    <w:lvl w:ilvl="7" w:tplc="EC32C77C" w:tentative="1">
      <w:start w:val="1"/>
      <w:numFmt w:val="bullet"/>
      <w:lvlText w:val="•"/>
      <w:lvlJc w:val="left"/>
      <w:pPr>
        <w:tabs>
          <w:tab w:val="num" w:pos="5760"/>
        </w:tabs>
        <w:ind w:left="5760" w:hanging="360"/>
      </w:pPr>
      <w:rPr>
        <w:rFonts w:ascii="Arial" w:hAnsi="Arial" w:hint="default"/>
      </w:rPr>
    </w:lvl>
    <w:lvl w:ilvl="8" w:tplc="9E8E1FC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387E0701"/>
    <w:multiLevelType w:val="hybridMultilevel"/>
    <w:tmpl w:val="C8D8A7BA"/>
    <w:lvl w:ilvl="0" w:tplc="02A826DA">
      <w:start w:val="1"/>
      <w:numFmt w:val="bullet"/>
      <w:lvlText w:val="•"/>
      <w:lvlJc w:val="left"/>
      <w:pPr>
        <w:tabs>
          <w:tab w:val="num" w:pos="720"/>
        </w:tabs>
        <w:ind w:left="720" w:hanging="360"/>
      </w:pPr>
      <w:rPr>
        <w:rFonts w:ascii="Arial" w:hAnsi="Arial" w:hint="default"/>
      </w:rPr>
    </w:lvl>
    <w:lvl w:ilvl="1" w:tplc="FCFCE3C6" w:tentative="1">
      <w:start w:val="1"/>
      <w:numFmt w:val="bullet"/>
      <w:lvlText w:val="•"/>
      <w:lvlJc w:val="left"/>
      <w:pPr>
        <w:tabs>
          <w:tab w:val="num" w:pos="1440"/>
        </w:tabs>
        <w:ind w:left="1440" w:hanging="360"/>
      </w:pPr>
      <w:rPr>
        <w:rFonts w:ascii="Arial" w:hAnsi="Arial" w:hint="default"/>
      </w:rPr>
    </w:lvl>
    <w:lvl w:ilvl="2" w:tplc="C1F8CBB6" w:tentative="1">
      <w:start w:val="1"/>
      <w:numFmt w:val="bullet"/>
      <w:lvlText w:val="•"/>
      <w:lvlJc w:val="left"/>
      <w:pPr>
        <w:tabs>
          <w:tab w:val="num" w:pos="2160"/>
        </w:tabs>
        <w:ind w:left="2160" w:hanging="360"/>
      </w:pPr>
      <w:rPr>
        <w:rFonts w:ascii="Arial" w:hAnsi="Arial" w:hint="default"/>
      </w:rPr>
    </w:lvl>
    <w:lvl w:ilvl="3" w:tplc="B06A79A6" w:tentative="1">
      <w:start w:val="1"/>
      <w:numFmt w:val="bullet"/>
      <w:lvlText w:val="•"/>
      <w:lvlJc w:val="left"/>
      <w:pPr>
        <w:tabs>
          <w:tab w:val="num" w:pos="2880"/>
        </w:tabs>
        <w:ind w:left="2880" w:hanging="360"/>
      </w:pPr>
      <w:rPr>
        <w:rFonts w:ascii="Arial" w:hAnsi="Arial" w:hint="default"/>
      </w:rPr>
    </w:lvl>
    <w:lvl w:ilvl="4" w:tplc="47F4AAA4" w:tentative="1">
      <w:start w:val="1"/>
      <w:numFmt w:val="bullet"/>
      <w:lvlText w:val="•"/>
      <w:lvlJc w:val="left"/>
      <w:pPr>
        <w:tabs>
          <w:tab w:val="num" w:pos="3600"/>
        </w:tabs>
        <w:ind w:left="3600" w:hanging="360"/>
      </w:pPr>
      <w:rPr>
        <w:rFonts w:ascii="Arial" w:hAnsi="Arial" w:hint="default"/>
      </w:rPr>
    </w:lvl>
    <w:lvl w:ilvl="5" w:tplc="C2745606" w:tentative="1">
      <w:start w:val="1"/>
      <w:numFmt w:val="bullet"/>
      <w:lvlText w:val="•"/>
      <w:lvlJc w:val="left"/>
      <w:pPr>
        <w:tabs>
          <w:tab w:val="num" w:pos="4320"/>
        </w:tabs>
        <w:ind w:left="4320" w:hanging="360"/>
      </w:pPr>
      <w:rPr>
        <w:rFonts w:ascii="Arial" w:hAnsi="Arial" w:hint="default"/>
      </w:rPr>
    </w:lvl>
    <w:lvl w:ilvl="6" w:tplc="A7C0FDE6" w:tentative="1">
      <w:start w:val="1"/>
      <w:numFmt w:val="bullet"/>
      <w:lvlText w:val="•"/>
      <w:lvlJc w:val="left"/>
      <w:pPr>
        <w:tabs>
          <w:tab w:val="num" w:pos="5040"/>
        </w:tabs>
        <w:ind w:left="5040" w:hanging="360"/>
      </w:pPr>
      <w:rPr>
        <w:rFonts w:ascii="Arial" w:hAnsi="Arial" w:hint="default"/>
      </w:rPr>
    </w:lvl>
    <w:lvl w:ilvl="7" w:tplc="FB28B51E" w:tentative="1">
      <w:start w:val="1"/>
      <w:numFmt w:val="bullet"/>
      <w:lvlText w:val="•"/>
      <w:lvlJc w:val="left"/>
      <w:pPr>
        <w:tabs>
          <w:tab w:val="num" w:pos="5760"/>
        </w:tabs>
        <w:ind w:left="5760" w:hanging="360"/>
      </w:pPr>
      <w:rPr>
        <w:rFonts w:ascii="Arial" w:hAnsi="Arial" w:hint="default"/>
      </w:rPr>
    </w:lvl>
    <w:lvl w:ilvl="8" w:tplc="BEF4339A"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A9078A4"/>
    <w:multiLevelType w:val="hybridMultilevel"/>
    <w:tmpl w:val="F9EC5DE2"/>
    <w:lvl w:ilvl="0" w:tplc="269220CC">
      <w:start w:val="1"/>
      <w:numFmt w:val="bullet"/>
      <w:lvlText w:val="•"/>
      <w:lvlJc w:val="left"/>
      <w:pPr>
        <w:tabs>
          <w:tab w:val="num" w:pos="720"/>
        </w:tabs>
        <w:ind w:left="720" w:hanging="360"/>
      </w:pPr>
      <w:rPr>
        <w:rFonts w:ascii="Arial" w:hAnsi="Arial" w:hint="default"/>
      </w:rPr>
    </w:lvl>
    <w:lvl w:ilvl="1" w:tplc="B0FEA1CC" w:tentative="1">
      <w:start w:val="1"/>
      <w:numFmt w:val="bullet"/>
      <w:lvlText w:val="•"/>
      <w:lvlJc w:val="left"/>
      <w:pPr>
        <w:tabs>
          <w:tab w:val="num" w:pos="1440"/>
        </w:tabs>
        <w:ind w:left="1440" w:hanging="360"/>
      </w:pPr>
      <w:rPr>
        <w:rFonts w:ascii="Arial" w:hAnsi="Arial" w:hint="default"/>
      </w:rPr>
    </w:lvl>
    <w:lvl w:ilvl="2" w:tplc="9798344C" w:tentative="1">
      <w:start w:val="1"/>
      <w:numFmt w:val="bullet"/>
      <w:lvlText w:val="•"/>
      <w:lvlJc w:val="left"/>
      <w:pPr>
        <w:tabs>
          <w:tab w:val="num" w:pos="2160"/>
        </w:tabs>
        <w:ind w:left="2160" w:hanging="360"/>
      </w:pPr>
      <w:rPr>
        <w:rFonts w:ascii="Arial" w:hAnsi="Arial" w:hint="default"/>
      </w:rPr>
    </w:lvl>
    <w:lvl w:ilvl="3" w:tplc="C486F200" w:tentative="1">
      <w:start w:val="1"/>
      <w:numFmt w:val="bullet"/>
      <w:lvlText w:val="•"/>
      <w:lvlJc w:val="left"/>
      <w:pPr>
        <w:tabs>
          <w:tab w:val="num" w:pos="2880"/>
        </w:tabs>
        <w:ind w:left="2880" w:hanging="360"/>
      </w:pPr>
      <w:rPr>
        <w:rFonts w:ascii="Arial" w:hAnsi="Arial" w:hint="default"/>
      </w:rPr>
    </w:lvl>
    <w:lvl w:ilvl="4" w:tplc="879E22B0" w:tentative="1">
      <w:start w:val="1"/>
      <w:numFmt w:val="bullet"/>
      <w:lvlText w:val="•"/>
      <w:lvlJc w:val="left"/>
      <w:pPr>
        <w:tabs>
          <w:tab w:val="num" w:pos="3600"/>
        </w:tabs>
        <w:ind w:left="3600" w:hanging="360"/>
      </w:pPr>
      <w:rPr>
        <w:rFonts w:ascii="Arial" w:hAnsi="Arial" w:hint="default"/>
      </w:rPr>
    </w:lvl>
    <w:lvl w:ilvl="5" w:tplc="167E1D7A" w:tentative="1">
      <w:start w:val="1"/>
      <w:numFmt w:val="bullet"/>
      <w:lvlText w:val="•"/>
      <w:lvlJc w:val="left"/>
      <w:pPr>
        <w:tabs>
          <w:tab w:val="num" w:pos="4320"/>
        </w:tabs>
        <w:ind w:left="4320" w:hanging="360"/>
      </w:pPr>
      <w:rPr>
        <w:rFonts w:ascii="Arial" w:hAnsi="Arial" w:hint="default"/>
      </w:rPr>
    </w:lvl>
    <w:lvl w:ilvl="6" w:tplc="3E7ED5EA" w:tentative="1">
      <w:start w:val="1"/>
      <w:numFmt w:val="bullet"/>
      <w:lvlText w:val="•"/>
      <w:lvlJc w:val="left"/>
      <w:pPr>
        <w:tabs>
          <w:tab w:val="num" w:pos="5040"/>
        </w:tabs>
        <w:ind w:left="5040" w:hanging="360"/>
      </w:pPr>
      <w:rPr>
        <w:rFonts w:ascii="Arial" w:hAnsi="Arial" w:hint="default"/>
      </w:rPr>
    </w:lvl>
    <w:lvl w:ilvl="7" w:tplc="031CA5BA" w:tentative="1">
      <w:start w:val="1"/>
      <w:numFmt w:val="bullet"/>
      <w:lvlText w:val="•"/>
      <w:lvlJc w:val="left"/>
      <w:pPr>
        <w:tabs>
          <w:tab w:val="num" w:pos="5760"/>
        </w:tabs>
        <w:ind w:left="5760" w:hanging="360"/>
      </w:pPr>
      <w:rPr>
        <w:rFonts w:ascii="Arial" w:hAnsi="Arial" w:hint="default"/>
      </w:rPr>
    </w:lvl>
    <w:lvl w:ilvl="8" w:tplc="7834CF7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AAE5C40"/>
    <w:multiLevelType w:val="hybridMultilevel"/>
    <w:tmpl w:val="B5EE0B34"/>
    <w:lvl w:ilvl="0" w:tplc="1EFE799C">
      <w:start w:val="1"/>
      <w:numFmt w:val="bullet"/>
      <w:lvlText w:val="•"/>
      <w:lvlJc w:val="left"/>
      <w:pPr>
        <w:tabs>
          <w:tab w:val="num" w:pos="720"/>
        </w:tabs>
        <w:ind w:left="720" w:hanging="360"/>
      </w:pPr>
      <w:rPr>
        <w:rFonts w:ascii="Arial" w:hAnsi="Arial" w:hint="default"/>
      </w:rPr>
    </w:lvl>
    <w:lvl w:ilvl="1" w:tplc="C562B9FE" w:tentative="1">
      <w:start w:val="1"/>
      <w:numFmt w:val="bullet"/>
      <w:lvlText w:val="•"/>
      <w:lvlJc w:val="left"/>
      <w:pPr>
        <w:tabs>
          <w:tab w:val="num" w:pos="1440"/>
        </w:tabs>
        <w:ind w:left="1440" w:hanging="360"/>
      </w:pPr>
      <w:rPr>
        <w:rFonts w:ascii="Arial" w:hAnsi="Arial" w:hint="default"/>
      </w:rPr>
    </w:lvl>
    <w:lvl w:ilvl="2" w:tplc="C6E85504" w:tentative="1">
      <w:start w:val="1"/>
      <w:numFmt w:val="bullet"/>
      <w:lvlText w:val="•"/>
      <w:lvlJc w:val="left"/>
      <w:pPr>
        <w:tabs>
          <w:tab w:val="num" w:pos="2160"/>
        </w:tabs>
        <w:ind w:left="2160" w:hanging="360"/>
      </w:pPr>
      <w:rPr>
        <w:rFonts w:ascii="Arial" w:hAnsi="Arial" w:hint="default"/>
      </w:rPr>
    </w:lvl>
    <w:lvl w:ilvl="3" w:tplc="CD0A8F2C" w:tentative="1">
      <w:start w:val="1"/>
      <w:numFmt w:val="bullet"/>
      <w:lvlText w:val="•"/>
      <w:lvlJc w:val="left"/>
      <w:pPr>
        <w:tabs>
          <w:tab w:val="num" w:pos="2880"/>
        </w:tabs>
        <w:ind w:left="2880" w:hanging="360"/>
      </w:pPr>
      <w:rPr>
        <w:rFonts w:ascii="Arial" w:hAnsi="Arial" w:hint="default"/>
      </w:rPr>
    </w:lvl>
    <w:lvl w:ilvl="4" w:tplc="27D8EEC0" w:tentative="1">
      <w:start w:val="1"/>
      <w:numFmt w:val="bullet"/>
      <w:lvlText w:val="•"/>
      <w:lvlJc w:val="left"/>
      <w:pPr>
        <w:tabs>
          <w:tab w:val="num" w:pos="3600"/>
        </w:tabs>
        <w:ind w:left="3600" w:hanging="360"/>
      </w:pPr>
      <w:rPr>
        <w:rFonts w:ascii="Arial" w:hAnsi="Arial" w:hint="default"/>
      </w:rPr>
    </w:lvl>
    <w:lvl w:ilvl="5" w:tplc="CAD8490E" w:tentative="1">
      <w:start w:val="1"/>
      <w:numFmt w:val="bullet"/>
      <w:lvlText w:val="•"/>
      <w:lvlJc w:val="left"/>
      <w:pPr>
        <w:tabs>
          <w:tab w:val="num" w:pos="4320"/>
        </w:tabs>
        <w:ind w:left="4320" w:hanging="360"/>
      </w:pPr>
      <w:rPr>
        <w:rFonts w:ascii="Arial" w:hAnsi="Arial" w:hint="default"/>
      </w:rPr>
    </w:lvl>
    <w:lvl w:ilvl="6" w:tplc="ECB45EC6" w:tentative="1">
      <w:start w:val="1"/>
      <w:numFmt w:val="bullet"/>
      <w:lvlText w:val="•"/>
      <w:lvlJc w:val="left"/>
      <w:pPr>
        <w:tabs>
          <w:tab w:val="num" w:pos="5040"/>
        </w:tabs>
        <w:ind w:left="5040" w:hanging="360"/>
      </w:pPr>
      <w:rPr>
        <w:rFonts w:ascii="Arial" w:hAnsi="Arial" w:hint="default"/>
      </w:rPr>
    </w:lvl>
    <w:lvl w:ilvl="7" w:tplc="528ACCEE" w:tentative="1">
      <w:start w:val="1"/>
      <w:numFmt w:val="bullet"/>
      <w:lvlText w:val="•"/>
      <w:lvlJc w:val="left"/>
      <w:pPr>
        <w:tabs>
          <w:tab w:val="num" w:pos="5760"/>
        </w:tabs>
        <w:ind w:left="5760" w:hanging="360"/>
      </w:pPr>
      <w:rPr>
        <w:rFonts w:ascii="Arial" w:hAnsi="Arial" w:hint="default"/>
      </w:rPr>
    </w:lvl>
    <w:lvl w:ilvl="8" w:tplc="3E26C08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AEB114D"/>
    <w:multiLevelType w:val="hybridMultilevel"/>
    <w:tmpl w:val="C192B980"/>
    <w:lvl w:ilvl="0" w:tplc="08F4F150">
      <w:start w:val="1"/>
      <w:numFmt w:val="bullet"/>
      <w:lvlText w:val="•"/>
      <w:lvlJc w:val="left"/>
      <w:pPr>
        <w:tabs>
          <w:tab w:val="num" w:pos="720"/>
        </w:tabs>
        <w:ind w:left="720" w:hanging="360"/>
      </w:pPr>
      <w:rPr>
        <w:rFonts w:ascii="Arial" w:hAnsi="Arial" w:hint="default"/>
      </w:rPr>
    </w:lvl>
    <w:lvl w:ilvl="1" w:tplc="3D22B850">
      <w:start w:val="1"/>
      <w:numFmt w:val="bullet"/>
      <w:lvlText w:val="•"/>
      <w:lvlJc w:val="left"/>
      <w:pPr>
        <w:tabs>
          <w:tab w:val="num" w:pos="1440"/>
        </w:tabs>
        <w:ind w:left="1440" w:hanging="360"/>
      </w:pPr>
      <w:rPr>
        <w:rFonts w:ascii="Arial" w:hAnsi="Arial" w:hint="default"/>
      </w:rPr>
    </w:lvl>
    <w:lvl w:ilvl="2" w:tplc="58785C62" w:tentative="1">
      <w:start w:val="1"/>
      <w:numFmt w:val="bullet"/>
      <w:lvlText w:val="•"/>
      <w:lvlJc w:val="left"/>
      <w:pPr>
        <w:tabs>
          <w:tab w:val="num" w:pos="2160"/>
        </w:tabs>
        <w:ind w:left="2160" w:hanging="360"/>
      </w:pPr>
      <w:rPr>
        <w:rFonts w:ascii="Arial" w:hAnsi="Arial" w:hint="default"/>
      </w:rPr>
    </w:lvl>
    <w:lvl w:ilvl="3" w:tplc="6E644BB6" w:tentative="1">
      <w:start w:val="1"/>
      <w:numFmt w:val="bullet"/>
      <w:lvlText w:val="•"/>
      <w:lvlJc w:val="left"/>
      <w:pPr>
        <w:tabs>
          <w:tab w:val="num" w:pos="2880"/>
        </w:tabs>
        <w:ind w:left="2880" w:hanging="360"/>
      </w:pPr>
      <w:rPr>
        <w:rFonts w:ascii="Arial" w:hAnsi="Arial" w:hint="default"/>
      </w:rPr>
    </w:lvl>
    <w:lvl w:ilvl="4" w:tplc="D54075E0" w:tentative="1">
      <w:start w:val="1"/>
      <w:numFmt w:val="bullet"/>
      <w:lvlText w:val="•"/>
      <w:lvlJc w:val="left"/>
      <w:pPr>
        <w:tabs>
          <w:tab w:val="num" w:pos="3600"/>
        </w:tabs>
        <w:ind w:left="3600" w:hanging="360"/>
      </w:pPr>
      <w:rPr>
        <w:rFonts w:ascii="Arial" w:hAnsi="Arial" w:hint="default"/>
      </w:rPr>
    </w:lvl>
    <w:lvl w:ilvl="5" w:tplc="9DD0DA5C" w:tentative="1">
      <w:start w:val="1"/>
      <w:numFmt w:val="bullet"/>
      <w:lvlText w:val="•"/>
      <w:lvlJc w:val="left"/>
      <w:pPr>
        <w:tabs>
          <w:tab w:val="num" w:pos="4320"/>
        </w:tabs>
        <w:ind w:left="4320" w:hanging="360"/>
      </w:pPr>
      <w:rPr>
        <w:rFonts w:ascii="Arial" w:hAnsi="Arial" w:hint="default"/>
      </w:rPr>
    </w:lvl>
    <w:lvl w:ilvl="6" w:tplc="78BC6A14" w:tentative="1">
      <w:start w:val="1"/>
      <w:numFmt w:val="bullet"/>
      <w:lvlText w:val="•"/>
      <w:lvlJc w:val="left"/>
      <w:pPr>
        <w:tabs>
          <w:tab w:val="num" w:pos="5040"/>
        </w:tabs>
        <w:ind w:left="5040" w:hanging="360"/>
      </w:pPr>
      <w:rPr>
        <w:rFonts w:ascii="Arial" w:hAnsi="Arial" w:hint="default"/>
      </w:rPr>
    </w:lvl>
    <w:lvl w:ilvl="7" w:tplc="1978844A" w:tentative="1">
      <w:start w:val="1"/>
      <w:numFmt w:val="bullet"/>
      <w:lvlText w:val="•"/>
      <w:lvlJc w:val="left"/>
      <w:pPr>
        <w:tabs>
          <w:tab w:val="num" w:pos="5760"/>
        </w:tabs>
        <w:ind w:left="5760" w:hanging="360"/>
      </w:pPr>
      <w:rPr>
        <w:rFonts w:ascii="Arial" w:hAnsi="Arial" w:hint="default"/>
      </w:rPr>
    </w:lvl>
    <w:lvl w:ilvl="8" w:tplc="8FECEDA0"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3AF1623A"/>
    <w:multiLevelType w:val="hybridMultilevel"/>
    <w:tmpl w:val="3C9C7722"/>
    <w:lvl w:ilvl="0" w:tplc="C5FE287A">
      <w:start w:val="1"/>
      <w:numFmt w:val="bullet"/>
      <w:lvlText w:val="•"/>
      <w:lvlJc w:val="left"/>
      <w:pPr>
        <w:tabs>
          <w:tab w:val="num" w:pos="720"/>
        </w:tabs>
        <w:ind w:left="720" w:hanging="360"/>
      </w:pPr>
      <w:rPr>
        <w:rFonts w:ascii="Arial" w:hAnsi="Arial" w:hint="default"/>
      </w:rPr>
    </w:lvl>
    <w:lvl w:ilvl="1" w:tplc="27149F56" w:tentative="1">
      <w:start w:val="1"/>
      <w:numFmt w:val="bullet"/>
      <w:lvlText w:val="•"/>
      <w:lvlJc w:val="left"/>
      <w:pPr>
        <w:tabs>
          <w:tab w:val="num" w:pos="1440"/>
        </w:tabs>
        <w:ind w:left="1440" w:hanging="360"/>
      </w:pPr>
      <w:rPr>
        <w:rFonts w:ascii="Arial" w:hAnsi="Arial" w:hint="default"/>
      </w:rPr>
    </w:lvl>
    <w:lvl w:ilvl="2" w:tplc="0F0C84CC" w:tentative="1">
      <w:start w:val="1"/>
      <w:numFmt w:val="bullet"/>
      <w:lvlText w:val="•"/>
      <w:lvlJc w:val="left"/>
      <w:pPr>
        <w:tabs>
          <w:tab w:val="num" w:pos="2160"/>
        </w:tabs>
        <w:ind w:left="2160" w:hanging="360"/>
      </w:pPr>
      <w:rPr>
        <w:rFonts w:ascii="Arial" w:hAnsi="Arial" w:hint="default"/>
      </w:rPr>
    </w:lvl>
    <w:lvl w:ilvl="3" w:tplc="2A28C42A" w:tentative="1">
      <w:start w:val="1"/>
      <w:numFmt w:val="bullet"/>
      <w:lvlText w:val="•"/>
      <w:lvlJc w:val="left"/>
      <w:pPr>
        <w:tabs>
          <w:tab w:val="num" w:pos="2880"/>
        </w:tabs>
        <w:ind w:left="2880" w:hanging="360"/>
      </w:pPr>
      <w:rPr>
        <w:rFonts w:ascii="Arial" w:hAnsi="Arial" w:hint="default"/>
      </w:rPr>
    </w:lvl>
    <w:lvl w:ilvl="4" w:tplc="2D28D1F0" w:tentative="1">
      <w:start w:val="1"/>
      <w:numFmt w:val="bullet"/>
      <w:lvlText w:val="•"/>
      <w:lvlJc w:val="left"/>
      <w:pPr>
        <w:tabs>
          <w:tab w:val="num" w:pos="3600"/>
        </w:tabs>
        <w:ind w:left="3600" w:hanging="360"/>
      </w:pPr>
      <w:rPr>
        <w:rFonts w:ascii="Arial" w:hAnsi="Arial" w:hint="default"/>
      </w:rPr>
    </w:lvl>
    <w:lvl w:ilvl="5" w:tplc="6A00006A" w:tentative="1">
      <w:start w:val="1"/>
      <w:numFmt w:val="bullet"/>
      <w:lvlText w:val="•"/>
      <w:lvlJc w:val="left"/>
      <w:pPr>
        <w:tabs>
          <w:tab w:val="num" w:pos="4320"/>
        </w:tabs>
        <w:ind w:left="4320" w:hanging="360"/>
      </w:pPr>
      <w:rPr>
        <w:rFonts w:ascii="Arial" w:hAnsi="Arial" w:hint="default"/>
      </w:rPr>
    </w:lvl>
    <w:lvl w:ilvl="6" w:tplc="5484B7F2" w:tentative="1">
      <w:start w:val="1"/>
      <w:numFmt w:val="bullet"/>
      <w:lvlText w:val="•"/>
      <w:lvlJc w:val="left"/>
      <w:pPr>
        <w:tabs>
          <w:tab w:val="num" w:pos="5040"/>
        </w:tabs>
        <w:ind w:left="5040" w:hanging="360"/>
      </w:pPr>
      <w:rPr>
        <w:rFonts w:ascii="Arial" w:hAnsi="Arial" w:hint="default"/>
      </w:rPr>
    </w:lvl>
    <w:lvl w:ilvl="7" w:tplc="5C14C2BA" w:tentative="1">
      <w:start w:val="1"/>
      <w:numFmt w:val="bullet"/>
      <w:lvlText w:val="•"/>
      <w:lvlJc w:val="left"/>
      <w:pPr>
        <w:tabs>
          <w:tab w:val="num" w:pos="5760"/>
        </w:tabs>
        <w:ind w:left="5760" w:hanging="360"/>
      </w:pPr>
      <w:rPr>
        <w:rFonts w:ascii="Arial" w:hAnsi="Arial" w:hint="default"/>
      </w:rPr>
    </w:lvl>
    <w:lvl w:ilvl="8" w:tplc="E870AF9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B0450B0"/>
    <w:multiLevelType w:val="hybridMultilevel"/>
    <w:tmpl w:val="7B6A3090"/>
    <w:lvl w:ilvl="0" w:tplc="6E7AB174">
      <w:start w:val="1"/>
      <w:numFmt w:val="bullet"/>
      <w:lvlText w:val="•"/>
      <w:lvlJc w:val="left"/>
      <w:pPr>
        <w:tabs>
          <w:tab w:val="num" w:pos="720"/>
        </w:tabs>
        <w:ind w:left="720" w:hanging="360"/>
      </w:pPr>
      <w:rPr>
        <w:rFonts w:ascii="Arial" w:hAnsi="Arial" w:hint="default"/>
      </w:rPr>
    </w:lvl>
    <w:lvl w:ilvl="1" w:tplc="1B7CEA18" w:tentative="1">
      <w:start w:val="1"/>
      <w:numFmt w:val="bullet"/>
      <w:lvlText w:val="•"/>
      <w:lvlJc w:val="left"/>
      <w:pPr>
        <w:tabs>
          <w:tab w:val="num" w:pos="1440"/>
        </w:tabs>
        <w:ind w:left="1440" w:hanging="360"/>
      </w:pPr>
      <w:rPr>
        <w:rFonts w:ascii="Arial" w:hAnsi="Arial" w:hint="default"/>
      </w:rPr>
    </w:lvl>
    <w:lvl w:ilvl="2" w:tplc="4246ECDC" w:tentative="1">
      <w:start w:val="1"/>
      <w:numFmt w:val="bullet"/>
      <w:lvlText w:val="•"/>
      <w:lvlJc w:val="left"/>
      <w:pPr>
        <w:tabs>
          <w:tab w:val="num" w:pos="2160"/>
        </w:tabs>
        <w:ind w:left="2160" w:hanging="360"/>
      </w:pPr>
      <w:rPr>
        <w:rFonts w:ascii="Arial" w:hAnsi="Arial" w:hint="default"/>
      </w:rPr>
    </w:lvl>
    <w:lvl w:ilvl="3" w:tplc="4C90B172" w:tentative="1">
      <w:start w:val="1"/>
      <w:numFmt w:val="bullet"/>
      <w:lvlText w:val="•"/>
      <w:lvlJc w:val="left"/>
      <w:pPr>
        <w:tabs>
          <w:tab w:val="num" w:pos="2880"/>
        </w:tabs>
        <w:ind w:left="2880" w:hanging="360"/>
      </w:pPr>
      <w:rPr>
        <w:rFonts w:ascii="Arial" w:hAnsi="Arial" w:hint="default"/>
      </w:rPr>
    </w:lvl>
    <w:lvl w:ilvl="4" w:tplc="EAB82F06" w:tentative="1">
      <w:start w:val="1"/>
      <w:numFmt w:val="bullet"/>
      <w:lvlText w:val="•"/>
      <w:lvlJc w:val="left"/>
      <w:pPr>
        <w:tabs>
          <w:tab w:val="num" w:pos="3600"/>
        </w:tabs>
        <w:ind w:left="3600" w:hanging="360"/>
      </w:pPr>
      <w:rPr>
        <w:rFonts w:ascii="Arial" w:hAnsi="Arial" w:hint="default"/>
      </w:rPr>
    </w:lvl>
    <w:lvl w:ilvl="5" w:tplc="80E40962" w:tentative="1">
      <w:start w:val="1"/>
      <w:numFmt w:val="bullet"/>
      <w:lvlText w:val="•"/>
      <w:lvlJc w:val="left"/>
      <w:pPr>
        <w:tabs>
          <w:tab w:val="num" w:pos="4320"/>
        </w:tabs>
        <w:ind w:left="4320" w:hanging="360"/>
      </w:pPr>
      <w:rPr>
        <w:rFonts w:ascii="Arial" w:hAnsi="Arial" w:hint="default"/>
      </w:rPr>
    </w:lvl>
    <w:lvl w:ilvl="6" w:tplc="3A7C246C" w:tentative="1">
      <w:start w:val="1"/>
      <w:numFmt w:val="bullet"/>
      <w:lvlText w:val="•"/>
      <w:lvlJc w:val="left"/>
      <w:pPr>
        <w:tabs>
          <w:tab w:val="num" w:pos="5040"/>
        </w:tabs>
        <w:ind w:left="5040" w:hanging="360"/>
      </w:pPr>
      <w:rPr>
        <w:rFonts w:ascii="Arial" w:hAnsi="Arial" w:hint="default"/>
      </w:rPr>
    </w:lvl>
    <w:lvl w:ilvl="7" w:tplc="9F9CAFD0" w:tentative="1">
      <w:start w:val="1"/>
      <w:numFmt w:val="bullet"/>
      <w:lvlText w:val="•"/>
      <w:lvlJc w:val="left"/>
      <w:pPr>
        <w:tabs>
          <w:tab w:val="num" w:pos="5760"/>
        </w:tabs>
        <w:ind w:left="5760" w:hanging="360"/>
      </w:pPr>
      <w:rPr>
        <w:rFonts w:ascii="Arial" w:hAnsi="Arial" w:hint="default"/>
      </w:rPr>
    </w:lvl>
    <w:lvl w:ilvl="8" w:tplc="30381E8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13424CA"/>
    <w:multiLevelType w:val="hybridMultilevel"/>
    <w:tmpl w:val="38601D14"/>
    <w:lvl w:ilvl="0" w:tplc="D4B82298">
      <w:start w:val="1"/>
      <w:numFmt w:val="bullet"/>
      <w:lvlText w:val="•"/>
      <w:lvlJc w:val="left"/>
      <w:pPr>
        <w:tabs>
          <w:tab w:val="num" w:pos="720"/>
        </w:tabs>
        <w:ind w:left="720" w:hanging="360"/>
      </w:pPr>
      <w:rPr>
        <w:rFonts w:ascii="Arial" w:hAnsi="Arial" w:hint="default"/>
      </w:rPr>
    </w:lvl>
    <w:lvl w:ilvl="1" w:tplc="7CCC089E">
      <w:start w:val="1"/>
      <w:numFmt w:val="bullet"/>
      <w:lvlText w:val="•"/>
      <w:lvlJc w:val="left"/>
      <w:pPr>
        <w:tabs>
          <w:tab w:val="num" w:pos="1440"/>
        </w:tabs>
        <w:ind w:left="1440" w:hanging="360"/>
      </w:pPr>
      <w:rPr>
        <w:rFonts w:ascii="Arial" w:hAnsi="Arial" w:hint="default"/>
      </w:rPr>
    </w:lvl>
    <w:lvl w:ilvl="2" w:tplc="EEBC52A6" w:tentative="1">
      <w:start w:val="1"/>
      <w:numFmt w:val="bullet"/>
      <w:lvlText w:val="•"/>
      <w:lvlJc w:val="left"/>
      <w:pPr>
        <w:tabs>
          <w:tab w:val="num" w:pos="2160"/>
        </w:tabs>
        <w:ind w:left="2160" w:hanging="360"/>
      </w:pPr>
      <w:rPr>
        <w:rFonts w:ascii="Arial" w:hAnsi="Arial" w:hint="default"/>
      </w:rPr>
    </w:lvl>
    <w:lvl w:ilvl="3" w:tplc="2D080FDA" w:tentative="1">
      <w:start w:val="1"/>
      <w:numFmt w:val="bullet"/>
      <w:lvlText w:val="•"/>
      <w:lvlJc w:val="left"/>
      <w:pPr>
        <w:tabs>
          <w:tab w:val="num" w:pos="2880"/>
        </w:tabs>
        <w:ind w:left="2880" w:hanging="360"/>
      </w:pPr>
      <w:rPr>
        <w:rFonts w:ascii="Arial" w:hAnsi="Arial" w:hint="default"/>
      </w:rPr>
    </w:lvl>
    <w:lvl w:ilvl="4" w:tplc="6B482490" w:tentative="1">
      <w:start w:val="1"/>
      <w:numFmt w:val="bullet"/>
      <w:lvlText w:val="•"/>
      <w:lvlJc w:val="left"/>
      <w:pPr>
        <w:tabs>
          <w:tab w:val="num" w:pos="3600"/>
        </w:tabs>
        <w:ind w:left="3600" w:hanging="360"/>
      </w:pPr>
      <w:rPr>
        <w:rFonts w:ascii="Arial" w:hAnsi="Arial" w:hint="default"/>
      </w:rPr>
    </w:lvl>
    <w:lvl w:ilvl="5" w:tplc="256ADCEE" w:tentative="1">
      <w:start w:val="1"/>
      <w:numFmt w:val="bullet"/>
      <w:lvlText w:val="•"/>
      <w:lvlJc w:val="left"/>
      <w:pPr>
        <w:tabs>
          <w:tab w:val="num" w:pos="4320"/>
        </w:tabs>
        <w:ind w:left="4320" w:hanging="360"/>
      </w:pPr>
      <w:rPr>
        <w:rFonts w:ascii="Arial" w:hAnsi="Arial" w:hint="default"/>
      </w:rPr>
    </w:lvl>
    <w:lvl w:ilvl="6" w:tplc="376EDA9C" w:tentative="1">
      <w:start w:val="1"/>
      <w:numFmt w:val="bullet"/>
      <w:lvlText w:val="•"/>
      <w:lvlJc w:val="left"/>
      <w:pPr>
        <w:tabs>
          <w:tab w:val="num" w:pos="5040"/>
        </w:tabs>
        <w:ind w:left="5040" w:hanging="360"/>
      </w:pPr>
      <w:rPr>
        <w:rFonts w:ascii="Arial" w:hAnsi="Arial" w:hint="default"/>
      </w:rPr>
    </w:lvl>
    <w:lvl w:ilvl="7" w:tplc="118C6B3C" w:tentative="1">
      <w:start w:val="1"/>
      <w:numFmt w:val="bullet"/>
      <w:lvlText w:val="•"/>
      <w:lvlJc w:val="left"/>
      <w:pPr>
        <w:tabs>
          <w:tab w:val="num" w:pos="5760"/>
        </w:tabs>
        <w:ind w:left="5760" w:hanging="360"/>
      </w:pPr>
      <w:rPr>
        <w:rFonts w:ascii="Arial" w:hAnsi="Arial" w:hint="default"/>
      </w:rPr>
    </w:lvl>
    <w:lvl w:ilvl="8" w:tplc="62E688A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4B93EC8"/>
    <w:multiLevelType w:val="hybridMultilevel"/>
    <w:tmpl w:val="5CDC0294"/>
    <w:lvl w:ilvl="0" w:tplc="25FA35B6">
      <w:start w:val="1"/>
      <w:numFmt w:val="bullet"/>
      <w:lvlText w:val="•"/>
      <w:lvlJc w:val="left"/>
      <w:pPr>
        <w:tabs>
          <w:tab w:val="num" w:pos="720"/>
        </w:tabs>
        <w:ind w:left="720" w:hanging="360"/>
      </w:pPr>
      <w:rPr>
        <w:rFonts w:ascii="Arial" w:hAnsi="Arial" w:hint="default"/>
      </w:rPr>
    </w:lvl>
    <w:lvl w:ilvl="1" w:tplc="E326E6FA" w:tentative="1">
      <w:start w:val="1"/>
      <w:numFmt w:val="bullet"/>
      <w:lvlText w:val="•"/>
      <w:lvlJc w:val="left"/>
      <w:pPr>
        <w:tabs>
          <w:tab w:val="num" w:pos="1440"/>
        </w:tabs>
        <w:ind w:left="1440" w:hanging="360"/>
      </w:pPr>
      <w:rPr>
        <w:rFonts w:ascii="Arial" w:hAnsi="Arial" w:hint="default"/>
      </w:rPr>
    </w:lvl>
    <w:lvl w:ilvl="2" w:tplc="80827098" w:tentative="1">
      <w:start w:val="1"/>
      <w:numFmt w:val="bullet"/>
      <w:lvlText w:val="•"/>
      <w:lvlJc w:val="left"/>
      <w:pPr>
        <w:tabs>
          <w:tab w:val="num" w:pos="2160"/>
        </w:tabs>
        <w:ind w:left="2160" w:hanging="360"/>
      </w:pPr>
      <w:rPr>
        <w:rFonts w:ascii="Arial" w:hAnsi="Arial" w:hint="default"/>
      </w:rPr>
    </w:lvl>
    <w:lvl w:ilvl="3" w:tplc="D3A601BA" w:tentative="1">
      <w:start w:val="1"/>
      <w:numFmt w:val="bullet"/>
      <w:lvlText w:val="•"/>
      <w:lvlJc w:val="left"/>
      <w:pPr>
        <w:tabs>
          <w:tab w:val="num" w:pos="2880"/>
        </w:tabs>
        <w:ind w:left="2880" w:hanging="360"/>
      </w:pPr>
      <w:rPr>
        <w:rFonts w:ascii="Arial" w:hAnsi="Arial" w:hint="default"/>
      </w:rPr>
    </w:lvl>
    <w:lvl w:ilvl="4" w:tplc="8362E8B2" w:tentative="1">
      <w:start w:val="1"/>
      <w:numFmt w:val="bullet"/>
      <w:lvlText w:val="•"/>
      <w:lvlJc w:val="left"/>
      <w:pPr>
        <w:tabs>
          <w:tab w:val="num" w:pos="3600"/>
        </w:tabs>
        <w:ind w:left="3600" w:hanging="360"/>
      </w:pPr>
      <w:rPr>
        <w:rFonts w:ascii="Arial" w:hAnsi="Arial" w:hint="default"/>
      </w:rPr>
    </w:lvl>
    <w:lvl w:ilvl="5" w:tplc="BCDCFB80" w:tentative="1">
      <w:start w:val="1"/>
      <w:numFmt w:val="bullet"/>
      <w:lvlText w:val="•"/>
      <w:lvlJc w:val="left"/>
      <w:pPr>
        <w:tabs>
          <w:tab w:val="num" w:pos="4320"/>
        </w:tabs>
        <w:ind w:left="4320" w:hanging="360"/>
      </w:pPr>
      <w:rPr>
        <w:rFonts w:ascii="Arial" w:hAnsi="Arial" w:hint="default"/>
      </w:rPr>
    </w:lvl>
    <w:lvl w:ilvl="6" w:tplc="209C4B84" w:tentative="1">
      <w:start w:val="1"/>
      <w:numFmt w:val="bullet"/>
      <w:lvlText w:val="•"/>
      <w:lvlJc w:val="left"/>
      <w:pPr>
        <w:tabs>
          <w:tab w:val="num" w:pos="5040"/>
        </w:tabs>
        <w:ind w:left="5040" w:hanging="360"/>
      </w:pPr>
      <w:rPr>
        <w:rFonts w:ascii="Arial" w:hAnsi="Arial" w:hint="default"/>
      </w:rPr>
    </w:lvl>
    <w:lvl w:ilvl="7" w:tplc="8C341B80" w:tentative="1">
      <w:start w:val="1"/>
      <w:numFmt w:val="bullet"/>
      <w:lvlText w:val="•"/>
      <w:lvlJc w:val="left"/>
      <w:pPr>
        <w:tabs>
          <w:tab w:val="num" w:pos="5760"/>
        </w:tabs>
        <w:ind w:left="5760" w:hanging="360"/>
      </w:pPr>
      <w:rPr>
        <w:rFonts w:ascii="Arial" w:hAnsi="Arial" w:hint="default"/>
      </w:rPr>
    </w:lvl>
    <w:lvl w:ilvl="8" w:tplc="488EDB9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31A4751"/>
    <w:multiLevelType w:val="hybridMultilevel"/>
    <w:tmpl w:val="5248024A"/>
    <w:lvl w:ilvl="0" w:tplc="31E47F2E">
      <w:start w:val="1"/>
      <w:numFmt w:val="bullet"/>
      <w:lvlText w:val="•"/>
      <w:lvlJc w:val="left"/>
      <w:pPr>
        <w:tabs>
          <w:tab w:val="num" w:pos="720"/>
        </w:tabs>
        <w:ind w:left="720" w:hanging="360"/>
      </w:pPr>
      <w:rPr>
        <w:rFonts w:ascii="Arial" w:hAnsi="Arial" w:hint="default"/>
      </w:rPr>
    </w:lvl>
    <w:lvl w:ilvl="1" w:tplc="B068F3C6" w:tentative="1">
      <w:start w:val="1"/>
      <w:numFmt w:val="bullet"/>
      <w:lvlText w:val="•"/>
      <w:lvlJc w:val="left"/>
      <w:pPr>
        <w:tabs>
          <w:tab w:val="num" w:pos="1440"/>
        </w:tabs>
        <w:ind w:left="1440" w:hanging="360"/>
      </w:pPr>
      <w:rPr>
        <w:rFonts w:ascii="Arial" w:hAnsi="Arial" w:hint="default"/>
      </w:rPr>
    </w:lvl>
    <w:lvl w:ilvl="2" w:tplc="93F0D29C" w:tentative="1">
      <w:start w:val="1"/>
      <w:numFmt w:val="bullet"/>
      <w:lvlText w:val="•"/>
      <w:lvlJc w:val="left"/>
      <w:pPr>
        <w:tabs>
          <w:tab w:val="num" w:pos="2160"/>
        </w:tabs>
        <w:ind w:left="2160" w:hanging="360"/>
      </w:pPr>
      <w:rPr>
        <w:rFonts w:ascii="Arial" w:hAnsi="Arial" w:hint="default"/>
      </w:rPr>
    </w:lvl>
    <w:lvl w:ilvl="3" w:tplc="3C2A63C8" w:tentative="1">
      <w:start w:val="1"/>
      <w:numFmt w:val="bullet"/>
      <w:lvlText w:val="•"/>
      <w:lvlJc w:val="left"/>
      <w:pPr>
        <w:tabs>
          <w:tab w:val="num" w:pos="2880"/>
        </w:tabs>
        <w:ind w:left="2880" w:hanging="360"/>
      </w:pPr>
      <w:rPr>
        <w:rFonts w:ascii="Arial" w:hAnsi="Arial" w:hint="default"/>
      </w:rPr>
    </w:lvl>
    <w:lvl w:ilvl="4" w:tplc="758E486C" w:tentative="1">
      <w:start w:val="1"/>
      <w:numFmt w:val="bullet"/>
      <w:lvlText w:val="•"/>
      <w:lvlJc w:val="left"/>
      <w:pPr>
        <w:tabs>
          <w:tab w:val="num" w:pos="3600"/>
        </w:tabs>
        <w:ind w:left="3600" w:hanging="360"/>
      </w:pPr>
      <w:rPr>
        <w:rFonts w:ascii="Arial" w:hAnsi="Arial" w:hint="default"/>
      </w:rPr>
    </w:lvl>
    <w:lvl w:ilvl="5" w:tplc="DB0AB1BE" w:tentative="1">
      <w:start w:val="1"/>
      <w:numFmt w:val="bullet"/>
      <w:lvlText w:val="•"/>
      <w:lvlJc w:val="left"/>
      <w:pPr>
        <w:tabs>
          <w:tab w:val="num" w:pos="4320"/>
        </w:tabs>
        <w:ind w:left="4320" w:hanging="360"/>
      </w:pPr>
      <w:rPr>
        <w:rFonts w:ascii="Arial" w:hAnsi="Arial" w:hint="default"/>
      </w:rPr>
    </w:lvl>
    <w:lvl w:ilvl="6" w:tplc="71F8D88E" w:tentative="1">
      <w:start w:val="1"/>
      <w:numFmt w:val="bullet"/>
      <w:lvlText w:val="•"/>
      <w:lvlJc w:val="left"/>
      <w:pPr>
        <w:tabs>
          <w:tab w:val="num" w:pos="5040"/>
        </w:tabs>
        <w:ind w:left="5040" w:hanging="360"/>
      </w:pPr>
      <w:rPr>
        <w:rFonts w:ascii="Arial" w:hAnsi="Arial" w:hint="default"/>
      </w:rPr>
    </w:lvl>
    <w:lvl w:ilvl="7" w:tplc="450AF2DA" w:tentative="1">
      <w:start w:val="1"/>
      <w:numFmt w:val="bullet"/>
      <w:lvlText w:val="•"/>
      <w:lvlJc w:val="left"/>
      <w:pPr>
        <w:tabs>
          <w:tab w:val="num" w:pos="5760"/>
        </w:tabs>
        <w:ind w:left="5760" w:hanging="360"/>
      </w:pPr>
      <w:rPr>
        <w:rFonts w:ascii="Arial" w:hAnsi="Arial" w:hint="default"/>
      </w:rPr>
    </w:lvl>
    <w:lvl w:ilvl="8" w:tplc="264CAA76"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34D7A6A"/>
    <w:multiLevelType w:val="hybridMultilevel"/>
    <w:tmpl w:val="134813B2"/>
    <w:lvl w:ilvl="0" w:tplc="0FEAE618">
      <w:start w:val="1"/>
      <w:numFmt w:val="bullet"/>
      <w:lvlText w:val="•"/>
      <w:lvlJc w:val="left"/>
      <w:pPr>
        <w:tabs>
          <w:tab w:val="num" w:pos="720"/>
        </w:tabs>
        <w:ind w:left="720" w:hanging="360"/>
      </w:pPr>
      <w:rPr>
        <w:rFonts w:ascii="Arial" w:hAnsi="Arial" w:hint="default"/>
      </w:rPr>
    </w:lvl>
    <w:lvl w:ilvl="1" w:tplc="D2AEFB7A" w:tentative="1">
      <w:start w:val="1"/>
      <w:numFmt w:val="bullet"/>
      <w:lvlText w:val="•"/>
      <w:lvlJc w:val="left"/>
      <w:pPr>
        <w:tabs>
          <w:tab w:val="num" w:pos="1440"/>
        </w:tabs>
        <w:ind w:left="1440" w:hanging="360"/>
      </w:pPr>
      <w:rPr>
        <w:rFonts w:ascii="Arial" w:hAnsi="Arial" w:hint="default"/>
      </w:rPr>
    </w:lvl>
    <w:lvl w:ilvl="2" w:tplc="0F904D7E" w:tentative="1">
      <w:start w:val="1"/>
      <w:numFmt w:val="bullet"/>
      <w:lvlText w:val="•"/>
      <w:lvlJc w:val="left"/>
      <w:pPr>
        <w:tabs>
          <w:tab w:val="num" w:pos="2160"/>
        </w:tabs>
        <w:ind w:left="2160" w:hanging="360"/>
      </w:pPr>
      <w:rPr>
        <w:rFonts w:ascii="Arial" w:hAnsi="Arial" w:hint="default"/>
      </w:rPr>
    </w:lvl>
    <w:lvl w:ilvl="3" w:tplc="315E555C" w:tentative="1">
      <w:start w:val="1"/>
      <w:numFmt w:val="bullet"/>
      <w:lvlText w:val="•"/>
      <w:lvlJc w:val="left"/>
      <w:pPr>
        <w:tabs>
          <w:tab w:val="num" w:pos="2880"/>
        </w:tabs>
        <w:ind w:left="2880" w:hanging="360"/>
      </w:pPr>
      <w:rPr>
        <w:rFonts w:ascii="Arial" w:hAnsi="Arial" w:hint="default"/>
      </w:rPr>
    </w:lvl>
    <w:lvl w:ilvl="4" w:tplc="04AA5CC4" w:tentative="1">
      <w:start w:val="1"/>
      <w:numFmt w:val="bullet"/>
      <w:lvlText w:val="•"/>
      <w:lvlJc w:val="left"/>
      <w:pPr>
        <w:tabs>
          <w:tab w:val="num" w:pos="3600"/>
        </w:tabs>
        <w:ind w:left="3600" w:hanging="360"/>
      </w:pPr>
      <w:rPr>
        <w:rFonts w:ascii="Arial" w:hAnsi="Arial" w:hint="default"/>
      </w:rPr>
    </w:lvl>
    <w:lvl w:ilvl="5" w:tplc="6174129E" w:tentative="1">
      <w:start w:val="1"/>
      <w:numFmt w:val="bullet"/>
      <w:lvlText w:val="•"/>
      <w:lvlJc w:val="left"/>
      <w:pPr>
        <w:tabs>
          <w:tab w:val="num" w:pos="4320"/>
        </w:tabs>
        <w:ind w:left="4320" w:hanging="360"/>
      </w:pPr>
      <w:rPr>
        <w:rFonts w:ascii="Arial" w:hAnsi="Arial" w:hint="default"/>
      </w:rPr>
    </w:lvl>
    <w:lvl w:ilvl="6" w:tplc="9D44BC10" w:tentative="1">
      <w:start w:val="1"/>
      <w:numFmt w:val="bullet"/>
      <w:lvlText w:val="•"/>
      <w:lvlJc w:val="left"/>
      <w:pPr>
        <w:tabs>
          <w:tab w:val="num" w:pos="5040"/>
        </w:tabs>
        <w:ind w:left="5040" w:hanging="360"/>
      </w:pPr>
      <w:rPr>
        <w:rFonts w:ascii="Arial" w:hAnsi="Arial" w:hint="default"/>
      </w:rPr>
    </w:lvl>
    <w:lvl w:ilvl="7" w:tplc="410E28F8" w:tentative="1">
      <w:start w:val="1"/>
      <w:numFmt w:val="bullet"/>
      <w:lvlText w:val="•"/>
      <w:lvlJc w:val="left"/>
      <w:pPr>
        <w:tabs>
          <w:tab w:val="num" w:pos="5760"/>
        </w:tabs>
        <w:ind w:left="5760" w:hanging="360"/>
      </w:pPr>
      <w:rPr>
        <w:rFonts w:ascii="Arial" w:hAnsi="Arial" w:hint="default"/>
      </w:rPr>
    </w:lvl>
    <w:lvl w:ilvl="8" w:tplc="060AE952"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5A4D797D"/>
    <w:multiLevelType w:val="hybridMultilevel"/>
    <w:tmpl w:val="122ECBD0"/>
    <w:lvl w:ilvl="0" w:tplc="6A22F9FC">
      <w:start w:val="1"/>
      <w:numFmt w:val="bullet"/>
      <w:lvlText w:val="•"/>
      <w:lvlJc w:val="left"/>
      <w:pPr>
        <w:tabs>
          <w:tab w:val="num" w:pos="720"/>
        </w:tabs>
        <w:ind w:left="720" w:hanging="360"/>
      </w:pPr>
      <w:rPr>
        <w:rFonts w:ascii="Arial" w:hAnsi="Arial" w:hint="default"/>
      </w:rPr>
    </w:lvl>
    <w:lvl w:ilvl="1" w:tplc="F83CC8AE" w:tentative="1">
      <w:start w:val="1"/>
      <w:numFmt w:val="bullet"/>
      <w:lvlText w:val="•"/>
      <w:lvlJc w:val="left"/>
      <w:pPr>
        <w:tabs>
          <w:tab w:val="num" w:pos="1440"/>
        </w:tabs>
        <w:ind w:left="1440" w:hanging="360"/>
      </w:pPr>
      <w:rPr>
        <w:rFonts w:ascii="Arial" w:hAnsi="Arial" w:hint="default"/>
      </w:rPr>
    </w:lvl>
    <w:lvl w:ilvl="2" w:tplc="5EDA31A0" w:tentative="1">
      <w:start w:val="1"/>
      <w:numFmt w:val="bullet"/>
      <w:lvlText w:val="•"/>
      <w:lvlJc w:val="left"/>
      <w:pPr>
        <w:tabs>
          <w:tab w:val="num" w:pos="2160"/>
        </w:tabs>
        <w:ind w:left="2160" w:hanging="360"/>
      </w:pPr>
      <w:rPr>
        <w:rFonts w:ascii="Arial" w:hAnsi="Arial" w:hint="default"/>
      </w:rPr>
    </w:lvl>
    <w:lvl w:ilvl="3" w:tplc="486E085C" w:tentative="1">
      <w:start w:val="1"/>
      <w:numFmt w:val="bullet"/>
      <w:lvlText w:val="•"/>
      <w:lvlJc w:val="left"/>
      <w:pPr>
        <w:tabs>
          <w:tab w:val="num" w:pos="2880"/>
        </w:tabs>
        <w:ind w:left="2880" w:hanging="360"/>
      </w:pPr>
      <w:rPr>
        <w:rFonts w:ascii="Arial" w:hAnsi="Arial" w:hint="default"/>
      </w:rPr>
    </w:lvl>
    <w:lvl w:ilvl="4" w:tplc="057A7AD2" w:tentative="1">
      <w:start w:val="1"/>
      <w:numFmt w:val="bullet"/>
      <w:lvlText w:val="•"/>
      <w:lvlJc w:val="left"/>
      <w:pPr>
        <w:tabs>
          <w:tab w:val="num" w:pos="3600"/>
        </w:tabs>
        <w:ind w:left="3600" w:hanging="360"/>
      </w:pPr>
      <w:rPr>
        <w:rFonts w:ascii="Arial" w:hAnsi="Arial" w:hint="default"/>
      </w:rPr>
    </w:lvl>
    <w:lvl w:ilvl="5" w:tplc="5A2E319E" w:tentative="1">
      <w:start w:val="1"/>
      <w:numFmt w:val="bullet"/>
      <w:lvlText w:val="•"/>
      <w:lvlJc w:val="left"/>
      <w:pPr>
        <w:tabs>
          <w:tab w:val="num" w:pos="4320"/>
        </w:tabs>
        <w:ind w:left="4320" w:hanging="360"/>
      </w:pPr>
      <w:rPr>
        <w:rFonts w:ascii="Arial" w:hAnsi="Arial" w:hint="default"/>
      </w:rPr>
    </w:lvl>
    <w:lvl w:ilvl="6" w:tplc="C91CE388" w:tentative="1">
      <w:start w:val="1"/>
      <w:numFmt w:val="bullet"/>
      <w:lvlText w:val="•"/>
      <w:lvlJc w:val="left"/>
      <w:pPr>
        <w:tabs>
          <w:tab w:val="num" w:pos="5040"/>
        </w:tabs>
        <w:ind w:left="5040" w:hanging="360"/>
      </w:pPr>
      <w:rPr>
        <w:rFonts w:ascii="Arial" w:hAnsi="Arial" w:hint="default"/>
      </w:rPr>
    </w:lvl>
    <w:lvl w:ilvl="7" w:tplc="90546D44" w:tentative="1">
      <w:start w:val="1"/>
      <w:numFmt w:val="bullet"/>
      <w:lvlText w:val="•"/>
      <w:lvlJc w:val="left"/>
      <w:pPr>
        <w:tabs>
          <w:tab w:val="num" w:pos="5760"/>
        </w:tabs>
        <w:ind w:left="5760" w:hanging="360"/>
      </w:pPr>
      <w:rPr>
        <w:rFonts w:ascii="Arial" w:hAnsi="Arial" w:hint="default"/>
      </w:rPr>
    </w:lvl>
    <w:lvl w:ilvl="8" w:tplc="64428D06"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E5B5BC7"/>
    <w:multiLevelType w:val="hybridMultilevel"/>
    <w:tmpl w:val="3CE81A78"/>
    <w:lvl w:ilvl="0" w:tplc="BD060128">
      <w:start w:val="1"/>
      <w:numFmt w:val="bullet"/>
      <w:lvlText w:val="•"/>
      <w:lvlJc w:val="left"/>
      <w:pPr>
        <w:tabs>
          <w:tab w:val="num" w:pos="720"/>
        </w:tabs>
        <w:ind w:left="720" w:hanging="360"/>
      </w:pPr>
      <w:rPr>
        <w:rFonts w:ascii="Arial" w:hAnsi="Arial" w:hint="default"/>
      </w:rPr>
    </w:lvl>
    <w:lvl w:ilvl="1" w:tplc="ABA45222" w:tentative="1">
      <w:start w:val="1"/>
      <w:numFmt w:val="bullet"/>
      <w:lvlText w:val="•"/>
      <w:lvlJc w:val="left"/>
      <w:pPr>
        <w:tabs>
          <w:tab w:val="num" w:pos="1440"/>
        </w:tabs>
        <w:ind w:left="1440" w:hanging="360"/>
      </w:pPr>
      <w:rPr>
        <w:rFonts w:ascii="Arial" w:hAnsi="Arial" w:hint="default"/>
      </w:rPr>
    </w:lvl>
    <w:lvl w:ilvl="2" w:tplc="5DAAB1B2" w:tentative="1">
      <w:start w:val="1"/>
      <w:numFmt w:val="bullet"/>
      <w:lvlText w:val="•"/>
      <w:lvlJc w:val="left"/>
      <w:pPr>
        <w:tabs>
          <w:tab w:val="num" w:pos="2160"/>
        </w:tabs>
        <w:ind w:left="2160" w:hanging="360"/>
      </w:pPr>
      <w:rPr>
        <w:rFonts w:ascii="Arial" w:hAnsi="Arial" w:hint="default"/>
      </w:rPr>
    </w:lvl>
    <w:lvl w:ilvl="3" w:tplc="7242BDB2" w:tentative="1">
      <w:start w:val="1"/>
      <w:numFmt w:val="bullet"/>
      <w:lvlText w:val="•"/>
      <w:lvlJc w:val="left"/>
      <w:pPr>
        <w:tabs>
          <w:tab w:val="num" w:pos="2880"/>
        </w:tabs>
        <w:ind w:left="2880" w:hanging="360"/>
      </w:pPr>
      <w:rPr>
        <w:rFonts w:ascii="Arial" w:hAnsi="Arial" w:hint="default"/>
      </w:rPr>
    </w:lvl>
    <w:lvl w:ilvl="4" w:tplc="EB50F1E6" w:tentative="1">
      <w:start w:val="1"/>
      <w:numFmt w:val="bullet"/>
      <w:lvlText w:val="•"/>
      <w:lvlJc w:val="left"/>
      <w:pPr>
        <w:tabs>
          <w:tab w:val="num" w:pos="3600"/>
        </w:tabs>
        <w:ind w:left="3600" w:hanging="360"/>
      </w:pPr>
      <w:rPr>
        <w:rFonts w:ascii="Arial" w:hAnsi="Arial" w:hint="default"/>
      </w:rPr>
    </w:lvl>
    <w:lvl w:ilvl="5" w:tplc="93C2FD38" w:tentative="1">
      <w:start w:val="1"/>
      <w:numFmt w:val="bullet"/>
      <w:lvlText w:val="•"/>
      <w:lvlJc w:val="left"/>
      <w:pPr>
        <w:tabs>
          <w:tab w:val="num" w:pos="4320"/>
        </w:tabs>
        <w:ind w:left="4320" w:hanging="360"/>
      </w:pPr>
      <w:rPr>
        <w:rFonts w:ascii="Arial" w:hAnsi="Arial" w:hint="default"/>
      </w:rPr>
    </w:lvl>
    <w:lvl w:ilvl="6" w:tplc="DAE4027E" w:tentative="1">
      <w:start w:val="1"/>
      <w:numFmt w:val="bullet"/>
      <w:lvlText w:val="•"/>
      <w:lvlJc w:val="left"/>
      <w:pPr>
        <w:tabs>
          <w:tab w:val="num" w:pos="5040"/>
        </w:tabs>
        <w:ind w:left="5040" w:hanging="360"/>
      </w:pPr>
      <w:rPr>
        <w:rFonts w:ascii="Arial" w:hAnsi="Arial" w:hint="default"/>
      </w:rPr>
    </w:lvl>
    <w:lvl w:ilvl="7" w:tplc="F18632EC" w:tentative="1">
      <w:start w:val="1"/>
      <w:numFmt w:val="bullet"/>
      <w:lvlText w:val="•"/>
      <w:lvlJc w:val="left"/>
      <w:pPr>
        <w:tabs>
          <w:tab w:val="num" w:pos="5760"/>
        </w:tabs>
        <w:ind w:left="5760" w:hanging="360"/>
      </w:pPr>
      <w:rPr>
        <w:rFonts w:ascii="Arial" w:hAnsi="Arial" w:hint="default"/>
      </w:rPr>
    </w:lvl>
    <w:lvl w:ilvl="8" w:tplc="E8722270"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1AB7B2F"/>
    <w:multiLevelType w:val="hybridMultilevel"/>
    <w:tmpl w:val="39668A14"/>
    <w:lvl w:ilvl="0" w:tplc="B8A40F3C">
      <w:start w:val="1"/>
      <w:numFmt w:val="bullet"/>
      <w:lvlText w:val="•"/>
      <w:lvlJc w:val="left"/>
      <w:pPr>
        <w:tabs>
          <w:tab w:val="num" w:pos="720"/>
        </w:tabs>
        <w:ind w:left="720" w:hanging="360"/>
      </w:pPr>
      <w:rPr>
        <w:rFonts w:ascii="Arial" w:hAnsi="Arial" w:hint="default"/>
      </w:rPr>
    </w:lvl>
    <w:lvl w:ilvl="1" w:tplc="EC5E8830" w:tentative="1">
      <w:start w:val="1"/>
      <w:numFmt w:val="bullet"/>
      <w:lvlText w:val="•"/>
      <w:lvlJc w:val="left"/>
      <w:pPr>
        <w:tabs>
          <w:tab w:val="num" w:pos="1440"/>
        </w:tabs>
        <w:ind w:left="1440" w:hanging="360"/>
      </w:pPr>
      <w:rPr>
        <w:rFonts w:ascii="Arial" w:hAnsi="Arial" w:hint="default"/>
      </w:rPr>
    </w:lvl>
    <w:lvl w:ilvl="2" w:tplc="20D04598" w:tentative="1">
      <w:start w:val="1"/>
      <w:numFmt w:val="bullet"/>
      <w:lvlText w:val="•"/>
      <w:lvlJc w:val="left"/>
      <w:pPr>
        <w:tabs>
          <w:tab w:val="num" w:pos="2160"/>
        </w:tabs>
        <w:ind w:left="2160" w:hanging="360"/>
      </w:pPr>
      <w:rPr>
        <w:rFonts w:ascii="Arial" w:hAnsi="Arial" w:hint="default"/>
      </w:rPr>
    </w:lvl>
    <w:lvl w:ilvl="3" w:tplc="5F4AEDAE" w:tentative="1">
      <w:start w:val="1"/>
      <w:numFmt w:val="bullet"/>
      <w:lvlText w:val="•"/>
      <w:lvlJc w:val="left"/>
      <w:pPr>
        <w:tabs>
          <w:tab w:val="num" w:pos="2880"/>
        </w:tabs>
        <w:ind w:left="2880" w:hanging="360"/>
      </w:pPr>
      <w:rPr>
        <w:rFonts w:ascii="Arial" w:hAnsi="Arial" w:hint="default"/>
      </w:rPr>
    </w:lvl>
    <w:lvl w:ilvl="4" w:tplc="AD703AB8" w:tentative="1">
      <w:start w:val="1"/>
      <w:numFmt w:val="bullet"/>
      <w:lvlText w:val="•"/>
      <w:lvlJc w:val="left"/>
      <w:pPr>
        <w:tabs>
          <w:tab w:val="num" w:pos="3600"/>
        </w:tabs>
        <w:ind w:left="3600" w:hanging="360"/>
      </w:pPr>
      <w:rPr>
        <w:rFonts w:ascii="Arial" w:hAnsi="Arial" w:hint="default"/>
      </w:rPr>
    </w:lvl>
    <w:lvl w:ilvl="5" w:tplc="3848909A" w:tentative="1">
      <w:start w:val="1"/>
      <w:numFmt w:val="bullet"/>
      <w:lvlText w:val="•"/>
      <w:lvlJc w:val="left"/>
      <w:pPr>
        <w:tabs>
          <w:tab w:val="num" w:pos="4320"/>
        </w:tabs>
        <w:ind w:left="4320" w:hanging="360"/>
      </w:pPr>
      <w:rPr>
        <w:rFonts w:ascii="Arial" w:hAnsi="Arial" w:hint="default"/>
      </w:rPr>
    </w:lvl>
    <w:lvl w:ilvl="6" w:tplc="E716CD1A" w:tentative="1">
      <w:start w:val="1"/>
      <w:numFmt w:val="bullet"/>
      <w:lvlText w:val="•"/>
      <w:lvlJc w:val="left"/>
      <w:pPr>
        <w:tabs>
          <w:tab w:val="num" w:pos="5040"/>
        </w:tabs>
        <w:ind w:left="5040" w:hanging="360"/>
      </w:pPr>
      <w:rPr>
        <w:rFonts w:ascii="Arial" w:hAnsi="Arial" w:hint="default"/>
      </w:rPr>
    </w:lvl>
    <w:lvl w:ilvl="7" w:tplc="F75E8492" w:tentative="1">
      <w:start w:val="1"/>
      <w:numFmt w:val="bullet"/>
      <w:lvlText w:val="•"/>
      <w:lvlJc w:val="left"/>
      <w:pPr>
        <w:tabs>
          <w:tab w:val="num" w:pos="5760"/>
        </w:tabs>
        <w:ind w:left="5760" w:hanging="360"/>
      </w:pPr>
      <w:rPr>
        <w:rFonts w:ascii="Arial" w:hAnsi="Arial" w:hint="default"/>
      </w:rPr>
    </w:lvl>
    <w:lvl w:ilvl="8" w:tplc="65946296"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72EE5B82"/>
    <w:multiLevelType w:val="hybridMultilevel"/>
    <w:tmpl w:val="983A5738"/>
    <w:lvl w:ilvl="0" w:tplc="6F7C6290">
      <w:start w:val="1"/>
      <w:numFmt w:val="bullet"/>
      <w:lvlText w:val="•"/>
      <w:lvlJc w:val="left"/>
      <w:pPr>
        <w:tabs>
          <w:tab w:val="num" w:pos="720"/>
        </w:tabs>
        <w:ind w:left="720" w:hanging="360"/>
      </w:pPr>
      <w:rPr>
        <w:rFonts w:ascii="Arial" w:hAnsi="Arial" w:hint="default"/>
      </w:rPr>
    </w:lvl>
    <w:lvl w:ilvl="1" w:tplc="96A02676" w:tentative="1">
      <w:start w:val="1"/>
      <w:numFmt w:val="bullet"/>
      <w:lvlText w:val="•"/>
      <w:lvlJc w:val="left"/>
      <w:pPr>
        <w:tabs>
          <w:tab w:val="num" w:pos="1440"/>
        </w:tabs>
        <w:ind w:left="1440" w:hanging="360"/>
      </w:pPr>
      <w:rPr>
        <w:rFonts w:ascii="Arial" w:hAnsi="Arial" w:hint="default"/>
      </w:rPr>
    </w:lvl>
    <w:lvl w:ilvl="2" w:tplc="E79ABA36" w:tentative="1">
      <w:start w:val="1"/>
      <w:numFmt w:val="bullet"/>
      <w:lvlText w:val="•"/>
      <w:lvlJc w:val="left"/>
      <w:pPr>
        <w:tabs>
          <w:tab w:val="num" w:pos="2160"/>
        </w:tabs>
        <w:ind w:left="2160" w:hanging="360"/>
      </w:pPr>
      <w:rPr>
        <w:rFonts w:ascii="Arial" w:hAnsi="Arial" w:hint="default"/>
      </w:rPr>
    </w:lvl>
    <w:lvl w:ilvl="3" w:tplc="33186ABC" w:tentative="1">
      <w:start w:val="1"/>
      <w:numFmt w:val="bullet"/>
      <w:lvlText w:val="•"/>
      <w:lvlJc w:val="left"/>
      <w:pPr>
        <w:tabs>
          <w:tab w:val="num" w:pos="2880"/>
        </w:tabs>
        <w:ind w:left="2880" w:hanging="360"/>
      </w:pPr>
      <w:rPr>
        <w:rFonts w:ascii="Arial" w:hAnsi="Arial" w:hint="default"/>
      </w:rPr>
    </w:lvl>
    <w:lvl w:ilvl="4" w:tplc="49B03F14" w:tentative="1">
      <w:start w:val="1"/>
      <w:numFmt w:val="bullet"/>
      <w:lvlText w:val="•"/>
      <w:lvlJc w:val="left"/>
      <w:pPr>
        <w:tabs>
          <w:tab w:val="num" w:pos="3600"/>
        </w:tabs>
        <w:ind w:left="3600" w:hanging="360"/>
      </w:pPr>
      <w:rPr>
        <w:rFonts w:ascii="Arial" w:hAnsi="Arial" w:hint="default"/>
      </w:rPr>
    </w:lvl>
    <w:lvl w:ilvl="5" w:tplc="66D465AA" w:tentative="1">
      <w:start w:val="1"/>
      <w:numFmt w:val="bullet"/>
      <w:lvlText w:val="•"/>
      <w:lvlJc w:val="left"/>
      <w:pPr>
        <w:tabs>
          <w:tab w:val="num" w:pos="4320"/>
        </w:tabs>
        <w:ind w:left="4320" w:hanging="360"/>
      </w:pPr>
      <w:rPr>
        <w:rFonts w:ascii="Arial" w:hAnsi="Arial" w:hint="default"/>
      </w:rPr>
    </w:lvl>
    <w:lvl w:ilvl="6" w:tplc="A2D42A86" w:tentative="1">
      <w:start w:val="1"/>
      <w:numFmt w:val="bullet"/>
      <w:lvlText w:val="•"/>
      <w:lvlJc w:val="left"/>
      <w:pPr>
        <w:tabs>
          <w:tab w:val="num" w:pos="5040"/>
        </w:tabs>
        <w:ind w:left="5040" w:hanging="360"/>
      </w:pPr>
      <w:rPr>
        <w:rFonts w:ascii="Arial" w:hAnsi="Arial" w:hint="default"/>
      </w:rPr>
    </w:lvl>
    <w:lvl w:ilvl="7" w:tplc="BDA84A16" w:tentative="1">
      <w:start w:val="1"/>
      <w:numFmt w:val="bullet"/>
      <w:lvlText w:val="•"/>
      <w:lvlJc w:val="left"/>
      <w:pPr>
        <w:tabs>
          <w:tab w:val="num" w:pos="5760"/>
        </w:tabs>
        <w:ind w:left="5760" w:hanging="360"/>
      </w:pPr>
      <w:rPr>
        <w:rFonts w:ascii="Arial" w:hAnsi="Arial" w:hint="default"/>
      </w:rPr>
    </w:lvl>
    <w:lvl w:ilvl="8" w:tplc="82325B08"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73112212"/>
    <w:multiLevelType w:val="hybridMultilevel"/>
    <w:tmpl w:val="ADD2002A"/>
    <w:lvl w:ilvl="0" w:tplc="8FD6746C">
      <w:start w:val="1"/>
      <w:numFmt w:val="bullet"/>
      <w:lvlText w:val="•"/>
      <w:lvlJc w:val="left"/>
      <w:pPr>
        <w:tabs>
          <w:tab w:val="num" w:pos="720"/>
        </w:tabs>
        <w:ind w:left="720" w:hanging="360"/>
      </w:pPr>
      <w:rPr>
        <w:rFonts w:ascii="Arial" w:hAnsi="Arial" w:hint="default"/>
      </w:rPr>
    </w:lvl>
    <w:lvl w:ilvl="1" w:tplc="C69257D8" w:tentative="1">
      <w:start w:val="1"/>
      <w:numFmt w:val="bullet"/>
      <w:lvlText w:val="•"/>
      <w:lvlJc w:val="left"/>
      <w:pPr>
        <w:tabs>
          <w:tab w:val="num" w:pos="1440"/>
        </w:tabs>
        <w:ind w:left="1440" w:hanging="360"/>
      </w:pPr>
      <w:rPr>
        <w:rFonts w:ascii="Arial" w:hAnsi="Arial" w:hint="default"/>
      </w:rPr>
    </w:lvl>
    <w:lvl w:ilvl="2" w:tplc="87E001A8" w:tentative="1">
      <w:start w:val="1"/>
      <w:numFmt w:val="bullet"/>
      <w:lvlText w:val="•"/>
      <w:lvlJc w:val="left"/>
      <w:pPr>
        <w:tabs>
          <w:tab w:val="num" w:pos="2160"/>
        </w:tabs>
        <w:ind w:left="2160" w:hanging="360"/>
      </w:pPr>
      <w:rPr>
        <w:rFonts w:ascii="Arial" w:hAnsi="Arial" w:hint="default"/>
      </w:rPr>
    </w:lvl>
    <w:lvl w:ilvl="3" w:tplc="C9D45EC8" w:tentative="1">
      <w:start w:val="1"/>
      <w:numFmt w:val="bullet"/>
      <w:lvlText w:val="•"/>
      <w:lvlJc w:val="left"/>
      <w:pPr>
        <w:tabs>
          <w:tab w:val="num" w:pos="2880"/>
        </w:tabs>
        <w:ind w:left="2880" w:hanging="360"/>
      </w:pPr>
      <w:rPr>
        <w:rFonts w:ascii="Arial" w:hAnsi="Arial" w:hint="default"/>
      </w:rPr>
    </w:lvl>
    <w:lvl w:ilvl="4" w:tplc="901050A8" w:tentative="1">
      <w:start w:val="1"/>
      <w:numFmt w:val="bullet"/>
      <w:lvlText w:val="•"/>
      <w:lvlJc w:val="left"/>
      <w:pPr>
        <w:tabs>
          <w:tab w:val="num" w:pos="3600"/>
        </w:tabs>
        <w:ind w:left="3600" w:hanging="360"/>
      </w:pPr>
      <w:rPr>
        <w:rFonts w:ascii="Arial" w:hAnsi="Arial" w:hint="default"/>
      </w:rPr>
    </w:lvl>
    <w:lvl w:ilvl="5" w:tplc="CE82C85A" w:tentative="1">
      <w:start w:val="1"/>
      <w:numFmt w:val="bullet"/>
      <w:lvlText w:val="•"/>
      <w:lvlJc w:val="left"/>
      <w:pPr>
        <w:tabs>
          <w:tab w:val="num" w:pos="4320"/>
        </w:tabs>
        <w:ind w:left="4320" w:hanging="360"/>
      </w:pPr>
      <w:rPr>
        <w:rFonts w:ascii="Arial" w:hAnsi="Arial" w:hint="default"/>
      </w:rPr>
    </w:lvl>
    <w:lvl w:ilvl="6" w:tplc="D076D562" w:tentative="1">
      <w:start w:val="1"/>
      <w:numFmt w:val="bullet"/>
      <w:lvlText w:val="•"/>
      <w:lvlJc w:val="left"/>
      <w:pPr>
        <w:tabs>
          <w:tab w:val="num" w:pos="5040"/>
        </w:tabs>
        <w:ind w:left="5040" w:hanging="360"/>
      </w:pPr>
      <w:rPr>
        <w:rFonts w:ascii="Arial" w:hAnsi="Arial" w:hint="default"/>
      </w:rPr>
    </w:lvl>
    <w:lvl w:ilvl="7" w:tplc="C1B6D976" w:tentative="1">
      <w:start w:val="1"/>
      <w:numFmt w:val="bullet"/>
      <w:lvlText w:val="•"/>
      <w:lvlJc w:val="left"/>
      <w:pPr>
        <w:tabs>
          <w:tab w:val="num" w:pos="5760"/>
        </w:tabs>
        <w:ind w:left="5760" w:hanging="360"/>
      </w:pPr>
      <w:rPr>
        <w:rFonts w:ascii="Arial" w:hAnsi="Arial" w:hint="default"/>
      </w:rPr>
    </w:lvl>
    <w:lvl w:ilvl="8" w:tplc="2CC4B198"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3D5029F"/>
    <w:multiLevelType w:val="hybridMultilevel"/>
    <w:tmpl w:val="89924D66"/>
    <w:lvl w:ilvl="0" w:tplc="AED22522">
      <w:start w:val="1"/>
      <w:numFmt w:val="bullet"/>
      <w:lvlText w:val="•"/>
      <w:lvlJc w:val="left"/>
      <w:pPr>
        <w:tabs>
          <w:tab w:val="num" w:pos="720"/>
        </w:tabs>
        <w:ind w:left="720" w:hanging="360"/>
      </w:pPr>
      <w:rPr>
        <w:rFonts w:ascii="Arial" w:hAnsi="Arial" w:hint="default"/>
      </w:rPr>
    </w:lvl>
    <w:lvl w:ilvl="1" w:tplc="D208F5E0" w:tentative="1">
      <w:start w:val="1"/>
      <w:numFmt w:val="bullet"/>
      <w:lvlText w:val="•"/>
      <w:lvlJc w:val="left"/>
      <w:pPr>
        <w:tabs>
          <w:tab w:val="num" w:pos="1440"/>
        </w:tabs>
        <w:ind w:left="1440" w:hanging="360"/>
      </w:pPr>
      <w:rPr>
        <w:rFonts w:ascii="Arial" w:hAnsi="Arial" w:hint="default"/>
      </w:rPr>
    </w:lvl>
    <w:lvl w:ilvl="2" w:tplc="2D7E879E" w:tentative="1">
      <w:start w:val="1"/>
      <w:numFmt w:val="bullet"/>
      <w:lvlText w:val="•"/>
      <w:lvlJc w:val="left"/>
      <w:pPr>
        <w:tabs>
          <w:tab w:val="num" w:pos="2160"/>
        </w:tabs>
        <w:ind w:left="2160" w:hanging="360"/>
      </w:pPr>
      <w:rPr>
        <w:rFonts w:ascii="Arial" w:hAnsi="Arial" w:hint="default"/>
      </w:rPr>
    </w:lvl>
    <w:lvl w:ilvl="3" w:tplc="56960D34" w:tentative="1">
      <w:start w:val="1"/>
      <w:numFmt w:val="bullet"/>
      <w:lvlText w:val="•"/>
      <w:lvlJc w:val="left"/>
      <w:pPr>
        <w:tabs>
          <w:tab w:val="num" w:pos="2880"/>
        </w:tabs>
        <w:ind w:left="2880" w:hanging="360"/>
      </w:pPr>
      <w:rPr>
        <w:rFonts w:ascii="Arial" w:hAnsi="Arial" w:hint="default"/>
      </w:rPr>
    </w:lvl>
    <w:lvl w:ilvl="4" w:tplc="E910A8CE" w:tentative="1">
      <w:start w:val="1"/>
      <w:numFmt w:val="bullet"/>
      <w:lvlText w:val="•"/>
      <w:lvlJc w:val="left"/>
      <w:pPr>
        <w:tabs>
          <w:tab w:val="num" w:pos="3600"/>
        </w:tabs>
        <w:ind w:left="3600" w:hanging="360"/>
      </w:pPr>
      <w:rPr>
        <w:rFonts w:ascii="Arial" w:hAnsi="Arial" w:hint="default"/>
      </w:rPr>
    </w:lvl>
    <w:lvl w:ilvl="5" w:tplc="6BE0D0CA" w:tentative="1">
      <w:start w:val="1"/>
      <w:numFmt w:val="bullet"/>
      <w:lvlText w:val="•"/>
      <w:lvlJc w:val="left"/>
      <w:pPr>
        <w:tabs>
          <w:tab w:val="num" w:pos="4320"/>
        </w:tabs>
        <w:ind w:left="4320" w:hanging="360"/>
      </w:pPr>
      <w:rPr>
        <w:rFonts w:ascii="Arial" w:hAnsi="Arial" w:hint="default"/>
      </w:rPr>
    </w:lvl>
    <w:lvl w:ilvl="6" w:tplc="8E3ABB02" w:tentative="1">
      <w:start w:val="1"/>
      <w:numFmt w:val="bullet"/>
      <w:lvlText w:val="•"/>
      <w:lvlJc w:val="left"/>
      <w:pPr>
        <w:tabs>
          <w:tab w:val="num" w:pos="5040"/>
        </w:tabs>
        <w:ind w:left="5040" w:hanging="360"/>
      </w:pPr>
      <w:rPr>
        <w:rFonts w:ascii="Arial" w:hAnsi="Arial" w:hint="default"/>
      </w:rPr>
    </w:lvl>
    <w:lvl w:ilvl="7" w:tplc="B9F22ABA" w:tentative="1">
      <w:start w:val="1"/>
      <w:numFmt w:val="bullet"/>
      <w:lvlText w:val="•"/>
      <w:lvlJc w:val="left"/>
      <w:pPr>
        <w:tabs>
          <w:tab w:val="num" w:pos="5760"/>
        </w:tabs>
        <w:ind w:left="5760" w:hanging="360"/>
      </w:pPr>
      <w:rPr>
        <w:rFonts w:ascii="Arial" w:hAnsi="Arial" w:hint="default"/>
      </w:rPr>
    </w:lvl>
    <w:lvl w:ilvl="8" w:tplc="647EAA4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DE57F0E"/>
    <w:multiLevelType w:val="hybridMultilevel"/>
    <w:tmpl w:val="3EE2BB4C"/>
    <w:lvl w:ilvl="0" w:tplc="0AC47A20">
      <w:start w:val="1"/>
      <w:numFmt w:val="bullet"/>
      <w:lvlText w:val="•"/>
      <w:lvlJc w:val="left"/>
      <w:pPr>
        <w:tabs>
          <w:tab w:val="num" w:pos="720"/>
        </w:tabs>
        <w:ind w:left="720" w:hanging="360"/>
      </w:pPr>
      <w:rPr>
        <w:rFonts w:ascii="Arial" w:hAnsi="Arial" w:hint="default"/>
      </w:rPr>
    </w:lvl>
    <w:lvl w:ilvl="1" w:tplc="8108B1D8" w:tentative="1">
      <w:start w:val="1"/>
      <w:numFmt w:val="bullet"/>
      <w:lvlText w:val="•"/>
      <w:lvlJc w:val="left"/>
      <w:pPr>
        <w:tabs>
          <w:tab w:val="num" w:pos="1440"/>
        </w:tabs>
        <w:ind w:left="1440" w:hanging="360"/>
      </w:pPr>
      <w:rPr>
        <w:rFonts w:ascii="Arial" w:hAnsi="Arial" w:hint="default"/>
      </w:rPr>
    </w:lvl>
    <w:lvl w:ilvl="2" w:tplc="2F72A736" w:tentative="1">
      <w:start w:val="1"/>
      <w:numFmt w:val="bullet"/>
      <w:lvlText w:val="•"/>
      <w:lvlJc w:val="left"/>
      <w:pPr>
        <w:tabs>
          <w:tab w:val="num" w:pos="2160"/>
        </w:tabs>
        <w:ind w:left="2160" w:hanging="360"/>
      </w:pPr>
      <w:rPr>
        <w:rFonts w:ascii="Arial" w:hAnsi="Arial" w:hint="default"/>
      </w:rPr>
    </w:lvl>
    <w:lvl w:ilvl="3" w:tplc="3C526ED8" w:tentative="1">
      <w:start w:val="1"/>
      <w:numFmt w:val="bullet"/>
      <w:lvlText w:val="•"/>
      <w:lvlJc w:val="left"/>
      <w:pPr>
        <w:tabs>
          <w:tab w:val="num" w:pos="2880"/>
        </w:tabs>
        <w:ind w:left="2880" w:hanging="360"/>
      </w:pPr>
      <w:rPr>
        <w:rFonts w:ascii="Arial" w:hAnsi="Arial" w:hint="default"/>
      </w:rPr>
    </w:lvl>
    <w:lvl w:ilvl="4" w:tplc="E3DE3E8A" w:tentative="1">
      <w:start w:val="1"/>
      <w:numFmt w:val="bullet"/>
      <w:lvlText w:val="•"/>
      <w:lvlJc w:val="left"/>
      <w:pPr>
        <w:tabs>
          <w:tab w:val="num" w:pos="3600"/>
        </w:tabs>
        <w:ind w:left="3600" w:hanging="360"/>
      </w:pPr>
      <w:rPr>
        <w:rFonts w:ascii="Arial" w:hAnsi="Arial" w:hint="default"/>
      </w:rPr>
    </w:lvl>
    <w:lvl w:ilvl="5" w:tplc="AE0A6118" w:tentative="1">
      <w:start w:val="1"/>
      <w:numFmt w:val="bullet"/>
      <w:lvlText w:val="•"/>
      <w:lvlJc w:val="left"/>
      <w:pPr>
        <w:tabs>
          <w:tab w:val="num" w:pos="4320"/>
        </w:tabs>
        <w:ind w:left="4320" w:hanging="360"/>
      </w:pPr>
      <w:rPr>
        <w:rFonts w:ascii="Arial" w:hAnsi="Arial" w:hint="default"/>
      </w:rPr>
    </w:lvl>
    <w:lvl w:ilvl="6" w:tplc="49EA00FE" w:tentative="1">
      <w:start w:val="1"/>
      <w:numFmt w:val="bullet"/>
      <w:lvlText w:val="•"/>
      <w:lvlJc w:val="left"/>
      <w:pPr>
        <w:tabs>
          <w:tab w:val="num" w:pos="5040"/>
        </w:tabs>
        <w:ind w:left="5040" w:hanging="360"/>
      </w:pPr>
      <w:rPr>
        <w:rFonts w:ascii="Arial" w:hAnsi="Arial" w:hint="default"/>
      </w:rPr>
    </w:lvl>
    <w:lvl w:ilvl="7" w:tplc="7D06E4E0" w:tentative="1">
      <w:start w:val="1"/>
      <w:numFmt w:val="bullet"/>
      <w:lvlText w:val="•"/>
      <w:lvlJc w:val="left"/>
      <w:pPr>
        <w:tabs>
          <w:tab w:val="num" w:pos="5760"/>
        </w:tabs>
        <w:ind w:left="5760" w:hanging="360"/>
      </w:pPr>
      <w:rPr>
        <w:rFonts w:ascii="Arial" w:hAnsi="Arial" w:hint="default"/>
      </w:rPr>
    </w:lvl>
    <w:lvl w:ilvl="8" w:tplc="04F817C4" w:tentative="1">
      <w:start w:val="1"/>
      <w:numFmt w:val="bullet"/>
      <w:lvlText w:val="•"/>
      <w:lvlJc w:val="left"/>
      <w:pPr>
        <w:tabs>
          <w:tab w:val="num" w:pos="6480"/>
        </w:tabs>
        <w:ind w:left="6480" w:hanging="360"/>
      </w:pPr>
      <w:rPr>
        <w:rFonts w:ascii="Arial" w:hAnsi="Arial" w:hint="default"/>
      </w:rPr>
    </w:lvl>
  </w:abstractNum>
  <w:num w:numId="1" w16cid:durableId="1666205418">
    <w:abstractNumId w:val="9"/>
  </w:num>
  <w:num w:numId="2" w16cid:durableId="1770809502">
    <w:abstractNumId w:val="11"/>
  </w:num>
  <w:num w:numId="3" w16cid:durableId="1690375347">
    <w:abstractNumId w:val="1"/>
  </w:num>
  <w:num w:numId="4" w16cid:durableId="1235628135">
    <w:abstractNumId w:val="13"/>
  </w:num>
  <w:num w:numId="5" w16cid:durableId="757874116">
    <w:abstractNumId w:val="12"/>
  </w:num>
  <w:num w:numId="6" w16cid:durableId="584653442">
    <w:abstractNumId w:val="14"/>
  </w:num>
  <w:num w:numId="7" w16cid:durableId="405222537">
    <w:abstractNumId w:val="4"/>
  </w:num>
  <w:num w:numId="8" w16cid:durableId="1459640102">
    <w:abstractNumId w:val="10"/>
  </w:num>
  <w:num w:numId="9" w16cid:durableId="1770075598">
    <w:abstractNumId w:val="19"/>
  </w:num>
  <w:num w:numId="10" w16cid:durableId="745228291">
    <w:abstractNumId w:val="3"/>
  </w:num>
  <w:num w:numId="11" w16cid:durableId="1381856940">
    <w:abstractNumId w:val="17"/>
  </w:num>
  <w:num w:numId="12" w16cid:durableId="586813839">
    <w:abstractNumId w:val="6"/>
  </w:num>
  <w:num w:numId="13" w16cid:durableId="1110977137">
    <w:abstractNumId w:val="16"/>
  </w:num>
  <w:num w:numId="14" w16cid:durableId="1406566169">
    <w:abstractNumId w:val="7"/>
  </w:num>
  <w:num w:numId="15" w16cid:durableId="1732534498">
    <w:abstractNumId w:val="5"/>
  </w:num>
  <w:num w:numId="16" w16cid:durableId="579295390">
    <w:abstractNumId w:val="15"/>
  </w:num>
  <w:num w:numId="17" w16cid:durableId="1512529736">
    <w:abstractNumId w:val="8"/>
  </w:num>
  <w:num w:numId="18" w16cid:durableId="1973050162">
    <w:abstractNumId w:val="0"/>
  </w:num>
  <w:num w:numId="19" w16cid:durableId="48388176">
    <w:abstractNumId w:val="18"/>
  </w:num>
  <w:num w:numId="20" w16cid:durableId="1496647334">
    <w:abstractNumId w:val="2"/>
  </w:num>
  <w:num w:numId="21" w16cid:durableId="434984424">
    <w:abstractNumId w:val="20"/>
  </w:num>
  <w:num w:numId="22" w16cid:durableId="1665401633">
    <w:abstractNumId w:val="21"/>
  </w:num>
  <w:num w:numId="23" w16cid:durableId="76048610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526E"/>
    <w:rsid w:val="00004610"/>
    <w:rsid w:val="00007122"/>
    <w:rsid w:val="000211F4"/>
    <w:rsid w:val="0002229D"/>
    <w:rsid w:val="000232D0"/>
    <w:rsid w:val="00023395"/>
    <w:rsid w:val="00027E37"/>
    <w:rsid w:val="00033A43"/>
    <w:rsid w:val="00047A8C"/>
    <w:rsid w:val="00050961"/>
    <w:rsid w:val="00055E52"/>
    <w:rsid w:val="00063E35"/>
    <w:rsid w:val="00066663"/>
    <w:rsid w:val="00070334"/>
    <w:rsid w:val="0007641B"/>
    <w:rsid w:val="000936DA"/>
    <w:rsid w:val="00094685"/>
    <w:rsid w:val="000B00EF"/>
    <w:rsid w:val="000B1855"/>
    <w:rsid w:val="000B355A"/>
    <w:rsid w:val="000B4FBE"/>
    <w:rsid w:val="000C57B4"/>
    <w:rsid w:val="000D2D2D"/>
    <w:rsid w:val="000D456F"/>
    <w:rsid w:val="000D63BD"/>
    <w:rsid w:val="000E58CA"/>
    <w:rsid w:val="001014ED"/>
    <w:rsid w:val="00120476"/>
    <w:rsid w:val="00130335"/>
    <w:rsid w:val="00130D88"/>
    <w:rsid w:val="00131C7B"/>
    <w:rsid w:val="00140276"/>
    <w:rsid w:val="00151576"/>
    <w:rsid w:val="00151C08"/>
    <w:rsid w:val="001532FB"/>
    <w:rsid w:val="00153986"/>
    <w:rsid w:val="00162587"/>
    <w:rsid w:val="00172034"/>
    <w:rsid w:val="0017516C"/>
    <w:rsid w:val="00180D4D"/>
    <w:rsid w:val="001815EE"/>
    <w:rsid w:val="00184659"/>
    <w:rsid w:val="00191679"/>
    <w:rsid w:val="001B1C3C"/>
    <w:rsid w:val="001C1C0D"/>
    <w:rsid w:val="001C216C"/>
    <w:rsid w:val="001D17BE"/>
    <w:rsid w:val="001D3775"/>
    <w:rsid w:val="001E653E"/>
    <w:rsid w:val="001F0511"/>
    <w:rsid w:val="001F237B"/>
    <w:rsid w:val="001F2400"/>
    <w:rsid w:val="001F2BB2"/>
    <w:rsid w:val="001F3639"/>
    <w:rsid w:val="001F5941"/>
    <w:rsid w:val="00203DAF"/>
    <w:rsid w:val="00204A76"/>
    <w:rsid w:val="00206B76"/>
    <w:rsid w:val="00207A6A"/>
    <w:rsid w:val="00227B20"/>
    <w:rsid w:val="00244DB9"/>
    <w:rsid w:val="002460E2"/>
    <w:rsid w:val="00247C0A"/>
    <w:rsid w:val="0025795C"/>
    <w:rsid w:val="00264A71"/>
    <w:rsid w:val="00271ED8"/>
    <w:rsid w:val="00292EC0"/>
    <w:rsid w:val="002A37CD"/>
    <w:rsid w:val="002C3C0B"/>
    <w:rsid w:val="002E0D4B"/>
    <w:rsid w:val="002F0F33"/>
    <w:rsid w:val="002F2FFD"/>
    <w:rsid w:val="003072CF"/>
    <w:rsid w:val="003156DE"/>
    <w:rsid w:val="00326885"/>
    <w:rsid w:val="003348FE"/>
    <w:rsid w:val="00350E43"/>
    <w:rsid w:val="003541EC"/>
    <w:rsid w:val="003660ED"/>
    <w:rsid w:val="003705CD"/>
    <w:rsid w:val="003853BC"/>
    <w:rsid w:val="00386D92"/>
    <w:rsid w:val="00392B7B"/>
    <w:rsid w:val="00394427"/>
    <w:rsid w:val="00395149"/>
    <w:rsid w:val="00395D54"/>
    <w:rsid w:val="003B20AE"/>
    <w:rsid w:val="003B4B2D"/>
    <w:rsid w:val="003B6D4F"/>
    <w:rsid w:val="003C4F55"/>
    <w:rsid w:val="003C62FE"/>
    <w:rsid w:val="003C6826"/>
    <w:rsid w:val="003E6F95"/>
    <w:rsid w:val="003F061C"/>
    <w:rsid w:val="00400ECB"/>
    <w:rsid w:val="0040168A"/>
    <w:rsid w:val="00411F90"/>
    <w:rsid w:val="00415193"/>
    <w:rsid w:val="0042093B"/>
    <w:rsid w:val="00421847"/>
    <w:rsid w:val="004272B4"/>
    <w:rsid w:val="004320BF"/>
    <w:rsid w:val="00437AAE"/>
    <w:rsid w:val="00447AD9"/>
    <w:rsid w:val="00450CC4"/>
    <w:rsid w:val="00450EF7"/>
    <w:rsid w:val="00453070"/>
    <w:rsid w:val="0046148F"/>
    <w:rsid w:val="00462488"/>
    <w:rsid w:val="00466F6A"/>
    <w:rsid w:val="0047026D"/>
    <w:rsid w:val="004710AA"/>
    <w:rsid w:val="00480C73"/>
    <w:rsid w:val="00481C3A"/>
    <w:rsid w:val="004874C8"/>
    <w:rsid w:val="004973B8"/>
    <w:rsid w:val="004A743C"/>
    <w:rsid w:val="004B015C"/>
    <w:rsid w:val="004E7287"/>
    <w:rsid w:val="004F0D78"/>
    <w:rsid w:val="004F363A"/>
    <w:rsid w:val="004F5072"/>
    <w:rsid w:val="00500763"/>
    <w:rsid w:val="00506C05"/>
    <w:rsid w:val="0051459C"/>
    <w:rsid w:val="005154B2"/>
    <w:rsid w:val="00521C38"/>
    <w:rsid w:val="005255E3"/>
    <w:rsid w:val="00542FBD"/>
    <w:rsid w:val="0057719D"/>
    <w:rsid w:val="005804E5"/>
    <w:rsid w:val="005836AE"/>
    <w:rsid w:val="00586DD5"/>
    <w:rsid w:val="00595480"/>
    <w:rsid w:val="005A7D16"/>
    <w:rsid w:val="005B0180"/>
    <w:rsid w:val="005B7DD4"/>
    <w:rsid w:val="005C7597"/>
    <w:rsid w:val="005C7FC1"/>
    <w:rsid w:val="005F496C"/>
    <w:rsid w:val="00611619"/>
    <w:rsid w:val="00613581"/>
    <w:rsid w:val="006220B6"/>
    <w:rsid w:val="00622C9E"/>
    <w:rsid w:val="00624C05"/>
    <w:rsid w:val="006311FE"/>
    <w:rsid w:val="00631557"/>
    <w:rsid w:val="006417AA"/>
    <w:rsid w:val="00673242"/>
    <w:rsid w:val="00673B3D"/>
    <w:rsid w:val="00681E44"/>
    <w:rsid w:val="00681F9A"/>
    <w:rsid w:val="0068238E"/>
    <w:rsid w:val="00682939"/>
    <w:rsid w:val="00686A06"/>
    <w:rsid w:val="006B3707"/>
    <w:rsid w:val="006C3760"/>
    <w:rsid w:val="006D718A"/>
    <w:rsid w:val="006D755E"/>
    <w:rsid w:val="006E055D"/>
    <w:rsid w:val="006F080D"/>
    <w:rsid w:val="006F35A4"/>
    <w:rsid w:val="006F3995"/>
    <w:rsid w:val="006F6D59"/>
    <w:rsid w:val="006F7CAC"/>
    <w:rsid w:val="00710756"/>
    <w:rsid w:val="00712467"/>
    <w:rsid w:val="0072617B"/>
    <w:rsid w:val="00734161"/>
    <w:rsid w:val="007428F9"/>
    <w:rsid w:val="00744670"/>
    <w:rsid w:val="00756B67"/>
    <w:rsid w:val="0075786F"/>
    <w:rsid w:val="00763A53"/>
    <w:rsid w:val="0078066B"/>
    <w:rsid w:val="0078219B"/>
    <w:rsid w:val="0078472A"/>
    <w:rsid w:val="00795274"/>
    <w:rsid w:val="007B2094"/>
    <w:rsid w:val="007C25C6"/>
    <w:rsid w:val="007D0E5B"/>
    <w:rsid w:val="007E0618"/>
    <w:rsid w:val="007E160A"/>
    <w:rsid w:val="007E6FC7"/>
    <w:rsid w:val="007F55C1"/>
    <w:rsid w:val="00800472"/>
    <w:rsid w:val="00817487"/>
    <w:rsid w:val="0083323B"/>
    <w:rsid w:val="0083576F"/>
    <w:rsid w:val="00840414"/>
    <w:rsid w:val="00844DBA"/>
    <w:rsid w:val="00854F7C"/>
    <w:rsid w:val="008605F7"/>
    <w:rsid w:val="00872736"/>
    <w:rsid w:val="00875433"/>
    <w:rsid w:val="0087547B"/>
    <w:rsid w:val="00880156"/>
    <w:rsid w:val="00887D82"/>
    <w:rsid w:val="00893DBE"/>
    <w:rsid w:val="008A1F7C"/>
    <w:rsid w:val="008B7537"/>
    <w:rsid w:val="008C3873"/>
    <w:rsid w:val="008C5365"/>
    <w:rsid w:val="008D40A2"/>
    <w:rsid w:val="008D5328"/>
    <w:rsid w:val="008E5952"/>
    <w:rsid w:val="008F32BD"/>
    <w:rsid w:val="00921AE9"/>
    <w:rsid w:val="00943F18"/>
    <w:rsid w:val="00962FA0"/>
    <w:rsid w:val="009644F2"/>
    <w:rsid w:val="00974657"/>
    <w:rsid w:val="00975BED"/>
    <w:rsid w:val="00975F77"/>
    <w:rsid w:val="0098017B"/>
    <w:rsid w:val="0098471F"/>
    <w:rsid w:val="00991CE4"/>
    <w:rsid w:val="00993973"/>
    <w:rsid w:val="009A349D"/>
    <w:rsid w:val="009A5F2F"/>
    <w:rsid w:val="009B427D"/>
    <w:rsid w:val="009E08B8"/>
    <w:rsid w:val="009E52AD"/>
    <w:rsid w:val="009F1CBE"/>
    <w:rsid w:val="009F5AE8"/>
    <w:rsid w:val="00A210F0"/>
    <w:rsid w:val="00A6030D"/>
    <w:rsid w:val="00A702A7"/>
    <w:rsid w:val="00A7170D"/>
    <w:rsid w:val="00A74126"/>
    <w:rsid w:val="00A85FD4"/>
    <w:rsid w:val="00A920C9"/>
    <w:rsid w:val="00A957B9"/>
    <w:rsid w:val="00AB0D3C"/>
    <w:rsid w:val="00AB54C6"/>
    <w:rsid w:val="00AB6BB5"/>
    <w:rsid w:val="00AB7D9D"/>
    <w:rsid w:val="00AC1B0F"/>
    <w:rsid w:val="00AC4DFD"/>
    <w:rsid w:val="00AC79AC"/>
    <w:rsid w:val="00AF00CD"/>
    <w:rsid w:val="00AF222E"/>
    <w:rsid w:val="00AF43AF"/>
    <w:rsid w:val="00AF724A"/>
    <w:rsid w:val="00B21B9E"/>
    <w:rsid w:val="00B227A2"/>
    <w:rsid w:val="00B3705D"/>
    <w:rsid w:val="00B44072"/>
    <w:rsid w:val="00B4422C"/>
    <w:rsid w:val="00B44F3B"/>
    <w:rsid w:val="00B45617"/>
    <w:rsid w:val="00B51B90"/>
    <w:rsid w:val="00B64AB8"/>
    <w:rsid w:val="00B661DD"/>
    <w:rsid w:val="00B81E6A"/>
    <w:rsid w:val="00B824A6"/>
    <w:rsid w:val="00B827BB"/>
    <w:rsid w:val="00BA023E"/>
    <w:rsid w:val="00BB24D8"/>
    <w:rsid w:val="00BB772D"/>
    <w:rsid w:val="00BD1C88"/>
    <w:rsid w:val="00BD2FBA"/>
    <w:rsid w:val="00BD59C9"/>
    <w:rsid w:val="00BF09A8"/>
    <w:rsid w:val="00BF7157"/>
    <w:rsid w:val="00C111D6"/>
    <w:rsid w:val="00C223B4"/>
    <w:rsid w:val="00C32568"/>
    <w:rsid w:val="00C327F4"/>
    <w:rsid w:val="00C34165"/>
    <w:rsid w:val="00C4210E"/>
    <w:rsid w:val="00C44885"/>
    <w:rsid w:val="00C514F5"/>
    <w:rsid w:val="00C52765"/>
    <w:rsid w:val="00C52987"/>
    <w:rsid w:val="00C5526E"/>
    <w:rsid w:val="00C653B5"/>
    <w:rsid w:val="00C72EF5"/>
    <w:rsid w:val="00C76FBA"/>
    <w:rsid w:val="00C82727"/>
    <w:rsid w:val="00C9275B"/>
    <w:rsid w:val="00C97027"/>
    <w:rsid w:val="00CA6352"/>
    <w:rsid w:val="00CA64E1"/>
    <w:rsid w:val="00CC06F4"/>
    <w:rsid w:val="00CC2557"/>
    <w:rsid w:val="00CC4EF6"/>
    <w:rsid w:val="00CD1356"/>
    <w:rsid w:val="00CD317D"/>
    <w:rsid w:val="00CD4708"/>
    <w:rsid w:val="00CE28D8"/>
    <w:rsid w:val="00CE49B0"/>
    <w:rsid w:val="00CF4B76"/>
    <w:rsid w:val="00D00577"/>
    <w:rsid w:val="00D05435"/>
    <w:rsid w:val="00D12AD1"/>
    <w:rsid w:val="00D253CB"/>
    <w:rsid w:val="00D260A1"/>
    <w:rsid w:val="00D357FD"/>
    <w:rsid w:val="00D368F8"/>
    <w:rsid w:val="00D47193"/>
    <w:rsid w:val="00D546D5"/>
    <w:rsid w:val="00D57AB9"/>
    <w:rsid w:val="00D672D0"/>
    <w:rsid w:val="00D71CFD"/>
    <w:rsid w:val="00D7533D"/>
    <w:rsid w:val="00D81A95"/>
    <w:rsid w:val="00D829DF"/>
    <w:rsid w:val="00D8532D"/>
    <w:rsid w:val="00D966CE"/>
    <w:rsid w:val="00DB09D6"/>
    <w:rsid w:val="00DB25B1"/>
    <w:rsid w:val="00DB406F"/>
    <w:rsid w:val="00DC04B4"/>
    <w:rsid w:val="00DC07FB"/>
    <w:rsid w:val="00DC2779"/>
    <w:rsid w:val="00DC2EFC"/>
    <w:rsid w:val="00DC55D4"/>
    <w:rsid w:val="00DF34C6"/>
    <w:rsid w:val="00E015B6"/>
    <w:rsid w:val="00E04215"/>
    <w:rsid w:val="00E165FF"/>
    <w:rsid w:val="00E16D0D"/>
    <w:rsid w:val="00E2215D"/>
    <w:rsid w:val="00E27040"/>
    <w:rsid w:val="00E346E2"/>
    <w:rsid w:val="00E353F5"/>
    <w:rsid w:val="00E37597"/>
    <w:rsid w:val="00E41570"/>
    <w:rsid w:val="00E839B3"/>
    <w:rsid w:val="00E942C4"/>
    <w:rsid w:val="00E94474"/>
    <w:rsid w:val="00EA424C"/>
    <w:rsid w:val="00EA7F1D"/>
    <w:rsid w:val="00EB38C5"/>
    <w:rsid w:val="00EB4102"/>
    <w:rsid w:val="00ED71E8"/>
    <w:rsid w:val="00ED747C"/>
    <w:rsid w:val="00EE4798"/>
    <w:rsid w:val="00EF13C4"/>
    <w:rsid w:val="00EF1653"/>
    <w:rsid w:val="00EF1798"/>
    <w:rsid w:val="00EF1B25"/>
    <w:rsid w:val="00EF3631"/>
    <w:rsid w:val="00F1617C"/>
    <w:rsid w:val="00F23F81"/>
    <w:rsid w:val="00F42E2F"/>
    <w:rsid w:val="00F44181"/>
    <w:rsid w:val="00F45388"/>
    <w:rsid w:val="00F45459"/>
    <w:rsid w:val="00F46069"/>
    <w:rsid w:val="00F62DB7"/>
    <w:rsid w:val="00F63582"/>
    <w:rsid w:val="00F7118F"/>
    <w:rsid w:val="00F72873"/>
    <w:rsid w:val="00F846CC"/>
    <w:rsid w:val="00FA4856"/>
    <w:rsid w:val="00FB3CCF"/>
    <w:rsid w:val="00FC67E8"/>
    <w:rsid w:val="00FD59FD"/>
    <w:rsid w:val="00FD7302"/>
    <w:rsid w:val="00FE1CFF"/>
    <w:rsid w:val="00FE4457"/>
    <w:rsid w:val="00FE4E90"/>
    <w:rsid w:val="00FE6E19"/>
    <w:rsid w:val="00FF21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018EB"/>
  <w15:chartTrackingRefBased/>
  <w15:docId w15:val="{2B3FC6FA-C34C-4E7C-BD69-2FEF3E39C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B4B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24C0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526E"/>
    <w:rPr>
      <w:color w:val="0000FF"/>
      <w:u w:val="single"/>
    </w:rPr>
  </w:style>
  <w:style w:type="character" w:customStyle="1" w:styleId="Heading2Char">
    <w:name w:val="Heading 2 Char"/>
    <w:basedOn w:val="DefaultParagraphFont"/>
    <w:link w:val="Heading2"/>
    <w:uiPriority w:val="9"/>
    <w:rsid w:val="003B4B2D"/>
    <w:rPr>
      <w:rFonts w:ascii="Times New Roman" w:eastAsia="Times New Roman" w:hAnsi="Times New Roman" w:cs="Times New Roman"/>
      <w:b/>
      <w:bCs/>
      <w:sz w:val="36"/>
      <w:szCs w:val="36"/>
    </w:rPr>
  </w:style>
  <w:style w:type="character" w:customStyle="1" w:styleId="headnote">
    <w:name w:val="headnote"/>
    <w:basedOn w:val="DefaultParagraphFont"/>
    <w:rsid w:val="003B4B2D"/>
  </w:style>
  <w:style w:type="paragraph" w:styleId="NormalWeb">
    <w:name w:val="Normal (Web)"/>
    <w:basedOn w:val="Normal"/>
    <w:uiPriority w:val="99"/>
    <w:semiHidden/>
    <w:unhideWhenUsed/>
    <w:rsid w:val="003B4B2D"/>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nhideWhenUsed/>
    <w:rsid w:val="00E346E2"/>
    <w:pPr>
      <w:spacing w:after="0" w:line="240" w:lineRule="auto"/>
    </w:pPr>
    <w:rPr>
      <w:sz w:val="20"/>
      <w:szCs w:val="20"/>
    </w:rPr>
  </w:style>
  <w:style w:type="character" w:customStyle="1" w:styleId="FootnoteTextChar">
    <w:name w:val="Footnote Text Char"/>
    <w:basedOn w:val="DefaultParagraphFont"/>
    <w:link w:val="FootnoteText"/>
    <w:uiPriority w:val="99"/>
    <w:rsid w:val="00E346E2"/>
    <w:rPr>
      <w:sz w:val="20"/>
      <w:szCs w:val="20"/>
    </w:rPr>
  </w:style>
  <w:style w:type="character" w:styleId="FootnoteReference">
    <w:name w:val="footnote reference"/>
    <w:basedOn w:val="DefaultParagraphFont"/>
    <w:semiHidden/>
    <w:unhideWhenUsed/>
    <w:rsid w:val="00E346E2"/>
    <w:rPr>
      <w:vertAlign w:val="superscript"/>
    </w:rPr>
  </w:style>
  <w:style w:type="paragraph" w:customStyle="1" w:styleId="first">
    <w:name w:val="first"/>
    <w:basedOn w:val="Normal"/>
    <w:rsid w:val="00151C0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B25B1"/>
    <w:pPr>
      <w:spacing w:after="0" w:line="240" w:lineRule="auto"/>
      <w:ind w:left="720"/>
      <w:contextualSpacing/>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624C05"/>
    <w:rPr>
      <w:rFonts w:asciiTheme="majorHAnsi" w:eastAsiaTheme="majorEastAsia" w:hAnsiTheme="majorHAnsi" w:cstheme="majorBidi"/>
      <w:color w:val="1F4D78" w:themeColor="accent1" w:themeShade="7F"/>
      <w:sz w:val="24"/>
      <w:szCs w:val="24"/>
    </w:rPr>
  </w:style>
  <w:style w:type="character" w:styleId="Emphasis">
    <w:name w:val="Emphasis"/>
    <w:basedOn w:val="DefaultParagraphFont"/>
    <w:uiPriority w:val="20"/>
    <w:qFormat/>
    <w:rsid w:val="00624C05"/>
    <w:rPr>
      <w:i/>
      <w:iCs/>
    </w:rPr>
  </w:style>
  <w:style w:type="character" w:customStyle="1" w:styleId="f">
    <w:name w:val="f"/>
    <w:basedOn w:val="DefaultParagraphFont"/>
    <w:rsid w:val="00624C05"/>
  </w:style>
  <w:style w:type="character" w:styleId="HTMLCite">
    <w:name w:val="HTML Cite"/>
    <w:basedOn w:val="DefaultParagraphFont"/>
    <w:uiPriority w:val="99"/>
    <w:semiHidden/>
    <w:unhideWhenUsed/>
    <w:rsid w:val="00624C05"/>
    <w:rPr>
      <w:i/>
      <w:iCs/>
    </w:rPr>
  </w:style>
  <w:style w:type="character" w:customStyle="1" w:styleId="dyjrff">
    <w:name w:val="dyjrff"/>
    <w:basedOn w:val="DefaultParagraphFont"/>
    <w:rsid w:val="00624C05"/>
  </w:style>
  <w:style w:type="character" w:customStyle="1" w:styleId="acopre">
    <w:name w:val="acopre"/>
    <w:basedOn w:val="DefaultParagraphFont"/>
    <w:rsid w:val="00624C05"/>
  </w:style>
  <w:style w:type="character" w:customStyle="1" w:styleId="hgkelc">
    <w:name w:val="hgkelc"/>
    <w:basedOn w:val="DefaultParagraphFont"/>
    <w:rsid w:val="00FD7302"/>
  </w:style>
  <w:style w:type="paragraph" w:styleId="Header">
    <w:name w:val="header"/>
    <w:basedOn w:val="Normal"/>
    <w:link w:val="HeaderChar"/>
    <w:uiPriority w:val="99"/>
    <w:unhideWhenUsed/>
    <w:rsid w:val="00AB0D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0D3C"/>
  </w:style>
  <w:style w:type="paragraph" w:styleId="Footer">
    <w:name w:val="footer"/>
    <w:basedOn w:val="Normal"/>
    <w:link w:val="FooterChar"/>
    <w:uiPriority w:val="99"/>
    <w:unhideWhenUsed/>
    <w:rsid w:val="00AB0D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0D3C"/>
  </w:style>
  <w:style w:type="paragraph" w:styleId="BalloonText">
    <w:name w:val="Balloon Text"/>
    <w:basedOn w:val="Normal"/>
    <w:link w:val="BalloonTextChar"/>
    <w:uiPriority w:val="99"/>
    <w:semiHidden/>
    <w:unhideWhenUsed/>
    <w:rsid w:val="007428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28F9"/>
    <w:rPr>
      <w:rFonts w:ascii="Segoe UI" w:hAnsi="Segoe UI" w:cs="Segoe UI"/>
      <w:sz w:val="18"/>
      <w:szCs w:val="18"/>
    </w:rPr>
  </w:style>
  <w:style w:type="character" w:styleId="UnresolvedMention">
    <w:name w:val="Unresolved Mention"/>
    <w:basedOn w:val="DefaultParagraphFont"/>
    <w:uiPriority w:val="99"/>
    <w:semiHidden/>
    <w:unhideWhenUsed/>
    <w:rsid w:val="00D357FD"/>
    <w:rPr>
      <w:color w:val="605E5C"/>
      <w:shd w:val="clear" w:color="auto" w:fill="E1DFDD"/>
    </w:rPr>
  </w:style>
  <w:style w:type="paragraph" w:customStyle="1" w:styleId="btitleprolog">
    <w:name w:val="btitle_prolog"/>
    <w:basedOn w:val="Normal"/>
    <w:rsid w:val="00521C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titlesummary">
    <w:name w:val="btitle_summary"/>
    <w:basedOn w:val="Normal"/>
    <w:rsid w:val="00521C38"/>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1F05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793524">
      <w:bodyDiv w:val="1"/>
      <w:marLeft w:val="0"/>
      <w:marRight w:val="0"/>
      <w:marTop w:val="0"/>
      <w:marBottom w:val="0"/>
      <w:divBdr>
        <w:top w:val="none" w:sz="0" w:space="0" w:color="auto"/>
        <w:left w:val="none" w:sz="0" w:space="0" w:color="auto"/>
        <w:bottom w:val="none" w:sz="0" w:space="0" w:color="auto"/>
        <w:right w:val="none" w:sz="0" w:space="0" w:color="auto"/>
      </w:divBdr>
      <w:divsChild>
        <w:div w:id="1586722958">
          <w:marLeft w:val="547"/>
          <w:marRight w:val="0"/>
          <w:marTop w:val="400"/>
          <w:marBottom w:val="0"/>
          <w:divBdr>
            <w:top w:val="none" w:sz="0" w:space="0" w:color="auto"/>
            <w:left w:val="none" w:sz="0" w:space="0" w:color="auto"/>
            <w:bottom w:val="none" w:sz="0" w:space="0" w:color="auto"/>
            <w:right w:val="none" w:sz="0" w:space="0" w:color="auto"/>
          </w:divBdr>
        </w:div>
      </w:divsChild>
    </w:div>
    <w:div w:id="217400502">
      <w:bodyDiv w:val="1"/>
      <w:marLeft w:val="0"/>
      <w:marRight w:val="0"/>
      <w:marTop w:val="0"/>
      <w:marBottom w:val="0"/>
      <w:divBdr>
        <w:top w:val="none" w:sz="0" w:space="0" w:color="auto"/>
        <w:left w:val="none" w:sz="0" w:space="0" w:color="auto"/>
        <w:bottom w:val="none" w:sz="0" w:space="0" w:color="auto"/>
        <w:right w:val="none" w:sz="0" w:space="0" w:color="auto"/>
      </w:divBdr>
    </w:div>
    <w:div w:id="267349182">
      <w:bodyDiv w:val="1"/>
      <w:marLeft w:val="0"/>
      <w:marRight w:val="0"/>
      <w:marTop w:val="0"/>
      <w:marBottom w:val="0"/>
      <w:divBdr>
        <w:top w:val="none" w:sz="0" w:space="0" w:color="auto"/>
        <w:left w:val="none" w:sz="0" w:space="0" w:color="auto"/>
        <w:bottom w:val="none" w:sz="0" w:space="0" w:color="auto"/>
        <w:right w:val="none" w:sz="0" w:space="0" w:color="auto"/>
      </w:divBdr>
      <w:divsChild>
        <w:div w:id="297758351">
          <w:marLeft w:val="547"/>
          <w:marRight w:val="0"/>
          <w:marTop w:val="400"/>
          <w:marBottom w:val="0"/>
          <w:divBdr>
            <w:top w:val="none" w:sz="0" w:space="0" w:color="auto"/>
            <w:left w:val="none" w:sz="0" w:space="0" w:color="auto"/>
            <w:bottom w:val="none" w:sz="0" w:space="0" w:color="auto"/>
            <w:right w:val="none" w:sz="0" w:space="0" w:color="auto"/>
          </w:divBdr>
        </w:div>
      </w:divsChild>
    </w:div>
    <w:div w:id="275214651">
      <w:bodyDiv w:val="1"/>
      <w:marLeft w:val="0"/>
      <w:marRight w:val="0"/>
      <w:marTop w:val="0"/>
      <w:marBottom w:val="0"/>
      <w:divBdr>
        <w:top w:val="none" w:sz="0" w:space="0" w:color="auto"/>
        <w:left w:val="none" w:sz="0" w:space="0" w:color="auto"/>
        <w:bottom w:val="none" w:sz="0" w:space="0" w:color="auto"/>
        <w:right w:val="none" w:sz="0" w:space="0" w:color="auto"/>
      </w:divBdr>
      <w:divsChild>
        <w:div w:id="1986472310">
          <w:marLeft w:val="547"/>
          <w:marRight w:val="0"/>
          <w:marTop w:val="400"/>
          <w:marBottom w:val="0"/>
          <w:divBdr>
            <w:top w:val="none" w:sz="0" w:space="0" w:color="auto"/>
            <w:left w:val="none" w:sz="0" w:space="0" w:color="auto"/>
            <w:bottom w:val="none" w:sz="0" w:space="0" w:color="auto"/>
            <w:right w:val="none" w:sz="0" w:space="0" w:color="auto"/>
          </w:divBdr>
        </w:div>
        <w:div w:id="148598747">
          <w:marLeft w:val="547"/>
          <w:marRight w:val="0"/>
          <w:marTop w:val="400"/>
          <w:marBottom w:val="0"/>
          <w:divBdr>
            <w:top w:val="none" w:sz="0" w:space="0" w:color="auto"/>
            <w:left w:val="none" w:sz="0" w:space="0" w:color="auto"/>
            <w:bottom w:val="none" w:sz="0" w:space="0" w:color="auto"/>
            <w:right w:val="none" w:sz="0" w:space="0" w:color="auto"/>
          </w:divBdr>
        </w:div>
        <w:div w:id="585502817">
          <w:marLeft w:val="547"/>
          <w:marRight w:val="0"/>
          <w:marTop w:val="400"/>
          <w:marBottom w:val="0"/>
          <w:divBdr>
            <w:top w:val="none" w:sz="0" w:space="0" w:color="auto"/>
            <w:left w:val="none" w:sz="0" w:space="0" w:color="auto"/>
            <w:bottom w:val="none" w:sz="0" w:space="0" w:color="auto"/>
            <w:right w:val="none" w:sz="0" w:space="0" w:color="auto"/>
          </w:divBdr>
        </w:div>
        <w:div w:id="123011976">
          <w:marLeft w:val="547"/>
          <w:marRight w:val="0"/>
          <w:marTop w:val="400"/>
          <w:marBottom w:val="0"/>
          <w:divBdr>
            <w:top w:val="none" w:sz="0" w:space="0" w:color="auto"/>
            <w:left w:val="none" w:sz="0" w:space="0" w:color="auto"/>
            <w:bottom w:val="none" w:sz="0" w:space="0" w:color="auto"/>
            <w:right w:val="none" w:sz="0" w:space="0" w:color="auto"/>
          </w:divBdr>
        </w:div>
      </w:divsChild>
    </w:div>
    <w:div w:id="318459254">
      <w:bodyDiv w:val="1"/>
      <w:marLeft w:val="0"/>
      <w:marRight w:val="0"/>
      <w:marTop w:val="0"/>
      <w:marBottom w:val="0"/>
      <w:divBdr>
        <w:top w:val="none" w:sz="0" w:space="0" w:color="auto"/>
        <w:left w:val="none" w:sz="0" w:space="0" w:color="auto"/>
        <w:bottom w:val="none" w:sz="0" w:space="0" w:color="auto"/>
        <w:right w:val="none" w:sz="0" w:space="0" w:color="auto"/>
      </w:divBdr>
      <w:divsChild>
        <w:div w:id="1352224397">
          <w:marLeft w:val="547"/>
          <w:marRight w:val="0"/>
          <w:marTop w:val="400"/>
          <w:marBottom w:val="0"/>
          <w:divBdr>
            <w:top w:val="none" w:sz="0" w:space="0" w:color="auto"/>
            <w:left w:val="none" w:sz="0" w:space="0" w:color="auto"/>
            <w:bottom w:val="none" w:sz="0" w:space="0" w:color="auto"/>
            <w:right w:val="none" w:sz="0" w:space="0" w:color="auto"/>
          </w:divBdr>
        </w:div>
      </w:divsChild>
    </w:div>
    <w:div w:id="367144703">
      <w:bodyDiv w:val="1"/>
      <w:marLeft w:val="0"/>
      <w:marRight w:val="0"/>
      <w:marTop w:val="0"/>
      <w:marBottom w:val="0"/>
      <w:divBdr>
        <w:top w:val="none" w:sz="0" w:space="0" w:color="auto"/>
        <w:left w:val="none" w:sz="0" w:space="0" w:color="auto"/>
        <w:bottom w:val="none" w:sz="0" w:space="0" w:color="auto"/>
        <w:right w:val="none" w:sz="0" w:space="0" w:color="auto"/>
      </w:divBdr>
      <w:divsChild>
        <w:div w:id="170338144">
          <w:marLeft w:val="907"/>
          <w:marRight w:val="0"/>
          <w:marTop w:val="120"/>
          <w:marBottom w:val="0"/>
          <w:divBdr>
            <w:top w:val="none" w:sz="0" w:space="0" w:color="auto"/>
            <w:left w:val="none" w:sz="0" w:space="0" w:color="auto"/>
            <w:bottom w:val="none" w:sz="0" w:space="0" w:color="auto"/>
            <w:right w:val="none" w:sz="0" w:space="0" w:color="auto"/>
          </w:divBdr>
        </w:div>
      </w:divsChild>
    </w:div>
    <w:div w:id="391124428">
      <w:bodyDiv w:val="1"/>
      <w:marLeft w:val="0"/>
      <w:marRight w:val="0"/>
      <w:marTop w:val="0"/>
      <w:marBottom w:val="0"/>
      <w:divBdr>
        <w:top w:val="none" w:sz="0" w:space="0" w:color="auto"/>
        <w:left w:val="none" w:sz="0" w:space="0" w:color="auto"/>
        <w:bottom w:val="none" w:sz="0" w:space="0" w:color="auto"/>
        <w:right w:val="none" w:sz="0" w:space="0" w:color="auto"/>
      </w:divBdr>
      <w:divsChild>
        <w:div w:id="90322294">
          <w:marLeft w:val="547"/>
          <w:marRight w:val="0"/>
          <w:marTop w:val="400"/>
          <w:marBottom w:val="0"/>
          <w:divBdr>
            <w:top w:val="none" w:sz="0" w:space="0" w:color="auto"/>
            <w:left w:val="none" w:sz="0" w:space="0" w:color="auto"/>
            <w:bottom w:val="none" w:sz="0" w:space="0" w:color="auto"/>
            <w:right w:val="none" w:sz="0" w:space="0" w:color="auto"/>
          </w:divBdr>
        </w:div>
      </w:divsChild>
    </w:div>
    <w:div w:id="400176696">
      <w:bodyDiv w:val="1"/>
      <w:marLeft w:val="0"/>
      <w:marRight w:val="0"/>
      <w:marTop w:val="0"/>
      <w:marBottom w:val="0"/>
      <w:divBdr>
        <w:top w:val="none" w:sz="0" w:space="0" w:color="auto"/>
        <w:left w:val="none" w:sz="0" w:space="0" w:color="auto"/>
        <w:bottom w:val="none" w:sz="0" w:space="0" w:color="auto"/>
        <w:right w:val="none" w:sz="0" w:space="0" w:color="auto"/>
      </w:divBdr>
      <w:divsChild>
        <w:div w:id="455804864">
          <w:marLeft w:val="547"/>
          <w:marRight w:val="0"/>
          <w:marTop w:val="400"/>
          <w:marBottom w:val="0"/>
          <w:divBdr>
            <w:top w:val="none" w:sz="0" w:space="0" w:color="auto"/>
            <w:left w:val="none" w:sz="0" w:space="0" w:color="auto"/>
            <w:bottom w:val="none" w:sz="0" w:space="0" w:color="auto"/>
            <w:right w:val="none" w:sz="0" w:space="0" w:color="auto"/>
          </w:divBdr>
        </w:div>
        <w:div w:id="168061716">
          <w:marLeft w:val="547"/>
          <w:marRight w:val="0"/>
          <w:marTop w:val="400"/>
          <w:marBottom w:val="0"/>
          <w:divBdr>
            <w:top w:val="none" w:sz="0" w:space="0" w:color="auto"/>
            <w:left w:val="none" w:sz="0" w:space="0" w:color="auto"/>
            <w:bottom w:val="none" w:sz="0" w:space="0" w:color="auto"/>
            <w:right w:val="none" w:sz="0" w:space="0" w:color="auto"/>
          </w:divBdr>
        </w:div>
      </w:divsChild>
    </w:div>
    <w:div w:id="441724705">
      <w:bodyDiv w:val="1"/>
      <w:marLeft w:val="0"/>
      <w:marRight w:val="0"/>
      <w:marTop w:val="0"/>
      <w:marBottom w:val="0"/>
      <w:divBdr>
        <w:top w:val="none" w:sz="0" w:space="0" w:color="auto"/>
        <w:left w:val="none" w:sz="0" w:space="0" w:color="auto"/>
        <w:bottom w:val="none" w:sz="0" w:space="0" w:color="auto"/>
        <w:right w:val="none" w:sz="0" w:space="0" w:color="auto"/>
      </w:divBdr>
      <w:divsChild>
        <w:div w:id="406196546">
          <w:marLeft w:val="547"/>
          <w:marRight w:val="0"/>
          <w:marTop w:val="400"/>
          <w:marBottom w:val="0"/>
          <w:divBdr>
            <w:top w:val="none" w:sz="0" w:space="0" w:color="auto"/>
            <w:left w:val="none" w:sz="0" w:space="0" w:color="auto"/>
            <w:bottom w:val="none" w:sz="0" w:space="0" w:color="auto"/>
            <w:right w:val="none" w:sz="0" w:space="0" w:color="auto"/>
          </w:divBdr>
        </w:div>
      </w:divsChild>
    </w:div>
    <w:div w:id="466626621">
      <w:bodyDiv w:val="1"/>
      <w:marLeft w:val="0"/>
      <w:marRight w:val="0"/>
      <w:marTop w:val="0"/>
      <w:marBottom w:val="0"/>
      <w:divBdr>
        <w:top w:val="none" w:sz="0" w:space="0" w:color="auto"/>
        <w:left w:val="none" w:sz="0" w:space="0" w:color="auto"/>
        <w:bottom w:val="none" w:sz="0" w:space="0" w:color="auto"/>
        <w:right w:val="none" w:sz="0" w:space="0" w:color="auto"/>
      </w:divBdr>
    </w:div>
    <w:div w:id="530803505">
      <w:bodyDiv w:val="1"/>
      <w:marLeft w:val="0"/>
      <w:marRight w:val="0"/>
      <w:marTop w:val="0"/>
      <w:marBottom w:val="0"/>
      <w:divBdr>
        <w:top w:val="none" w:sz="0" w:space="0" w:color="auto"/>
        <w:left w:val="none" w:sz="0" w:space="0" w:color="auto"/>
        <w:bottom w:val="none" w:sz="0" w:space="0" w:color="auto"/>
        <w:right w:val="none" w:sz="0" w:space="0" w:color="auto"/>
      </w:divBdr>
      <w:divsChild>
        <w:div w:id="1197546284">
          <w:marLeft w:val="907"/>
          <w:marRight w:val="0"/>
          <w:marTop w:val="120"/>
          <w:marBottom w:val="0"/>
          <w:divBdr>
            <w:top w:val="none" w:sz="0" w:space="0" w:color="auto"/>
            <w:left w:val="none" w:sz="0" w:space="0" w:color="auto"/>
            <w:bottom w:val="none" w:sz="0" w:space="0" w:color="auto"/>
            <w:right w:val="none" w:sz="0" w:space="0" w:color="auto"/>
          </w:divBdr>
        </w:div>
        <w:div w:id="1032221558">
          <w:marLeft w:val="907"/>
          <w:marRight w:val="0"/>
          <w:marTop w:val="120"/>
          <w:marBottom w:val="0"/>
          <w:divBdr>
            <w:top w:val="none" w:sz="0" w:space="0" w:color="auto"/>
            <w:left w:val="none" w:sz="0" w:space="0" w:color="auto"/>
            <w:bottom w:val="none" w:sz="0" w:space="0" w:color="auto"/>
            <w:right w:val="none" w:sz="0" w:space="0" w:color="auto"/>
          </w:divBdr>
        </w:div>
        <w:div w:id="1537353316">
          <w:marLeft w:val="907"/>
          <w:marRight w:val="0"/>
          <w:marTop w:val="120"/>
          <w:marBottom w:val="0"/>
          <w:divBdr>
            <w:top w:val="none" w:sz="0" w:space="0" w:color="auto"/>
            <w:left w:val="none" w:sz="0" w:space="0" w:color="auto"/>
            <w:bottom w:val="none" w:sz="0" w:space="0" w:color="auto"/>
            <w:right w:val="none" w:sz="0" w:space="0" w:color="auto"/>
          </w:divBdr>
        </w:div>
        <w:div w:id="90668372">
          <w:marLeft w:val="907"/>
          <w:marRight w:val="0"/>
          <w:marTop w:val="120"/>
          <w:marBottom w:val="0"/>
          <w:divBdr>
            <w:top w:val="none" w:sz="0" w:space="0" w:color="auto"/>
            <w:left w:val="none" w:sz="0" w:space="0" w:color="auto"/>
            <w:bottom w:val="none" w:sz="0" w:space="0" w:color="auto"/>
            <w:right w:val="none" w:sz="0" w:space="0" w:color="auto"/>
          </w:divBdr>
        </w:div>
      </w:divsChild>
    </w:div>
    <w:div w:id="597564491">
      <w:bodyDiv w:val="1"/>
      <w:marLeft w:val="0"/>
      <w:marRight w:val="0"/>
      <w:marTop w:val="0"/>
      <w:marBottom w:val="0"/>
      <w:divBdr>
        <w:top w:val="none" w:sz="0" w:space="0" w:color="auto"/>
        <w:left w:val="none" w:sz="0" w:space="0" w:color="auto"/>
        <w:bottom w:val="none" w:sz="0" w:space="0" w:color="auto"/>
        <w:right w:val="none" w:sz="0" w:space="0" w:color="auto"/>
      </w:divBdr>
      <w:divsChild>
        <w:div w:id="978650970">
          <w:marLeft w:val="907"/>
          <w:marRight w:val="0"/>
          <w:marTop w:val="120"/>
          <w:marBottom w:val="0"/>
          <w:divBdr>
            <w:top w:val="none" w:sz="0" w:space="0" w:color="auto"/>
            <w:left w:val="none" w:sz="0" w:space="0" w:color="auto"/>
            <w:bottom w:val="none" w:sz="0" w:space="0" w:color="auto"/>
            <w:right w:val="none" w:sz="0" w:space="0" w:color="auto"/>
          </w:divBdr>
        </w:div>
      </w:divsChild>
    </w:div>
    <w:div w:id="753165994">
      <w:bodyDiv w:val="1"/>
      <w:marLeft w:val="0"/>
      <w:marRight w:val="0"/>
      <w:marTop w:val="0"/>
      <w:marBottom w:val="0"/>
      <w:divBdr>
        <w:top w:val="none" w:sz="0" w:space="0" w:color="auto"/>
        <w:left w:val="none" w:sz="0" w:space="0" w:color="auto"/>
        <w:bottom w:val="none" w:sz="0" w:space="0" w:color="auto"/>
        <w:right w:val="none" w:sz="0" w:space="0" w:color="auto"/>
      </w:divBdr>
      <w:divsChild>
        <w:div w:id="1426799781">
          <w:marLeft w:val="547"/>
          <w:marRight w:val="0"/>
          <w:marTop w:val="400"/>
          <w:marBottom w:val="0"/>
          <w:divBdr>
            <w:top w:val="none" w:sz="0" w:space="0" w:color="auto"/>
            <w:left w:val="none" w:sz="0" w:space="0" w:color="auto"/>
            <w:bottom w:val="none" w:sz="0" w:space="0" w:color="auto"/>
            <w:right w:val="none" w:sz="0" w:space="0" w:color="auto"/>
          </w:divBdr>
        </w:div>
        <w:div w:id="457377567">
          <w:marLeft w:val="547"/>
          <w:marRight w:val="0"/>
          <w:marTop w:val="400"/>
          <w:marBottom w:val="0"/>
          <w:divBdr>
            <w:top w:val="none" w:sz="0" w:space="0" w:color="auto"/>
            <w:left w:val="none" w:sz="0" w:space="0" w:color="auto"/>
            <w:bottom w:val="none" w:sz="0" w:space="0" w:color="auto"/>
            <w:right w:val="none" w:sz="0" w:space="0" w:color="auto"/>
          </w:divBdr>
        </w:div>
      </w:divsChild>
    </w:div>
    <w:div w:id="808403725">
      <w:bodyDiv w:val="1"/>
      <w:marLeft w:val="0"/>
      <w:marRight w:val="0"/>
      <w:marTop w:val="0"/>
      <w:marBottom w:val="0"/>
      <w:divBdr>
        <w:top w:val="none" w:sz="0" w:space="0" w:color="auto"/>
        <w:left w:val="none" w:sz="0" w:space="0" w:color="auto"/>
        <w:bottom w:val="none" w:sz="0" w:space="0" w:color="auto"/>
        <w:right w:val="none" w:sz="0" w:space="0" w:color="auto"/>
      </w:divBdr>
      <w:divsChild>
        <w:div w:id="964655317">
          <w:marLeft w:val="547"/>
          <w:marRight w:val="0"/>
          <w:marTop w:val="400"/>
          <w:marBottom w:val="0"/>
          <w:divBdr>
            <w:top w:val="none" w:sz="0" w:space="0" w:color="auto"/>
            <w:left w:val="none" w:sz="0" w:space="0" w:color="auto"/>
            <w:bottom w:val="none" w:sz="0" w:space="0" w:color="auto"/>
            <w:right w:val="none" w:sz="0" w:space="0" w:color="auto"/>
          </w:divBdr>
        </w:div>
      </w:divsChild>
    </w:div>
    <w:div w:id="939725775">
      <w:bodyDiv w:val="1"/>
      <w:marLeft w:val="0"/>
      <w:marRight w:val="0"/>
      <w:marTop w:val="0"/>
      <w:marBottom w:val="0"/>
      <w:divBdr>
        <w:top w:val="none" w:sz="0" w:space="0" w:color="auto"/>
        <w:left w:val="none" w:sz="0" w:space="0" w:color="auto"/>
        <w:bottom w:val="none" w:sz="0" w:space="0" w:color="auto"/>
        <w:right w:val="none" w:sz="0" w:space="0" w:color="auto"/>
      </w:divBdr>
    </w:div>
    <w:div w:id="1094323091">
      <w:bodyDiv w:val="1"/>
      <w:marLeft w:val="0"/>
      <w:marRight w:val="0"/>
      <w:marTop w:val="0"/>
      <w:marBottom w:val="0"/>
      <w:divBdr>
        <w:top w:val="none" w:sz="0" w:space="0" w:color="auto"/>
        <w:left w:val="none" w:sz="0" w:space="0" w:color="auto"/>
        <w:bottom w:val="none" w:sz="0" w:space="0" w:color="auto"/>
        <w:right w:val="none" w:sz="0" w:space="0" w:color="auto"/>
      </w:divBdr>
      <w:divsChild>
        <w:div w:id="255140448">
          <w:marLeft w:val="547"/>
          <w:marRight w:val="0"/>
          <w:marTop w:val="400"/>
          <w:marBottom w:val="0"/>
          <w:divBdr>
            <w:top w:val="none" w:sz="0" w:space="0" w:color="auto"/>
            <w:left w:val="none" w:sz="0" w:space="0" w:color="auto"/>
            <w:bottom w:val="none" w:sz="0" w:space="0" w:color="auto"/>
            <w:right w:val="none" w:sz="0" w:space="0" w:color="auto"/>
          </w:divBdr>
        </w:div>
      </w:divsChild>
    </w:div>
    <w:div w:id="1115322066">
      <w:bodyDiv w:val="1"/>
      <w:marLeft w:val="0"/>
      <w:marRight w:val="0"/>
      <w:marTop w:val="0"/>
      <w:marBottom w:val="0"/>
      <w:divBdr>
        <w:top w:val="none" w:sz="0" w:space="0" w:color="auto"/>
        <w:left w:val="none" w:sz="0" w:space="0" w:color="auto"/>
        <w:bottom w:val="none" w:sz="0" w:space="0" w:color="auto"/>
        <w:right w:val="none" w:sz="0" w:space="0" w:color="auto"/>
      </w:divBdr>
      <w:divsChild>
        <w:div w:id="1848979037">
          <w:marLeft w:val="547"/>
          <w:marRight w:val="0"/>
          <w:marTop w:val="400"/>
          <w:marBottom w:val="0"/>
          <w:divBdr>
            <w:top w:val="none" w:sz="0" w:space="0" w:color="auto"/>
            <w:left w:val="none" w:sz="0" w:space="0" w:color="auto"/>
            <w:bottom w:val="none" w:sz="0" w:space="0" w:color="auto"/>
            <w:right w:val="none" w:sz="0" w:space="0" w:color="auto"/>
          </w:divBdr>
        </w:div>
      </w:divsChild>
    </w:div>
    <w:div w:id="1264920975">
      <w:bodyDiv w:val="1"/>
      <w:marLeft w:val="0"/>
      <w:marRight w:val="0"/>
      <w:marTop w:val="0"/>
      <w:marBottom w:val="0"/>
      <w:divBdr>
        <w:top w:val="none" w:sz="0" w:space="0" w:color="auto"/>
        <w:left w:val="none" w:sz="0" w:space="0" w:color="auto"/>
        <w:bottom w:val="none" w:sz="0" w:space="0" w:color="auto"/>
        <w:right w:val="none" w:sz="0" w:space="0" w:color="auto"/>
      </w:divBdr>
      <w:divsChild>
        <w:div w:id="904606612">
          <w:marLeft w:val="547"/>
          <w:marRight w:val="0"/>
          <w:marTop w:val="400"/>
          <w:marBottom w:val="0"/>
          <w:divBdr>
            <w:top w:val="none" w:sz="0" w:space="0" w:color="auto"/>
            <w:left w:val="none" w:sz="0" w:space="0" w:color="auto"/>
            <w:bottom w:val="none" w:sz="0" w:space="0" w:color="auto"/>
            <w:right w:val="none" w:sz="0" w:space="0" w:color="auto"/>
          </w:divBdr>
        </w:div>
      </w:divsChild>
    </w:div>
    <w:div w:id="1333870233">
      <w:bodyDiv w:val="1"/>
      <w:marLeft w:val="0"/>
      <w:marRight w:val="0"/>
      <w:marTop w:val="0"/>
      <w:marBottom w:val="0"/>
      <w:divBdr>
        <w:top w:val="none" w:sz="0" w:space="0" w:color="auto"/>
        <w:left w:val="none" w:sz="0" w:space="0" w:color="auto"/>
        <w:bottom w:val="none" w:sz="0" w:space="0" w:color="auto"/>
        <w:right w:val="none" w:sz="0" w:space="0" w:color="auto"/>
      </w:divBdr>
      <w:divsChild>
        <w:div w:id="624237752">
          <w:marLeft w:val="547"/>
          <w:marRight w:val="0"/>
          <w:marTop w:val="400"/>
          <w:marBottom w:val="0"/>
          <w:divBdr>
            <w:top w:val="none" w:sz="0" w:space="0" w:color="auto"/>
            <w:left w:val="none" w:sz="0" w:space="0" w:color="auto"/>
            <w:bottom w:val="none" w:sz="0" w:space="0" w:color="auto"/>
            <w:right w:val="none" w:sz="0" w:space="0" w:color="auto"/>
          </w:divBdr>
        </w:div>
        <w:div w:id="749428621">
          <w:marLeft w:val="547"/>
          <w:marRight w:val="0"/>
          <w:marTop w:val="400"/>
          <w:marBottom w:val="0"/>
          <w:divBdr>
            <w:top w:val="none" w:sz="0" w:space="0" w:color="auto"/>
            <w:left w:val="none" w:sz="0" w:space="0" w:color="auto"/>
            <w:bottom w:val="none" w:sz="0" w:space="0" w:color="auto"/>
            <w:right w:val="none" w:sz="0" w:space="0" w:color="auto"/>
          </w:divBdr>
        </w:div>
        <w:div w:id="397948096">
          <w:marLeft w:val="547"/>
          <w:marRight w:val="0"/>
          <w:marTop w:val="400"/>
          <w:marBottom w:val="0"/>
          <w:divBdr>
            <w:top w:val="none" w:sz="0" w:space="0" w:color="auto"/>
            <w:left w:val="none" w:sz="0" w:space="0" w:color="auto"/>
            <w:bottom w:val="none" w:sz="0" w:space="0" w:color="auto"/>
            <w:right w:val="none" w:sz="0" w:space="0" w:color="auto"/>
          </w:divBdr>
        </w:div>
        <w:div w:id="113058437">
          <w:marLeft w:val="547"/>
          <w:marRight w:val="0"/>
          <w:marTop w:val="400"/>
          <w:marBottom w:val="0"/>
          <w:divBdr>
            <w:top w:val="none" w:sz="0" w:space="0" w:color="auto"/>
            <w:left w:val="none" w:sz="0" w:space="0" w:color="auto"/>
            <w:bottom w:val="none" w:sz="0" w:space="0" w:color="auto"/>
            <w:right w:val="none" w:sz="0" w:space="0" w:color="auto"/>
          </w:divBdr>
        </w:div>
      </w:divsChild>
    </w:div>
    <w:div w:id="1359969641">
      <w:bodyDiv w:val="1"/>
      <w:marLeft w:val="0"/>
      <w:marRight w:val="0"/>
      <w:marTop w:val="0"/>
      <w:marBottom w:val="0"/>
      <w:divBdr>
        <w:top w:val="none" w:sz="0" w:space="0" w:color="auto"/>
        <w:left w:val="none" w:sz="0" w:space="0" w:color="auto"/>
        <w:bottom w:val="none" w:sz="0" w:space="0" w:color="auto"/>
        <w:right w:val="none" w:sz="0" w:space="0" w:color="auto"/>
      </w:divBdr>
      <w:divsChild>
        <w:div w:id="1845166616">
          <w:marLeft w:val="547"/>
          <w:marRight w:val="0"/>
          <w:marTop w:val="400"/>
          <w:marBottom w:val="0"/>
          <w:divBdr>
            <w:top w:val="none" w:sz="0" w:space="0" w:color="auto"/>
            <w:left w:val="none" w:sz="0" w:space="0" w:color="auto"/>
            <w:bottom w:val="none" w:sz="0" w:space="0" w:color="auto"/>
            <w:right w:val="none" w:sz="0" w:space="0" w:color="auto"/>
          </w:divBdr>
        </w:div>
      </w:divsChild>
    </w:div>
    <w:div w:id="1424032742">
      <w:bodyDiv w:val="1"/>
      <w:marLeft w:val="0"/>
      <w:marRight w:val="0"/>
      <w:marTop w:val="0"/>
      <w:marBottom w:val="0"/>
      <w:divBdr>
        <w:top w:val="none" w:sz="0" w:space="0" w:color="auto"/>
        <w:left w:val="none" w:sz="0" w:space="0" w:color="auto"/>
        <w:bottom w:val="none" w:sz="0" w:space="0" w:color="auto"/>
        <w:right w:val="none" w:sz="0" w:space="0" w:color="auto"/>
      </w:divBdr>
      <w:divsChild>
        <w:div w:id="24838201">
          <w:marLeft w:val="547"/>
          <w:marRight w:val="0"/>
          <w:marTop w:val="400"/>
          <w:marBottom w:val="0"/>
          <w:divBdr>
            <w:top w:val="none" w:sz="0" w:space="0" w:color="auto"/>
            <w:left w:val="none" w:sz="0" w:space="0" w:color="auto"/>
            <w:bottom w:val="none" w:sz="0" w:space="0" w:color="auto"/>
            <w:right w:val="none" w:sz="0" w:space="0" w:color="auto"/>
          </w:divBdr>
        </w:div>
        <w:div w:id="205875288">
          <w:marLeft w:val="547"/>
          <w:marRight w:val="0"/>
          <w:marTop w:val="400"/>
          <w:marBottom w:val="0"/>
          <w:divBdr>
            <w:top w:val="none" w:sz="0" w:space="0" w:color="auto"/>
            <w:left w:val="none" w:sz="0" w:space="0" w:color="auto"/>
            <w:bottom w:val="none" w:sz="0" w:space="0" w:color="auto"/>
            <w:right w:val="none" w:sz="0" w:space="0" w:color="auto"/>
          </w:divBdr>
        </w:div>
        <w:div w:id="347024887">
          <w:marLeft w:val="547"/>
          <w:marRight w:val="0"/>
          <w:marTop w:val="400"/>
          <w:marBottom w:val="0"/>
          <w:divBdr>
            <w:top w:val="none" w:sz="0" w:space="0" w:color="auto"/>
            <w:left w:val="none" w:sz="0" w:space="0" w:color="auto"/>
            <w:bottom w:val="none" w:sz="0" w:space="0" w:color="auto"/>
            <w:right w:val="none" w:sz="0" w:space="0" w:color="auto"/>
          </w:divBdr>
        </w:div>
        <w:div w:id="1240165939">
          <w:marLeft w:val="547"/>
          <w:marRight w:val="0"/>
          <w:marTop w:val="400"/>
          <w:marBottom w:val="0"/>
          <w:divBdr>
            <w:top w:val="none" w:sz="0" w:space="0" w:color="auto"/>
            <w:left w:val="none" w:sz="0" w:space="0" w:color="auto"/>
            <w:bottom w:val="none" w:sz="0" w:space="0" w:color="auto"/>
            <w:right w:val="none" w:sz="0" w:space="0" w:color="auto"/>
          </w:divBdr>
        </w:div>
      </w:divsChild>
    </w:div>
    <w:div w:id="1469129221">
      <w:bodyDiv w:val="1"/>
      <w:marLeft w:val="0"/>
      <w:marRight w:val="0"/>
      <w:marTop w:val="0"/>
      <w:marBottom w:val="0"/>
      <w:divBdr>
        <w:top w:val="none" w:sz="0" w:space="0" w:color="auto"/>
        <w:left w:val="none" w:sz="0" w:space="0" w:color="auto"/>
        <w:bottom w:val="none" w:sz="0" w:space="0" w:color="auto"/>
        <w:right w:val="none" w:sz="0" w:space="0" w:color="auto"/>
      </w:divBdr>
      <w:divsChild>
        <w:div w:id="739983453">
          <w:marLeft w:val="547"/>
          <w:marRight w:val="0"/>
          <w:marTop w:val="400"/>
          <w:marBottom w:val="0"/>
          <w:divBdr>
            <w:top w:val="none" w:sz="0" w:space="0" w:color="auto"/>
            <w:left w:val="none" w:sz="0" w:space="0" w:color="auto"/>
            <w:bottom w:val="none" w:sz="0" w:space="0" w:color="auto"/>
            <w:right w:val="none" w:sz="0" w:space="0" w:color="auto"/>
          </w:divBdr>
        </w:div>
        <w:div w:id="1212956749">
          <w:marLeft w:val="547"/>
          <w:marRight w:val="0"/>
          <w:marTop w:val="400"/>
          <w:marBottom w:val="0"/>
          <w:divBdr>
            <w:top w:val="none" w:sz="0" w:space="0" w:color="auto"/>
            <w:left w:val="none" w:sz="0" w:space="0" w:color="auto"/>
            <w:bottom w:val="none" w:sz="0" w:space="0" w:color="auto"/>
            <w:right w:val="none" w:sz="0" w:space="0" w:color="auto"/>
          </w:divBdr>
        </w:div>
      </w:divsChild>
    </w:div>
    <w:div w:id="1496872327">
      <w:bodyDiv w:val="1"/>
      <w:marLeft w:val="0"/>
      <w:marRight w:val="0"/>
      <w:marTop w:val="0"/>
      <w:marBottom w:val="0"/>
      <w:divBdr>
        <w:top w:val="none" w:sz="0" w:space="0" w:color="auto"/>
        <w:left w:val="none" w:sz="0" w:space="0" w:color="auto"/>
        <w:bottom w:val="none" w:sz="0" w:space="0" w:color="auto"/>
        <w:right w:val="none" w:sz="0" w:space="0" w:color="auto"/>
      </w:divBdr>
      <w:divsChild>
        <w:div w:id="1541356884">
          <w:marLeft w:val="547"/>
          <w:marRight w:val="0"/>
          <w:marTop w:val="400"/>
          <w:marBottom w:val="0"/>
          <w:divBdr>
            <w:top w:val="none" w:sz="0" w:space="0" w:color="auto"/>
            <w:left w:val="none" w:sz="0" w:space="0" w:color="auto"/>
            <w:bottom w:val="none" w:sz="0" w:space="0" w:color="auto"/>
            <w:right w:val="none" w:sz="0" w:space="0" w:color="auto"/>
          </w:divBdr>
        </w:div>
      </w:divsChild>
    </w:div>
    <w:div w:id="1548571048">
      <w:bodyDiv w:val="1"/>
      <w:marLeft w:val="0"/>
      <w:marRight w:val="0"/>
      <w:marTop w:val="0"/>
      <w:marBottom w:val="0"/>
      <w:divBdr>
        <w:top w:val="none" w:sz="0" w:space="0" w:color="auto"/>
        <w:left w:val="none" w:sz="0" w:space="0" w:color="auto"/>
        <w:bottom w:val="none" w:sz="0" w:space="0" w:color="auto"/>
        <w:right w:val="none" w:sz="0" w:space="0" w:color="auto"/>
      </w:divBdr>
    </w:div>
    <w:div w:id="1594699411">
      <w:bodyDiv w:val="1"/>
      <w:marLeft w:val="0"/>
      <w:marRight w:val="0"/>
      <w:marTop w:val="0"/>
      <w:marBottom w:val="0"/>
      <w:divBdr>
        <w:top w:val="none" w:sz="0" w:space="0" w:color="auto"/>
        <w:left w:val="none" w:sz="0" w:space="0" w:color="auto"/>
        <w:bottom w:val="none" w:sz="0" w:space="0" w:color="auto"/>
        <w:right w:val="none" w:sz="0" w:space="0" w:color="auto"/>
      </w:divBdr>
      <w:divsChild>
        <w:div w:id="1171070706">
          <w:marLeft w:val="547"/>
          <w:marRight w:val="0"/>
          <w:marTop w:val="400"/>
          <w:marBottom w:val="0"/>
          <w:divBdr>
            <w:top w:val="none" w:sz="0" w:space="0" w:color="auto"/>
            <w:left w:val="none" w:sz="0" w:space="0" w:color="auto"/>
            <w:bottom w:val="none" w:sz="0" w:space="0" w:color="auto"/>
            <w:right w:val="none" w:sz="0" w:space="0" w:color="auto"/>
          </w:divBdr>
        </w:div>
        <w:div w:id="1576089425">
          <w:marLeft w:val="547"/>
          <w:marRight w:val="0"/>
          <w:marTop w:val="400"/>
          <w:marBottom w:val="0"/>
          <w:divBdr>
            <w:top w:val="none" w:sz="0" w:space="0" w:color="auto"/>
            <w:left w:val="none" w:sz="0" w:space="0" w:color="auto"/>
            <w:bottom w:val="none" w:sz="0" w:space="0" w:color="auto"/>
            <w:right w:val="none" w:sz="0" w:space="0" w:color="auto"/>
          </w:divBdr>
        </w:div>
        <w:div w:id="993945653">
          <w:marLeft w:val="547"/>
          <w:marRight w:val="0"/>
          <w:marTop w:val="400"/>
          <w:marBottom w:val="0"/>
          <w:divBdr>
            <w:top w:val="none" w:sz="0" w:space="0" w:color="auto"/>
            <w:left w:val="none" w:sz="0" w:space="0" w:color="auto"/>
            <w:bottom w:val="none" w:sz="0" w:space="0" w:color="auto"/>
            <w:right w:val="none" w:sz="0" w:space="0" w:color="auto"/>
          </w:divBdr>
        </w:div>
      </w:divsChild>
    </w:div>
    <w:div w:id="1605262597">
      <w:bodyDiv w:val="1"/>
      <w:marLeft w:val="0"/>
      <w:marRight w:val="0"/>
      <w:marTop w:val="0"/>
      <w:marBottom w:val="0"/>
      <w:divBdr>
        <w:top w:val="none" w:sz="0" w:space="0" w:color="auto"/>
        <w:left w:val="none" w:sz="0" w:space="0" w:color="auto"/>
        <w:bottom w:val="none" w:sz="0" w:space="0" w:color="auto"/>
        <w:right w:val="none" w:sz="0" w:space="0" w:color="auto"/>
      </w:divBdr>
      <w:divsChild>
        <w:div w:id="344553439">
          <w:marLeft w:val="547"/>
          <w:marRight w:val="0"/>
          <w:marTop w:val="400"/>
          <w:marBottom w:val="0"/>
          <w:divBdr>
            <w:top w:val="none" w:sz="0" w:space="0" w:color="auto"/>
            <w:left w:val="none" w:sz="0" w:space="0" w:color="auto"/>
            <w:bottom w:val="none" w:sz="0" w:space="0" w:color="auto"/>
            <w:right w:val="none" w:sz="0" w:space="0" w:color="auto"/>
          </w:divBdr>
        </w:div>
      </w:divsChild>
    </w:div>
    <w:div w:id="1803112389">
      <w:bodyDiv w:val="1"/>
      <w:marLeft w:val="0"/>
      <w:marRight w:val="0"/>
      <w:marTop w:val="0"/>
      <w:marBottom w:val="0"/>
      <w:divBdr>
        <w:top w:val="none" w:sz="0" w:space="0" w:color="auto"/>
        <w:left w:val="none" w:sz="0" w:space="0" w:color="auto"/>
        <w:bottom w:val="none" w:sz="0" w:space="0" w:color="auto"/>
        <w:right w:val="none" w:sz="0" w:space="0" w:color="auto"/>
      </w:divBdr>
    </w:div>
    <w:div w:id="1819151410">
      <w:bodyDiv w:val="1"/>
      <w:marLeft w:val="0"/>
      <w:marRight w:val="0"/>
      <w:marTop w:val="0"/>
      <w:marBottom w:val="0"/>
      <w:divBdr>
        <w:top w:val="none" w:sz="0" w:space="0" w:color="auto"/>
        <w:left w:val="none" w:sz="0" w:space="0" w:color="auto"/>
        <w:bottom w:val="none" w:sz="0" w:space="0" w:color="auto"/>
        <w:right w:val="none" w:sz="0" w:space="0" w:color="auto"/>
      </w:divBdr>
      <w:divsChild>
        <w:div w:id="234826784">
          <w:marLeft w:val="0"/>
          <w:marRight w:val="0"/>
          <w:marTop w:val="0"/>
          <w:marBottom w:val="0"/>
          <w:divBdr>
            <w:top w:val="none" w:sz="0" w:space="0" w:color="auto"/>
            <w:left w:val="none" w:sz="0" w:space="0" w:color="auto"/>
            <w:bottom w:val="none" w:sz="0" w:space="0" w:color="auto"/>
            <w:right w:val="none" w:sz="0" w:space="0" w:color="auto"/>
          </w:divBdr>
          <w:divsChild>
            <w:div w:id="500393231">
              <w:marLeft w:val="0"/>
              <w:marRight w:val="0"/>
              <w:marTop w:val="0"/>
              <w:marBottom w:val="0"/>
              <w:divBdr>
                <w:top w:val="none" w:sz="0" w:space="0" w:color="auto"/>
                <w:left w:val="none" w:sz="0" w:space="0" w:color="auto"/>
                <w:bottom w:val="none" w:sz="0" w:space="0" w:color="auto"/>
                <w:right w:val="none" w:sz="0" w:space="0" w:color="auto"/>
              </w:divBdr>
              <w:divsChild>
                <w:div w:id="946044921">
                  <w:marLeft w:val="0"/>
                  <w:marRight w:val="0"/>
                  <w:marTop w:val="0"/>
                  <w:marBottom w:val="0"/>
                  <w:divBdr>
                    <w:top w:val="none" w:sz="0" w:space="0" w:color="auto"/>
                    <w:left w:val="none" w:sz="0" w:space="0" w:color="auto"/>
                    <w:bottom w:val="none" w:sz="0" w:space="0" w:color="auto"/>
                    <w:right w:val="none" w:sz="0" w:space="0" w:color="auto"/>
                  </w:divBdr>
                  <w:divsChild>
                    <w:div w:id="24911474">
                      <w:marLeft w:val="0"/>
                      <w:marRight w:val="0"/>
                      <w:marTop w:val="60"/>
                      <w:marBottom w:val="0"/>
                      <w:divBdr>
                        <w:top w:val="none" w:sz="0" w:space="0" w:color="auto"/>
                        <w:left w:val="none" w:sz="0" w:space="0" w:color="auto"/>
                        <w:bottom w:val="none" w:sz="0" w:space="0" w:color="auto"/>
                        <w:right w:val="none" w:sz="0" w:space="0" w:color="auto"/>
                      </w:divBdr>
                    </w:div>
                    <w:div w:id="83110271">
                      <w:marLeft w:val="0"/>
                      <w:marRight w:val="0"/>
                      <w:marTop w:val="60"/>
                      <w:marBottom w:val="0"/>
                      <w:divBdr>
                        <w:top w:val="none" w:sz="0" w:space="0" w:color="auto"/>
                        <w:left w:val="none" w:sz="0" w:space="0" w:color="auto"/>
                        <w:bottom w:val="none" w:sz="0" w:space="0" w:color="auto"/>
                        <w:right w:val="none" w:sz="0" w:space="0" w:color="auto"/>
                      </w:divBdr>
                    </w:div>
                    <w:div w:id="194931184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 w:id="781847822">
          <w:marLeft w:val="0"/>
          <w:marRight w:val="0"/>
          <w:marTop w:val="0"/>
          <w:marBottom w:val="0"/>
          <w:divBdr>
            <w:top w:val="none" w:sz="0" w:space="0" w:color="auto"/>
            <w:left w:val="none" w:sz="0" w:space="0" w:color="auto"/>
            <w:bottom w:val="none" w:sz="0" w:space="0" w:color="auto"/>
            <w:right w:val="none" w:sz="0" w:space="0" w:color="auto"/>
          </w:divBdr>
          <w:divsChild>
            <w:div w:id="1927881638">
              <w:marLeft w:val="0"/>
              <w:marRight w:val="0"/>
              <w:marTop w:val="0"/>
              <w:marBottom w:val="0"/>
              <w:divBdr>
                <w:top w:val="none" w:sz="0" w:space="0" w:color="auto"/>
                <w:left w:val="none" w:sz="0" w:space="0" w:color="auto"/>
                <w:bottom w:val="none" w:sz="0" w:space="0" w:color="auto"/>
                <w:right w:val="none" w:sz="0" w:space="0" w:color="auto"/>
              </w:divBdr>
              <w:divsChild>
                <w:div w:id="46223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856541">
          <w:marLeft w:val="0"/>
          <w:marRight w:val="0"/>
          <w:marTop w:val="0"/>
          <w:marBottom w:val="0"/>
          <w:divBdr>
            <w:top w:val="none" w:sz="0" w:space="0" w:color="auto"/>
            <w:left w:val="none" w:sz="0" w:space="0" w:color="auto"/>
            <w:bottom w:val="none" w:sz="0" w:space="0" w:color="auto"/>
            <w:right w:val="none" w:sz="0" w:space="0" w:color="auto"/>
          </w:divBdr>
        </w:div>
      </w:divsChild>
    </w:div>
    <w:div w:id="1918783265">
      <w:bodyDiv w:val="1"/>
      <w:marLeft w:val="0"/>
      <w:marRight w:val="0"/>
      <w:marTop w:val="0"/>
      <w:marBottom w:val="0"/>
      <w:divBdr>
        <w:top w:val="none" w:sz="0" w:space="0" w:color="auto"/>
        <w:left w:val="none" w:sz="0" w:space="0" w:color="auto"/>
        <w:bottom w:val="none" w:sz="0" w:space="0" w:color="auto"/>
        <w:right w:val="none" w:sz="0" w:space="0" w:color="auto"/>
      </w:divBdr>
    </w:div>
    <w:div w:id="2097901229">
      <w:bodyDiv w:val="1"/>
      <w:marLeft w:val="0"/>
      <w:marRight w:val="0"/>
      <w:marTop w:val="0"/>
      <w:marBottom w:val="0"/>
      <w:divBdr>
        <w:top w:val="none" w:sz="0" w:space="0" w:color="auto"/>
        <w:left w:val="none" w:sz="0" w:space="0" w:color="auto"/>
        <w:bottom w:val="none" w:sz="0" w:space="0" w:color="auto"/>
        <w:right w:val="none" w:sz="0" w:space="0" w:color="auto"/>
      </w:divBdr>
    </w:div>
    <w:div w:id="2134518307">
      <w:bodyDiv w:val="1"/>
      <w:marLeft w:val="0"/>
      <w:marRight w:val="0"/>
      <w:marTop w:val="0"/>
      <w:marBottom w:val="0"/>
      <w:divBdr>
        <w:top w:val="none" w:sz="0" w:space="0" w:color="auto"/>
        <w:left w:val="none" w:sz="0" w:space="0" w:color="auto"/>
        <w:bottom w:val="none" w:sz="0" w:space="0" w:color="auto"/>
        <w:right w:val="none" w:sz="0" w:space="0" w:color="auto"/>
      </w:divBdr>
      <w:divsChild>
        <w:div w:id="1862819418">
          <w:marLeft w:val="547"/>
          <w:marRight w:val="0"/>
          <w:marTop w:val="400"/>
          <w:marBottom w:val="0"/>
          <w:divBdr>
            <w:top w:val="none" w:sz="0" w:space="0" w:color="auto"/>
            <w:left w:val="none" w:sz="0" w:space="0" w:color="auto"/>
            <w:bottom w:val="none" w:sz="0" w:space="0" w:color="auto"/>
            <w:right w:val="none" w:sz="0" w:space="0" w:color="auto"/>
          </w:divBdr>
        </w:div>
        <w:div w:id="244188661">
          <w:marLeft w:val="547"/>
          <w:marRight w:val="0"/>
          <w:marTop w:val="400"/>
          <w:marBottom w:val="0"/>
          <w:divBdr>
            <w:top w:val="none" w:sz="0" w:space="0" w:color="auto"/>
            <w:left w:val="none" w:sz="0" w:space="0" w:color="auto"/>
            <w:bottom w:val="none" w:sz="0" w:space="0" w:color="auto"/>
            <w:right w:val="none" w:sz="0" w:space="0" w:color="auto"/>
          </w:divBdr>
        </w:div>
        <w:div w:id="1791124263">
          <w:marLeft w:val="547"/>
          <w:marRight w:val="0"/>
          <w:marTop w:val="4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cholar.google.com/scholar_case?case=14282918457226404822&amp;q=812+N.W.2d+897&amp;hl=en&amp;as_sdt=4,24" TargetMode="External"/><Relationship Id="rId18" Type="http://schemas.openxmlformats.org/officeDocument/2006/relationships/hyperlink" Target="https://scholar.google.com/scholar_case?case=855891770049848702&amp;hl=en&amp;as_sdt=6,24" TargetMode="External"/><Relationship Id="rId26" Type="http://schemas.openxmlformats.org/officeDocument/2006/relationships/hyperlink" Target="https://scholar.google.com/scholar_case?case=16286467478147683007&amp;hl=en&amp;as_sdt=6,24" TargetMode="External"/><Relationship Id="rId39" Type="http://schemas.openxmlformats.org/officeDocument/2006/relationships/hyperlink" Target="https://www.revisor.mn.gov/statutes/cite/504B.182" TargetMode="External"/><Relationship Id="rId21" Type="http://schemas.openxmlformats.org/officeDocument/2006/relationships/hyperlink" Target="https://www.google.com/books/edition/Minnesota_Reports/I0NY9AWjbx8C?hl=en&amp;gbpv=1&amp;dq=davidson+minnesota+court+1924+trust+loan&amp;pg=PA411&amp;printsec=frontcover" TargetMode="External"/><Relationship Id="rId34" Type="http://schemas.openxmlformats.org/officeDocument/2006/relationships/hyperlink" Target="https://scholar.google.com/scholar_case?case=15162341789389234756&amp;hl=en&amp;as_sdt=6,24" TargetMode="External"/><Relationship Id="rId42" Type="http://schemas.openxmlformats.org/officeDocument/2006/relationships/hyperlink" Target="https://www.revisor.mn.gov/laws/2023/0/52/" TargetMode="External"/><Relationship Id="rId47" Type="http://schemas.openxmlformats.org/officeDocument/2006/relationships/hyperlink" Target="https://scholar.google.com/scholar_case?case=17722003722285719308&amp;hl=en&amp;as_sdt=6,24" TargetMode="External"/><Relationship Id="rId50" Type="http://schemas.openxmlformats.org/officeDocument/2006/relationships/hyperlink" Target="https://birnberglegalwebsite.files.wordpress.com/2021/04/kaeding-sj-order.pdf" TargetMode="External"/><Relationship Id="rId55" Type="http://schemas.openxmlformats.org/officeDocument/2006/relationships/hyperlink" Target="https://scholar.google.com/scholar_case?case=5812302591281817602&amp;hl=en&amp;as_sdt=6,24" TargetMode="External"/><Relationship Id="rId63" Type="http://schemas.openxmlformats.org/officeDocument/2006/relationships/hyperlink" Target="https://scholar.google.com/scholar_case?case=3040892282490475116&amp;hl=en&amp;as_sdt=6,24" TargetMode="External"/><Relationship Id="rId68" Type="http://schemas.openxmlformats.org/officeDocument/2006/relationships/hyperlink" Target="https://mn.gov/law-library-stat/archive/ctapun/2015/opa140686-011215.pdf" TargetMode="External"/><Relationship Id="rId76" Type="http://schemas.openxmlformats.org/officeDocument/2006/relationships/hyperlink" Target="https://scholar.google.com/scholar_case?case=11404527107386030954&amp;q=glenshaw+glass+co&amp;hl=en&amp;as_sdt=6,24" TargetMode="External"/><Relationship Id="rId84" Type="http://schemas.openxmlformats.org/officeDocument/2006/relationships/hyperlink" Target="https://homelinemn.org/publications/other-publications/" TargetMode="External"/><Relationship Id="rId89" Type="http://schemas.openxmlformats.org/officeDocument/2006/relationships/hyperlink" Target="https://birnberglegalwebsite.files.wordpress.com/2020/05/security-deposit-leg-hist-1973-minn-laws-ch-561-by-adam-van-alstyne-.pdf" TargetMode="External"/><Relationship Id="rId7" Type="http://schemas.openxmlformats.org/officeDocument/2006/relationships/endnotes" Target="endnotes.xml"/><Relationship Id="rId71" Type="http://schemas.openxmlformats.org/officeDocument/2006/relationships/hyperlink" Target="https://birnberglegalwebsite.files.wordpress.com/2021/04/hatch-v-alden-complaint.pdf" TargetMode="External"/><Relationship Id="rId92" Type="http://schemas.openxmlformats.org/officeDocument/2006/relationships/hyperlink" Target="https://birnberglegalwebsite.files.wordpress.com/2020/05/security-deposit-leg-hist-1977-minn-laws-ch-280-by-adam-van-alstyne-.pdf" TargetMode="External"/><Relationship Id="rId2" Type="http://schemas.openxmlformats.org/officeDocument/2006/relationships/numbering" Target="numbering.xml"/><Relationship Id="rId16" Type="http://schemas.openxmlformats.org/officeDocument/2006/relationships/hyperlink" Target="https://www.revisor.mn.gov/statutes/cite/645.44" TargetMode="External"/><Relationship Id="rId29" Type="http://schemas.openxmlformats.org/officeDocument/2006/relationships/hyperlink" Target="https://birnberglegalwebsite.files.wordpress.com/2021/04/gaughan-companies-v.-swanson.pdf" TargetMode="External"/><Relationship Id="rId11" Type="http://schemas.openxmlformats.org/officeDocument/2006/relationships/hyperlink" Target="https://www.revisor.mn.gov/statutes/cite/327C.03" TargetMode="External"/><Relationship Id="rId24" Type="http://schemas.openxmlformats.org/officeDocument/2006/relationships/hyperlink" Target="https://www.google.com/books/edition/Minnesota_Reports/yMwUAAAAYAAJ?hl=en&amp;gbpv=1&amp;dq=helen+peck+McLean+minnesota+court&amp;pg=PA228&amp;" TargetMode="External"/><Relationship Id="rId32" Type="http://schemas.openxmlformats.org/officeDocument/2006/relationships/hyperlink" Target="https://scholar.google.com/scholar_case?case=15984353440246536955&amp;q=cloverdale+tenant&amp;hl=en&amp;as_sdt=6,24" TargetMode="External"/><Relationship Id="rId37" Type="http://schemas.openxmlformats.org/officeDocument/2006/relationships/hyperlink" Target="https://www.revisor.mn.gov/statutes/1973/cite/504/pdf" TargetMode="External"/><Relationship Id="rId40" Type="http://schemas.openxmlformats.org/officeDocument/2006/relationships/hyperlink" Target="https://www.revisor.mn.gov/laws/2023/0/52/" TargetMode="External"/><Relationship Id="rId45" Type="http://schemas.openxmlformats.org/officeDocument/2006/relationships/hyperlink" Target="https://www.revisor.mn.gov/laws/2023/0/52/" TargetMode="External"/><Relationship Id="rId53" Type="http://schemas.openxmlformats.org/officeDocument/2006/relationships/hyperlink" Target="https://birnberglegalwebsite.files.wordpress.com/2021/04/schladweiler-vs-kallenbach.pdf" TargetMode="External"/><Relationship Id="rId58" Type="http://schemas.openxmlformats.org/officeDocument/2006/relationships/hyperlink" Target="https://www.revisor.mn.gov/statutes/cite/327C.03" TargetMode="External"/><Relationship Id="rId66" Type="http://schemas.openxmlformats.org/officeDocument/2006/relationships/hyperlink" Target="https://www.govinfo.gov/content/pkg/USCODE-2011-title11/html/USCODE-2011-title11-chap5-subchapII-sec523.htm" TargetMode="External"/><Relationship Id="rId74" Type="http://schemas.openxmlformats.org/officeDocument/2006/relationships/hyperlink" Target="https://scholar.google.com/scholar_case?case=16076032932773623464&amp;q=Helvering+midland&amp;hl=en&amp;as_sdt=6,24" TargetMode="External"/><Relationship Id="rId79" Type="http://schemas.openxmlformats.org/officeDocument/2006/relationships/hyperlink" Target="https://www.law.cornell.edu/cfr/text/26/1.61-14" TargetMode="External"/><Relationship Id="rId87" Type="http://schemas.openxmlformats.org/officeDocument/2006/relationships/hyperlink" Target="https://birnberglegalwebsite.files.wordpress.com/2020/05/security-deposit-leg-hist-1973-minn-laws-ch-561-by-adam-van-alstyne-.pdf" TargetMode="External"/><Relationship Id="rId5" Type="http://schemas.openxmlformats.org/officeDocument/2006/relationships/webSettings" Target="webSettings.xml"/><Relationship Id="rId61" Type="http://schemas.openxmlformats.org/officeDocument/2006/relationships/hyperlink" Target="https://www.revisor.mn.gov/statutes/cite/541.05" TargetMode="External"/><Relationship Id="rId82" Type="http://schemas.openxmlformats.org/officeDocument/2006/relationships/hyperlink" Target="http://povertylaw.homestead.com/files/Reading/Security_Deposit.htm" TargetMode="External"/><Relationship Id="rId90" Type="http://schemas.openxmlformats.org/officeDocument/2006/relationships/hyperlink" Target="https://birnberglegalwebsite.files.wordpress.com/2020/05/security-deposit-leg-hist-1973-minn-laws-ch-561-by-adam-van-alstyne-.pdf" TargetMode="External"/><Relationship Id="rId95" Type="http://schemas.openxmlformats.org/officeDocument/2006/relationships/theme" Target="theme/theme1.xml"/><Relationship Id="rId19" Type="http://schemas.openxmlformats.org/officeDocument/2006/relationships/hyperlink" Target="https://birnberglegalwebsite.files.wordpress.com/2021/04/oman-vs-dunn-westlaw-version.pdf" TargetMode="External"/><Relationship Id="rId14" Type="http://schemas.openxmlformats.org/officeDocument/2006/relationships/hyperlink" Target="https://www.revisor.mn.gov/statutes/cite/645.15" TargetMode="External"/><Relationship Id="rId22" Type="http://schemas.openxmlformats.org/officeDocument/2006/relationships/hyperlink" Target="https://scholar.google.com/scholar_case?case=5200548732097591138&amp;hl=en&amp;as_sdt=6,24" TargetMode="External"/><Relationship Id="rId27" Type="http://schemas.openxmlformats.org/officeDocument/2006/relationships/hyperlink" Target="https://birnberglegalwebsite.files.wordpress.com/2021/04/graven-v-ahmc-properties-ruling-on-smoking-and-deposit.pdf" TargetMode="External"/><Relationship Id="rId30" Type="http://schemas.openxmlformats.org/officeDocument/2006/relationships/hyperlink" Target="https://homelinemn.org/wp-content/uploads/Babler-v.-Penn-No.-62-CV-13-1539.pdf" TargetMode="External"/><Relationship Id="rId35" Type="http://schemas.openxmlformats.org/officeDocument/2006/relationships/hyperlink" Target="https://mn.gov/law-library-stat/archive/ctapun/0206/1923.htm" TargetMode="External"/><Relationship Id="rId43" Type="http://schemas.openxmlformats.org/officeDocument/2006/relationships/hyperlink" Target="https://www.revisor.mn.gov/laws/2023/0/52/" TargetMode="External"/><Relationship Id="rId48" Type="http://schemas.openxmlformats.org/officeDocument/2006/relationships/hyperlink" Target="https://scholar.google.com/scholar_case?case=4488979402657063239&amp;hl=en&amp;as_sdt=6,24" TargetMode="External"/><Relationship Id="rId56" Type="http://schemas.openxmlformats.org/officeDocument/2006/relationships/hyperlink" Target="https://birnberglegalwebsite.files.wordpress.com/2021/04/prashad-v.-maciosek.pdf" TargetMode="External"/><Relationship Id="rId64" Type="http://schemas.openxmlformats.org/officeDocument/2006/relationships/hyperlink" Target="https://scholar.google.com/scholar_case?case=13488583149987672634&amp;hl=en&amp;as_sdt=6,24" TargetMode="External"/><Relationship Id="rId69" Type="http://schemas.openxmlformats.org/officeDocument/2006/relationships/hyperlink" Target="https://www.irs.gov/taxtopics/tc453" TargetMode="External"/><Relationship Id="rId77" Type="http://schemas.openxmlformats.org/officeDocument/2006/relationships/hyperlink" Target="https://www.law.cornell.edu/cfr/text/26/1.61-14" TargetMode="External"/><Relationship Id="rId8" Type="http://schemas.openxmlformats.org/officeDocument/2006/relationships/hyperlink" Target="https://scholar.google.com/scholar_case?case=18374046737925458759&amp;q=larson+security+deposit&amp;hl=en&amp;as_sdt=4,24" TargetMode="External"/><Relationship Id="rId51" Type="http://schemas.openxmlformats.org/officeDocument/2006/relationships/hyperlink" Target="https://scholar.google.com/scholar_case?case=1528172695547775369&amp;hl=en&amp;as_sdt=6,24" TargetMode="External"/><Relationship Id="rId72" Type="http://schemas.openxmlformats.org/officeDocument/2006/relationships/hyperlink" Target="https://scholar.google.com/scholar_case?case=18158956039062534798&amp;hl=en&amp;as_sdt=6,24" TargetMode="External"/><Relationship Id="rId80" Type="http://schemas.openxmlformats.org/officeDocument/2006/relationships/hyperlink" Target="http://povertylaw.homestead.com/files/Reading/Security_Deposit.htm" TargetMode="External"/><Relationship Id="rId85" Type="http://schemas.openxmlformats.org/officeDocument/2006/relationships/hyperlink" Target="https://homelinemn.org/publications/other-publications/" TargetMode="External"/><Relationship Id="rId93"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scholar.google.com/scholar_case?case=2280706072065936860&amp;q=rathbun+money&amp;hl=en&amp;as_sdt=4,24" TargetMode="External"/><Relationship Id="rId17" Type="http://schemas.openxmlformats.org/officeDocument/2006/relationships/hyperlink" Target="https://birnberglegalwebsite.files.wordpress.com/2021/04/gaughan-companies-v.-swanson.pdf" TargetMode="External"/><Relationship Id="rId25" Type="http://schemas.openxmlformats.org/officeDocument/2006/relationships/hyperlink" Target="https://scholar.google.com/scholar_case?case=10876807077267594707&amp;hl=en&amp;as_sdt=6,24" TargetMode="External"/><Relationship Id="rId33" Type="http://schemas.openxmlformats.org/officeDocument/2006/relationships/hyperlink" Target="https://scholar.google.com/scholar_case?case=14117883593547484299&amp;hl=en&amp;as_sdt=6,24" TargetMode="External"/><Relationship Id="rId38" Type="http://schemas.openxmlformats.org/officeDocument/2006/relationships/hyperlink" Target="https://www.revisor.mn.gov/laws/1977/0/Session+Law/Chapter/280/pdf/" TargetMode="External"/><Relationship Id="rId46" Type="http://schemas.openxmlformats.org/officeDocument/2006/relationships/hyperlink" Target="https://scholar.google.com/scholar_case?case=14117883593547484299&amp;hl=en&amp;as_sdt=6,24" TargetMode="External"/><Relationship Id="rId59" Type="http://schemas.openxmlformats.org/officeDocument/2006/relationships/hyperlink" Target="https://library.municode.com/mn/minneapolis/codes/code_of_ordinances?nodeId=COOR_TIT12HO_CH244MACO_ARTXVIREDWLI_244.2040SEDE" TargetMode="External"/><Relationship Id="rId67" Type="http://schemas.openxmlformats.org/officeDocument/2006/relationships/hyperlink" Target="https://www.revisor.mn.gov/statutes/cite/82.55" TargetMode="External"/><Relationship Id="rId20" Type="http://schemas.openxmlformats.org/officeDocument/2006/relationships/hyperlink" Target="https://scholar.google.com/scholar_case?case=15162341789389234756&amp;hl=en&amp;as_sdt=6,24" TargetMode="External"/><Relationship Id="rId41" Type="http://schemas.openxmlformats.org/officeDocument/2006/relationships/hyperlink" Target="https://www.revisor.mn.gov/laws/2023/0/52/" TargetMode="External"/><Relationship Id="rId54" Type="http://schemas.openxmlformats.org/officeDocument/2006/relationships/hyperlink" Target="https://birnberglegalwebsite.files.wordpress.com/2021/04/neadeau-v.-meldahl.pdf" TargetMode="External"/><Relationship Id="rId62" Type="http://schemas.openxmlformats.org/officeDocument/2006/relationships/hyperlink" Target="https://www.revisor.mn.gov/statutes/cite/541.07" TargetMode="External"/><Relationship Id="rId70" Type="http://schemas.openxmlformats.org/officeDocument/2006/relationships/hyperlink" Target="https://scholar.google.com/scholar_case?case=6444074229171039279&amp;hl=en&amp;as_sdt=6,24" TargetMode="External"/><Relationship Id="rId75" Type="http://schemas.openxmlformats.org/officeDocument/2006/relationships/hyperlink" Target="https://scholar.google.com/scholar_case?case=11404527107386030954&amp;q=glenshaw+glass+co&amp;hl=en&amp;as_sdt=6,24" TargetMode="External"/><Relationship Id="rId83" Type="http://schemas.openxmlformats.org/officeDocument/2006/relationships/hyperlink" Target="https://homelinemn.org/publications/other-publications/" TargetMode="External"/><Relationship Id="rId88" Type="http://schemas.openxmlformats.org/officeDocument/2006/relationships/hyperlink" Target="https://birnberglegalwebsite.files.wordpress.com/2020/05/security-deposit-leg-hist-1973-minn-laws-ch-561-by-adam-van-alstyne-.pdf" TargetMode="External"/><Relationship Id="rId91" Type="http://schemas.openxmlformats.org/officeDocument/2006/relationships/hyperlink" Target="https://birnberglegalwebsite.files.wordpress.com/2020/05/security-deposit-leg-hist-1977-minn-laws-ch-280-by-adam-van-alstyne-.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revisor.mn.gov/statutes/cite/645.44" TargetMode="External"/><Relationship Id="rId23" Type="http://schemas.openxmlformats.org/officeDocument/2006/relationships/hyperlink" Target="https://books.google.com/books?id=I8MqVEEBQ_YC&amp;pg=PA1019&amp;lpg=PA1019&amp;dq=Rowland+mcLaughlin+minnesota+court&amp;source=bl&amp;ots=T5-zg2e" TargetMode="External"/><Relationship Id="rId28" Type="http://schemas.openxmlformats.org/officeDocument/2006/relationships/hyperlink" Target="https://scholar.google.com/scholar_case?case=2107330545128242824&amp;hl=en&amp;as_sdt=6,24" TargetMode="External"/><Relationship Id="rId36" Type="http://schemas.openxmlformats.org/officeDocument/2006/relationships/hyperlink" Target="https://scholar.google.com/scholar_case?case=8565211935882613892&amp;hl=en&amp;as_sdt=6,24" TargetMode="External"/><Relationship Id="rId49" Type="http://schemas.openxmlformats.org/officeDocument/2006/relationships/hyperlink" Target="https://scholar.google.com/scholar_case?case=14117883593547484299&amp;hl=en&amp;as_sdt=6,24" TargetMode="External"/><Relationship Id="rId57" Type="http://schemas.openxmlformats.org/officeDocument/2006/relationships/hyperlink" Target="https://www.revisor.mn.gov/statutes/cite/491A.01" TargetMode="External"/><Relationship Id="rId10" Type="http://schemas.openxmlformats.org/officeDocument/2006/relationships/hyperlink" Target="https://www.revisor.mn.gov/laws/1973/0/Session+Law/Chapter/561/pdf/" TargetMode="External"/><Relationship Id="rId31" Type="http://schemas.openxmlformats.org/officeDocument/2006/relationships/hyperlink" Target="https://scholar.google.com/scholar_case?case=13549662857232008445&amp;hl=en&amp;as_sdt=6,24" TargetMode="External"/><Relationship Id="rId44" Type="http://schemas.openxmlformats.org/officeDocument/2006/relationships/hyperlink" Target="https://www.revisor.mn.gov/statutes/cite/504B.178" TargetMode="External"/><Relationship Id="rId52" Type="http://schemas.openxmlformats.org/officeDocument/2006/relationships/hyperlink" Target="https://mn.gov/law-library-stat/archive/ctapun/9712/1002.htm" TargetMode="External"/><Relationship Id="rId60" Type="http://schemas.openxmlformats.org/officeDocument/2006/relationships/hyperlink" Target="https://stpaul.legistar.com/LegislationDetail.aspx?ID=4386792&amp;GUID=CAC11254-88C1-4CE0-BBF5-FE35D52366E8&amp;FullText=1" TargetMode="External"/><Relationship Id="rId65" Type="http://schemas.openxmlformats.org/officeDocument/2006/relationships/hyperlink" Target="https://scholar.google.com/scholar_case?case=6289756037922864191&amp;hl=en&amp;as_sdt=6,24" TargetMode="External"/><Relationship Id="rId73" Type="http://schemas.openxmlformats.org/officeDocument/2006/relationships/hyperlink" Target="https://www.irs.gov/pub/irs-pdf/f1040se.pdf" TargetMode="External"/><Relationship Id="rId78" Type="http://schemas.openxmlformats.org/officeDocument/2006/relationships/hyperlink" Target="https://www.irs.gov/pub/irs-pdf/p4345.pdf" TargetMode="External"/><Relationship Id="rId81" Type="http://schemas.openxmlformats.org/officeDocument/2006/relationships/hyperlink" Target="http://povertylaw.homestead.com/files/Reading/Security_Deposit.htm" TargetMode="External"/><Relationship Id="rId86" Type="http://schemas.openxmlformats.org/officeDocument/2006/relationships/hyperlink" Target="https://birnberglegalwebsite.files.wordpress.com/2020/05/security-deposit-leg-hist-1973-minn-laws-ch-561-by-adam-van-alstyne-.pdf"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revisor.mn.gov/statutes/cite/504B.178"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homelinemn.org/wp-content/uploads/Babler-v.-Penn-No.-62-CV-13-1539.pdf" TargetMode="External"/><Relationship Id="rId13" Type="http://schemas.openxmlformats.org/officeDocument/2006/relationships/hyperlink" Target="http://homelinemn.org/wp-content/uploads/Tenants%20in%20Common%20-%20security%20deposit%20return.3.pdf" TargetMode="External"/><Relationship Id="rId18" Type="http://schemas.openxmlformats.org/officeDocument/2006/relationships/hyperlink" Target="https://www.mmha.com/FAQ" TargetMode="External"/><Relationship Id="rId26" Type="http://schemas.openxmlformats.org/officeDocument/2006/relationships/hyperlink" Target="https://birnberglegalwebsite.files.wordpress.com/2021/02/national-corporation-for-housing-vs-liberty-state-bank-504.20-district-court-order.pdf" TargetMode="External"/><Relationship Id="rId3" Type="http://schemas.openxmlformats.org/officeDocument/2006/relationships/hyperlink" Target="https://www.revisor.mn.gov/laws/?id=492&amp;year=1941&amp;type=0" TargetMode="External"/><Relationship Id="rId21" Type="http://schemas.openxmlformats.org/officeDocument/2006/relationships/hyperlink" Target="https://birnberglegalwebsite.files.wordpress.com/2022/03/1980-cle-horner-re-security-deposits.pdf" TargetMode="External"/><Relationship Id="rId34" Type="http://schemas.openxmlformats.org/officeDocument/2006/relationships/hyperlink" Target="https://www.irs.gov/pub/irs-pdf/f1040sb.pdf" TargetMode="External"/><Relationship Id="rId7" Type="http://schemas.openxmlformats.org/officeDocument/2006/relationships/hyperlink" Target="https://scholar.google.com/scholar_case?case=4726768930439101066&amp;hl=en&amp;as_sdt=6,24" TargetMode="External"/><Relationship Id="rId12" Type="http://schemas.openxmlformats.org/officeDocument/2006/relationships/hyperlink" Target="https://birnberglegalwebsite.net/2019/07/22/mungall-v-garry-the-court-of-appeals-misconstrues-the-21-day-clock-in-minn-stat-%c2%a7-504b-178-2/" TargetMode="External"/><Relationship Id="rId17" Type="http://schemas.openxmlformats.org/officeDocument/2006/relationships/hyperlink" Target="http://www.mnhousing.gov/get/MHFA_006416" TargetMode="External"/><Relationship Id="rId25" Type="http://schemas.openxmlformats.org/officeDocument/2006/relationships/hyperlink" Target="https://www.law.cornell.edu" TargetMode="External"/><Relationship Id="rId33" Type="http://schemas.openxmlformats.org/officeDocument/2006/relationships/hyperlink" Target="https://scholar.google.com/scholar_case?case=1844697935527226248&amp;hl=en&amp;as_sdt=6,24" TargetMode="External"/><Relationship Id="rId2" Type="http://schemas.openxmlformats.org/officeDocument/2006/relationships/hyperlink" Target="https://www.revisor.mn.gov/statutes/1971/cite/504/pdf" TargetMode="External"/><Relationship Id="rId16" Type="http://schemas.openxmlformats.org/officeDocument/2006/relationships/hyperlink" Target="http://www.mnhousing.gov/get/MHFA_006416" TargetMode="External"/><Relationship Id="rId20" Type="http://schemas.openxmlformats.org/officeDocument/2006/relationships/hyperlink" Target="https://finance-commerce.com/2010/10/mha-maintains-strong-representation-at-capitol/" TargetMode="External"/><Relationship Id="rId29" Type="http://schemas.openxmlformats.org/officeDocument/2006/relationships/hyperlink" Target="https://birnberglegalwebsite.net/wp-content/uploads/2020/05/security-deposit-leg-hist-1973-minn-laws-ch-561-by-adam-van-alstyne-.pdf" TargetMode="External"/><Relationship Id="rId1" Type="http://schemas.openxmlformats.org/officeDocument/2006/relationships/hyperlink" Target="http://homelinemn.org/wp-content/uploads/Sec-Dep-Laws%20(1971-2014).pdf" TargetMode="External"/><Relationship Id="rId6" Type="http://schemas.openxmlformats.org/officeDocument/2006/relationships/hyperlink" Target="https://scholar.google.com/scholar_case?case=11530374112521815765&amp;hl=en&amp;as_sdt=6,24" TargetMode="External"/><Relationship Id="rId11" Type="http://schemas.openxmlformats.org/officeDocument/2006/relationships/hyperlink" Target="https://homelinemn.org/wp-content/uploads/Babler-v.-Penn-No.-62-CV-13-1539.pdf" TargetMode="External"/><Relationship Id="rId24" Type="http://schemas.openxmlformats.org/officeDocument/2006/relationships/hyperlink" Target="https://birnberglegalwebsite.files.wordpress.com/2021/04/security-deposit-legislative-history-of-504b-subd-8-penalty.pdf" TargetMode="External"/><Relationship Id="rId32" Type="http://schemas.openxmlformats.org/officeDocument/2006/relationships/hyperlink" Target="https://scholar.google.com/scholar_case?case=624112553509316764&amp;hl=en&amp;as_sdt=6,24" TargetMode="External"/><Relationship Id="rId5" Type="http://schemas.openxmlformats.org/officeDocument/2006/relationships/hyperlink" Target="https://www.revisor.mn.gov/laws/2024/0/85/laws.0.105.0" TargetMode="External"/><Relationship Id="rId15" Type="http://schemas.openxmlformats.org/officeDocument/2006/relationships/hyperlink" Target="http://www.mnhousing.gov/get/MHFA_006416" TargetMode="External"/><Relationship Id="rId23" Type="http://schemas.openxmlformats.org/officeDocument/2006/relationships/hyperlink" Target="https://birnberglegalwebsite.files.wordpress.com/2021/04/johnson-v-schoen-trial-court-order.pdf" TargetMode="External"/><Relationship Id="rId28" Type="http://schemas.openxmlformats.org/officeDocument/2006/relationships/hyperlink" Target="https://birnberglegalwebsite.files.wordpress.com/2021/02/national-corporation-for-housing-vs-liberty-state-bank-504.20-district-court-order.pdf" TargetMode="External"/><Relationship Id="rId10" Type="http://schemas.openxmlformats.org/officeDocument/2006/relationships/hyperlink" Target="https://scholar.google.com/scholar_case?case=6954447352319352225&amp;hl=en&amp;as_sdt=6,24" TargetMode="External"/><Relationship Id="rId19" Type="http://schemas.openxmlformats.org/officeDocument/2006/relationships/hyperlink" Target="https://www.mmha.com/FAQ" TargetMode="External"/><Relationship Id="rId31" Type="http://schemas.openxmlformats.org/officeDocument/2006/relationships/hyperlink" Target="https://www.irs.gov/pub/irs-wd/1998-020.pdf" TargetMode="External"/><Relationship Id="rId4" Type="http://schemas.openxmlformats.org/officeDocument/2006/relationships/hyperlink" Target="https://www.revisor.mn.gov/laws/?id=725&amp;year=1973&amp;type=0" TargetMode="External"/><Relationship Id="rId9" Type="http://schemas.openxmlformats.org/officeDocument/2006/relationships/hyperlink" Target="https://scholar.google.com/scholar_case?case=6954447352319352225&amp;hl=en&amp;as_sdt=6,24" TargetMode="External"/><Relationship Id="rId14" Type="http://schemas.openxmlformats.org/officeDocument/2006/relationships/hyperlink" Target="https://birnberglegalwebsite.files.wordpress.com/2021/04/vogt-v.-demeules.pdf" TargetMode="External"/><Relationship Id="rId22" Type="http://schemas.openxmlformats.org/officeDocument/2006/relationships/hyperlink" Target="https://scholar.google.com/scholar_case?case=12537742026468241354&amp;hl=en&amp;as_sdt=6,24" TargetMode="External"/><Relationship Id="rId27" Type="http://schemas.openxmlformats.org/officeDocument/2006/relationships/hyperlink" Target="https://birnberglegalwebsite.files.wordpress.com/2021/02/national-corporation-for-housing-vs-liberty-state-bank-504.20-district-court-order.pdf" TargetMode="External"/><Relationship Id="rId30" Type="http://schemas.openxmlformats.org/officeDocument/2006/relationships/hyperlink" Target="https://birnberglegalwebsite.files.wordpress.com/2021/04/realtors-assn-lobbyist-letter-re-82.55-fiduciary-clause-in-statute.pdf" TargetMode="External"/><Relationship Id="rId35" Type="http://schemas.openxmlformats.org/officeDocument/2006/relationships/hyperlink" Target="http://homelinemn.org/wp-content/uploads/security-deposit-interest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F384E4-35EF-4981-9FE0-12E0F86C4B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7130</Words>
  <Characters>40642</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Hauge</dc:creator>
  <cp:keywords/>
  <dc:description/>
  <cp:lastModifiedBy>User</cp:lastModifiedBy>
  <cp:revision>2</cp:revision>
  <cp:lastPrinted>2024-07-04T13:52:00Z</cp:lastPrinted>
  <dcterms:created xsi:type="dcterms:W3CDTF">2024-07-04T14:15:00Z</dcterms:created>
  <dcterms:modified xsi:type="dcterms:W3CDTF">2024-07-04T14:15:00Z</dcterms:modified>
</cp:coreProperties>
</file>