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7D540A" w14:textId="345EA680" w:rsidR="003D204F" w:rsidRPr="00302A34" w:rsidRDefault="003D204F" w:rsidP="00302A34">
      <w:pPr>
        <w:jc w:val="center"/>
        <w:rPr>
          <w:rFonts w:ascii="Georgia" w:hAnsi="Georgia"/>
          <w:b/>
          <w:bCs/>
          <w:sz w:val="30"/>
          <w:szCs w:val="30"/>
        </w:rPr>
      </w:pPr>
      <w:r w:rsidRPr="00302A34">
        <w:rPr>
          <w:rFonts w:ascii="Georgia" w:hAnsi="Georgia"/>
          <w:b/>
          <w:bCs/>
          <w:sz w:val="30"/>
          <w:szCs w:val="30"/>
        </w:rPr>
        <w:t>Under 26 U.S.C. § 42(h)(6)(E)(i)(I)</w:t>
      </w:r>
      <w:r w:rsidRPr="00302A34">
        <w:rPr>
          <w:rFonts w:ascii="Georgia" w:hAnsi="Georgia"/>
          <w:b/>
          <w:bCs/>
          <w:color w:val="212121"/>
          <w:sz w:val="30"/>
          <w:szCs w:val="30"/>
        </w:rPr>
        <w:t>, u</w:t>
      </w:r>
      <w:r w:rsidRPr="00302A34">
        <w:rPr>
          <w:rFonts w:ascii="Georgia" w:hAnsi="Georgia"/>
          <w:b/>
          <w:bCs/>
          <w:sz w:val="30"/>
          <w:szCs w:val="30"/>
        </w:rPr>
        <w:t xml:space="preserve">nlike </w:t>
      </w:r>
      <w:r w:rsidR="00302A34">
        <w:rPr>
          <w:rFonts w:ascii="Georgia" w:hAnsi="Georgia"/>
          <w:b/>
          <w:bCs/>
          <w:sz w:val="30"/>
          <w:szCs w:val="30"/>
        </w:rPr>
        <w:t xml:space="preserve">a </w:t>
      </w:r>
      <w:r w:rsidRPr="00302A34">
        <w:rPr>
          <w:rFonts w:ascii="Georgia" w:hAnsi="Georgia"/>
          <w:b/>
          <w:bCs/>
          <w:sz w:val="30"/>
          <w:szCs w:val="30"/>
        </w:rPr>
        <w:t>Foreclosure, Tax Forfeiture Does Not Allow a Low</w:t>
      </w:r>
      <w:r w:rsidR="00021087">
        <w:rPr>
          <w:rFonts w:ascii="Georgia" w:hAnsi="Georgia"/>
          <w:b/>
          <w:bCs/>
          <w:sz w:val="30"/>
          <w:szCs w:val="30"/>
        </w:rPr>
        <w:t>-</w:t>
      </w:r>
      <w:r w:rsidRPr="00302A34">
        <w:rPr>
          <w:rFonts w:ascii="Georgia" w:hAnsi="Georgia"/>
          <w:b/>
          <w:bCs/>
          <w:sz w:val="30"/>
          <w:szCs w:val="30"/>
        </w:rPr>
        <w:t>Income</w:t>
      </w:r>
      <w:r w:rsidR="00021087">
        <w:rPr>
          <w:rFonts w:ascii="Georgia" w:hAnsi="Georgia"/>
          <w:b/>
          <w:bCs/>
          <w:sz w:val="30"/>
          <w:szCs w:val="30"/>
        </w:rPr>
        <w:t>-</w:t>
      </w:r>
      <w:r w:rsidRPr="00302A34">
        <w:rPr>
          <w:rFonts w:ascii="Georgia" w:hAnsi="Georgia"/>
          <w:b/>
          <w:bCs/>
          <w:sz w:val="30"/>
          <w:szCs w:val="30"/>
        </w:rPr>
        <w:t>Housing</w:t>
      </w:r>
      <w:r w:rsidR="00021087">
        <w:rPr>
          <w:rFonts w:ascii="Georgia" w:hAnsi="Georgia"/>
          <w:b/>
          <w:bCs/>
          <w:sz w:val="30"/>
          <w:szCs w:val="30"/>
        </w:rPr>
        <w:t>-</w:t>
      </w:r>
      <w:r w:rsidRPr="00302A34">
        <w:rPr>
          <w:rFonts w:ascii="Georgia" w:hAnsi="Georgia"/>
          <w:b/>
          <w:bCs/>
          <w:sz w:val="30"/>
          <w:szCs w:val="30"/>
        </w:rPr>
        <w:t>Tax</w:t>
      </w:r>
      <w:r w:rsidR="00021087">
        <w:rPr>
          <w:rFonts w:ascii="Georgia" w:hAnsi="Georgia"/>
          <w:b/>
          <w:bCs/>
          <w:sz w:val="30"/>
          <w:szCs w:val="30"/>
        </w:rPr>
        <w:t>-</w:t>
      </w:r>
      <w:r w:rsidRPr="00302A34">
        <w:rPr>
          <w:rFonts w:ascii="Georgia" w:hAnsi="Georgia"/>
          <w:b/>
          <w:bCs/>
          <w:sz w:val="30"/>
          <w:szCs w:val="30"/>
        </w:rPr>
        <w:t xml:space="preserve"> Credit Landlord to Avoid the Extended Use Period</w:t>
      </w:r>
    </w:p>
    <w:p w14:paraId="6F52FAFD" w14:textId="2234B8FB" w:rsidR="003D204F" w:rsidRPr="0034593C" w:rsidRDefault="00162F69" w:rsidP="00B14BE8">
      <w:pPr>
        <w:rPr>
          <w:rFonts w:ascii="Georgia" w:hAnsi="Georgia"/>
          <w:sz w:val="28"/>
          <w:szCs w:val="28"/>
          <w:u w:val="single"/>
        </w:rPr>
      </w:pPr>
      <w:r>
        <w:rPr>
          <w:rFonts w:ascii="Georgia" w:hAnsi="Georgia"/>
          <w:sz w:val="28"/>
          <w:szCs w:val="28"/>
          <w:u w:val="single"/>
        </w:rPr>
        <w:t>Introduction</w:t>
      </w:r>
    </w:p>
    <w:p w14:paraId="39F76BE5" w14:textId="4A6317CB" w:rsidR="00C3514E" w:rsidRDefault="00C3514E" w:rsidP="00B14BE8">
      <w:pPr>
        <w:rPr>
          <w:rFonts w:ascii="Georgia" w:hAnsi="Georgia"/>
          <w:sz w:val="28"/>
          <w:szCs w:val="28"/>
        </w:rPr>
      </w:pPr>
      <w:r>
        <w:rPr>
          <w:rFonts w:ascii="Georgia" w:hAnsi="Georgia"/>
          <w:sz w:val="28"/>
          <w:szCs w:val="28"/>
        </w:rPr>
        <w:t>The Low</w:t>
      </w:r>
      <w:r w:rsidR="0034593C">
        <w:rPr>
          <w:rFonts w:ascii="Georgia" w:hAnsi="Georgia"/>
          <w:sz w:val="28"/>
          <w:szCs w:val="28"/>
        </w:rPr>
        <w:t xml:space="preserve"> </w:t>
      </w:r>
      <w:r>
        <w:rPr>
          <w:rFonts w:ascii="Georgia" w:hAnsi="Georgia"/>
          <w:sz w:val="28"/>
          <w:szCs w:val="28"/>
        </w:rPr>
        <w:t>Income Housing Tax Credit subsidized-housing program, often called “LIHTC” or “Section 42” housing, is a program created under the Internal Revenue Code, specifically IRC Section 42 (26 U.S.C. §</w:t>
      </w:r>
      <w:r w:rsidR="00DA7077">
        <w:rPr>
          <w:rFonts w:ascii="Georgia" w:hAnsi="Georgia"/>
          <w:sz w:val="28"/>
          <w:szCs w:val="28"/>
        </w:rPr>
        <w:t xml:space="preserve"> </w:t>
      </w:r>
      <w:r>
        <w:rPr>
          <w:rFonts w:ascii="Georgia" w:hAnsi="Georgia"/>
          <w:sz w:val="28"/>
          <w:szCs w:val="28"/>
        </w:rPr>
        <w:t xml:space="preserve">42). </w:t>
      </w:r>
    </w:p>
    <w:p w14:paraId="1EF0B54C" w14:textId="5B1B1882" w:rsidR="00C3514E" w:rsidRDefault="00C3514E" w:rsidP="00B14BE8">
      <w:pPr>
        <w:rPr>
          <w:rFonts w:ascii="Georgia" w:hAnsi="Georgia"/>
          <w:color w:val="FF0000"/>
          <w:sz w:val="28"/>
          <w:szCs w:val="28"/>
        </w:rPr>
      </w:pPr>
      <w:r>
        <w:rPr>
          <w:rFonts w:ascii="Georgia" w:hAnsi="Georgia"/>
          <w:sz w:val="28"/>
          <w:szCs w:val="28"/>
        </w:rPr>
        <w:t>A good summary of the program is set out in a law review by Jeanne Peterson.</w:t>
      </w:r>
      <w:r w:rsidR="00FA13E0">
        <w:rPr>
          <w:rStyle w:val="FootnoteReference"/>
          <w:rFonts w:ascii="Georgia" w:hAnsi="Georgia"/>
          <w:sz w:val="28"/>
          <w:szCs w:val="28"/>
        </w:rPr>
        <w:footnoteReference w:id="1"/>
      </w:r>
      <w:r>
        <w:rPr>
          <w:rFonts w:ascii="Georgia" w:hAnsi="Georgia"/>
          <w:sz w:val="28"/>
          <w:szCs w:val="28"/>
        </w:rPr>
        <w:t xml:space="preserve"> </w:t>
      </w:r>
      <w:r w:rsidR="00F9567B">
        <w:rPr>
          <w:rFonts w:ascii="Georgia" w:hAnsi="Georgia"/>
          <w:sz w:val="28"/>
          <w:szCs w:val="28"/>
        </w:rPr>
        <w:t>B</w:t>
      </w:r>
      <w:r>
        <w:rPr>
          <w:rFonts w:ascii="Georgia" w:hAnsi="Georgia"/>
          <w:sz w:val="28"/>
          <w:szCs w:val="28"/>
        </w:rPr>
        <w:t xml:space="preserve">riefly, in return for tax credits, the developer/landlord of a LIHTC </w:t>
      </w:r>
      <w:r w:rsidR="00A33FD5">
        <w:rPr>
          <w:rFonts w:ascii="Georgia" w:hAnsi="Georgia"/>
          <w:sz w:val="28"/>
          <w:szCs w:val="28"/>
        </w:rPr>
        <w:t>building</w:t>
      </w:r>
      <w:r>
        <w:rPr>
          <w:rFonts w:ascii="Georgia" w:hAnsi="Georgia"/>
          <w:sz w:val="28"/>
          <w:szCs w:val="28"/>
        </w:rPr>
        <w:t xml:space="preserve"> agrees to rent to low-income occupants </w:t>
      </w:r>
      <w:r w:rsidR="00AA4538">
        <w:rPr>
          <w:rFonts w:ascii="Georgia" w:hAnsi="Georgia"/>
          <w:sz w:val="28"/>
          <w:szCs w:val="28"/>
        </w:rPr>
        <w:t xml:space="preserve">at rents </w:t>
      </w:r>
      <w:r>
        <w:rPr>
          <w:rFonts w:ascii="Georgia" w:hAnsi="Georgia"/>
          <w:sz w:val="28"/>
          <w:szCs w:val="28"/>
        </w:rPr>
        <w:t xml:space="preserve">below certain caps. The tax credits are paid out during the 15 years after the </w:t>
      </w:r>
      <w:r w:rsidR="00162F69">
        <w:rPr>
          <w:rFonts w:ascii="Georgia" w:hAnsi="Georgia"/>
          <w:sz w:val="28"/>
          <w:szCs w:val="28"/>
        </w:rPr>
        <w:t>building opens to tenants</w:t>
      </w:r>
      <w:r>
        <w:rPr>
          <w:rFonts w:ascii="Georgia" w:hAnsi="Georgia"/>
          <w:sz w:val="28"/>
          <w:szCs w:val="28"/>
        </w:rPr>
        <w:t>. This period is the “compliance period”, during which the landlord must obey a host of section-42 rules. After the end of the 15 years</w:t>
      </w:r>
      <w:r w:rsidR="00F9567B">
        <w:rPr>
          <w:rFonts w:ascii="Georgia" w:hAnsi="Georgia"/>
          <w:sz w:val="28"/>
          <w:szCs w:val="28"/>
        </w:rPr>
        <w:t>,</w:t>
      </w:r>
      <w:r w:rsidR="00DA7077">
        <w:rPr>
          <w:rFonts w:ascii="Georgia" w:hAnsi="Georgia"/>
          <w:sz w:val="28"/>
          <w:szCs w:val="28"/>
        </w:rPr>
        <w:t xml:space="preserve"> </w:t>
      </w:r>
      <w:r>
        <w:rPr>
          <w:rFonts w:ascii="Georgia" w:hAnsi="Georgia"/>
          <w:sz w:val="28"/>
          <w:szCs w:val="28"/>
        </w:rPr>
        <w:t xml:space="preserve">for another 15 years – the </w:t>
      </w:r>
      <w:r w:rsidR="00544B7E">
        <w:rPr>
          <w:rFonts w:ascii="Georgia" w:hAnsi="Georgia"/>
          <w:sz w:val="28"/>
          <w:szCs w:val="28"/>
        </w:rPr>
        <w:t xml:space="preserve">“extended </w:t>
      </w:r>
      <w:r>
        <w:rPr>
          <w:rFonts w:ascii="Georgia" w:hAnsi="Georgia"/>
          <w:sz w:val="28"/>
          <w:szCs w:val="28"/>
        </w:rPr>
        <w:t>use period” – the landlord must still obey many of the rules, including the most important ones</w:t>
      </w:r>
      <w:r w:rsidR="00B038F7">
        <w:rPr>
          <w:rFonts w:ascii="Georgia" w:hAnsi="Georgia"/>
          <w:sz w:val="28"/>
          <w:szCs w:val="28"/>
        </w:rPr>
        <w:t xml:space="preserve"> -- </w:t>
      </w:r>
      <w:r>
        <w:rPr>
          <w:rFonts w:ascii="Georgia" w:hAnsi="Georgia"/>
          <w:sz w:val="28"/>
          <w:szCs w:val="28"/>
        </w:rPr>
        <w:t>the rent cap</w:t>
      </w:r>
      <w:r w:rsidR="00A33FD5">
        <w:rPr>
          <w:rFonts w:ascii="Georgia" w:hAnsi="Georgia"/>
          <w:sz w:val="28"/>
          <w:szCs w:val="28"/>
        </w:rPr>
        <w:t>s</w:t>
      </w:r>
      <w:r>
        <w:rPr>
          <w:rFonts w:ascii="Georgia" w:hAnsi="Georgia"/>
          <w:sz w:val="28"/>
          <w:szCs w:val="28"/>
        </w:rPr>
        <w:t xml:space="preserve">, no eviction except for good cause, and no discrimination </w:t>
      </w:r>
      <w:r w:rsidR="00A51CC5">
        <w:rPr>
          <w:rFonts w:ascii="Georgia" w:hAnsi="Georgia"/>
          <w:sz w:val="28"/>
          <w:szCs w:val="28"/>
        </w:rPr>
        <w:t>against</w:t>
      </w:r>
      <w:r>
        <w:rPr>
          <w:rFonts w:ascii="Georgia" w:hAnsi="Georgia"/>
          <w:sz w:val="28"/>
          <w:szCs w:val="28"/>
        </w:rPr>
        <w:t xml:space="preserve"> voucher-holding </w:t>
      </w:r>
      <w:r w:rsidR="00AA4538">
        <w:rPr>
          <w:rFonts w:ascii="Georgia" w:hAnsi="Georgia"/>
          <w:sz w:val="28"/>
          <w:szCs w:val="28"/>
        </w:rPr>
        <w:t xml:space="preserve">applicants </w:t>
      </w:r>
      <w:r w:rsidR="00162F69">
        <w:rPr>
          <w:rFonts w:ascii="Georgia" w:hAnsi="Georgia"/>
          <w:sz w:val="28"/>
          <w:szCs w:val="28"/>
        </w:rPr>
        <w:t>and</w:t>
      </w:r>
      <w:r w:rsidR="00AA4538">
        <w:rPr>
          <w:rFonts w:ascii="Georgia" w:hAnsi="Georgia"/>
          <w:sz w:val="28"/>
          <w:szCs w:val="28"/>
        </w:rPr>
        <w:t xml:space="preserve"> tenants.</w:t>
      </w:r>
      <w:r w:rsidR="00544B7E" w:rsidRPr="00544B7E">
        <w:rPr>
          <w:rFonts w:ascii="Georgia" w:hAnsi="Georgia"/>
          <w:color w:val="FF0000"/>
          <w:sz w:val="28"/>
          <w:szCs w:val="28"/>
        </w:rPr>
        <w:t xml:space="preserve"> </w:t>
      </w:r>
      <w:hyperlink r:id="rId8" w:history="1">
        <w:r w:rsidR="005040B2" w:rsidRPr="009A5E89">
          <w:rPr>
            <w:rStyle w:val="Hyperlink"/>
            <w:rFonts w:ascii="Georgia" w:hAnsi="Georgia"/>
            <w:sz w:val="28"/>
            <w:szCs w:val="28"/>
          </w:rPr>
          <w:t>26 U.S.C. § 42(h)(6)(</w:t>
        </w:r>
        <w:r w:rsidR="005040B2">
          <w:rPr>
            <w:rStyle w:val="Hyperlink"/>
            <w:rFonts w:ascii="Georgia" w:hAnsi="Georgia"/>
            <w:sz w:val="28"/>
            <w:szCs w:val="28"/>
          </w:rPr>
          <w:t>B</w:t>
        </w:r>
        <w:r w:rsidR="005040B2" w:rsidRPr="009A5E89">
          <w:rPr>
            <w:rStyle w:val="Hyperlink"/>
            <w:rFonts w:ascii="Georgia" w:hAnsi="Georgia"/>
            <w:sz w:val="28"/>
            <w:szCs w:val="28"/>
          </w:rPr>
          <w:t>)</w:t>
        </w:r>
      </w:hyperlink>
      <w:r w:rsidR="00162F69">
        <w:rPr>
          <w:rFonts w:ascii="Georgia" w:hAnsi="Georgia"/>
          <w:color w:val="212121"/>
          <w:sz w:val="28"/>
          <w:szCs w:val="28"/>
        </w:rPr>
        <w:t xml:space="preserve">; </w:t>
      </w:r>
      <w:hyperlink r:id="rId9" w:history="1">
        <w:r w:rsidR="005040B2" w:rsidRPr="009A5E89">
          <w:rPr>
            <w:rStyle w:val="Hyperlink"/>
            <w:rFonts w:ascii="Georgia" w:hAnsi="Georgia"/>
            <w:sz w:val="28"/>
            <w:szCs w:val="28"/>
          </w:rPr>
          <w:t>26 U.S.C. § 42(h)(6)(</w:t>
        </w:r>
        <w:r w:rsidR="005040B2">
          <w:rPr>
            <w:rStyle w:val="Hyperlink"/>
            <w:rFonts w:ascii="Georgia" w:hAnsi="Georgia"/>
            <w:sz w:val="28"/>
            <w:szCs w:val="28"/>
          </w:rPr>
          <w:t>E</w:t>
        </w:r>
        <w:r w:rsidR="005040B2" w:rsidRPr="009A5E89">
          <w:rPr>
            <w:rStyle w:val="Hyperlink"/>
            <w:rFonts w:ascii="Georgia" w:hAnsi="Georgia"/>
            <w:sz w:val="28"/>
            <w:szCs w:val="28"/>
          </w:rPr>
          <w:t>)(i)</w:t>
        </w:r>
        <w:r w:rsidR="005040B2">
          <w:rPr>
            <w:rStyle w:val="Hyperlink"/>
            <w:rFonts w:ascii="Georgia" w:hAnsi="Georgia"/>
            <w:sz w:val="28"/>
            <w:szCs w:val="28"/>
          </w:rPr>
          <w:t>(</w:t>
        </w:r>
        <w:r w:rsidR="005040B2" w:rsidRPr="009A5E89">
          <w:rPr>
            <w:rStyle w:val="Hyperlink"/>
            <w:rFonts w:ascii="Georgia" w:hAnsi="Georgia"/>
            <w:sz w:val="28"/>
            <w:szCs w:val="28"/>
          </w:rPr>
          <w:t>I)</w:t>
        </w:r>
      </w:hyperlink>
      <w:r w:rsidR="00162F69">
        <w:rPr>
          <w:rFonts w:ascii="Georgia" w:hAnsi="Georgia"/>
          <w:color w:val="212121"/>
          <w:sz w:val="28"/>
          <w:szCs w:val="28"/>
        </w:rPr>
        <w:t>;</w:t>
      </w:r>
      <w:r w:rsidR="005040B2">
        <w:rPr>
          <w:rFonts w:ascii="Georgia" w:hAnsi="Georgia"/>
          <w:color w:val="212121"/>
          <w:sz w:val="28"/>
          <w:szCs w:val="28"/>
        </w:rPr>
        <w:t xml:space="preserve"> </w:t>
      </w:r>
      <w:hyperlink r:id="rId10" w:history="1">
        <w:r w:rsidR="005040B2">
          <w:rPr>
            <w:rStyle w:val="Hyperlink"/>
            <w:rFonts w:ascii="Georgia" w:hAnsi="Georgia"/>
            <w:sz w:val="28"/>
            <w:szCs w:val="28"/>
          </w:rPr>
          <w:t>I</w:t>
        </w:r>
        <w:r w:rsidR="005040B2" w:rsidRPr="005040B2">
          <w:rPr>
            <w:rStyle w:val="Hyperlink"/>
            <w:rFonts w:ascii="Georgia" w:hAnsi="Georgia"/>
            <w:sz w:val="28"/>
            <w:szCs w:val="28"/>
          </w:rPr>
          <w:t>R</w:t>
        </w:r>
        <w:r w:rsidR="005040B2">
          <w:rPr>
            <w:rStyle w:val="Hyperlink"/>
            <w:rFonts w:ascii="Georgia" w:hAnsi="Georgia"/>
            <w:sz w:val="28"/>
            <w:szCs w:val="28"/>
          </w:rPr>
          <w:t>S Revenue Ruling</w:t>
        </w:r>
        <w:r w:rsidR="005040B2" w:rsidRPr="005040B2">
          <w:rPr>
            <w:rStyle w:val="Hyperlink"/>
            <w:rFonts w:ascii="Georgia" w:hAnsi="Georgia"/>
            <w:sz w:val="28"/>
            <w:szCs w:val="28"/>
          </w:rPr>
          <w:t xml:space="preserve"> 2004-82</w:t>
        </w:r>
        <w:r w:rsidR="005040B2">
          <w:rPr>
            <w:rStyle w:val="Hyperlink"/>
            <w:rFonts w:ascii="Georgia" w:hAnsi="Georgia"/>
            <w:sz w:val="28"/>
            <w:szCs w:val="28"/>
          </w:rPr>
          <w:t xml:space="preserve">, </w:t>
        </w:r>
        <w:r w:rsidR="00A51CC5">
          <w:rPr>
            <w:rStyle w:val="Hyperlink"/>
            <w:rFonts w:ascii="Georgia" w:hAnsi="Georgia"/>
            <w:sz w:val="28"/>
            <w:szCs w:val="28"/>
          </w:rPr>
          <w:t>Q&amp;A #5 (Aug. 30, 2004)</w:t>
        </w:r>
      </w:hyperlink>
      <w:r w:rsidR="00A51CC5">
        <w:rPr>
          <w:rFonts w:ascii="Georgia" w:hAnsi="Georgia"/>
          <w:color w:val="212121"/>
          <w:sz w:val="28"/>
          <w:szCs w:val="28"/>
        </w:rPr>
        <w:t>.</w:t>
      </w:r>
    </w:p>
    <w:p w14:paraId="34E7BE43" w14:textId="3524C2EF" w:rsidR="00A33FD5" w:rsidRDefault="00544B7E" w:rsidP="00B14BE8">
      <w:pPr>
        <w:rPr>
          <w:rFonts w:ascii="Georgia" w:hAnsi="Georgia"/>
          <w:color w:val="212121"/>
          <w:sz w:val="28"/>
          <w:szCs w:val="28"/>
        </w:rPr>
      </w:pPr>
      <w:r w:rsidRPr="00544B7E">
        <w:rPr>
          <w:rFonts w:ascii="Georgia" w:hAnsi="Georgia"/>
          <w:color w:val="212121"/>
          <w:sz w:val="28"/>
          <w:szCs w:val="28"/>
        </w:rPr>
        <w:t xml:space="preserve">In </w:t>
      </w:r>
      <w:r>
        <w:rPr>
          <w:rFonts w:ascii="Georgia" w:hAnsi="Georgia"/>
          <w:color w:val="212121"/>
          <w:sz w:val="28"/>
          <w:szCs w:val="28"/>
        </w:rPr>
        <w:t>two</w:t>
      </w:r>
      <w:r w:rsidRPr="00544B7E">
        <w:rPr>
          <w:rFonts w:ascii="Georgia" w:hAnsi="Georgia"/>
          <w:color w:val="212121"/>
          <w:sz w:val="28"/>
          <w:szCs w:val="28"/>
        </w:rPr>
        <w:t xml:space="preserve"> situ</w:t>
      </w:r>
      <w:r>
        <w:rPr>
          <w:rFonts w:ascii="Georgia" w:hAnsi="Georgia"/>
          <w:color w:val="212121"/>
          <w:sz w:val="28"/>
          <w:szCs w:val="28"/>
        </w:rPr>
        <w:t>a</w:t>
      </w:r>
      <w:r w:rsidRPr="00544B7E">
        <w:rPr>
          <w:rFonts w:ascii="Georgia" w:hAnsi="Georgia"/>
          <w:color w:val="212121"/>
          <w:sz w:val="28"/>
          <w:szCs w:val="28"/>
        </w:rPr>
        <w:t xml:space="preserve">tions, </w:t>
      </w:r>
      <w:r w:rsidR="00F9567B">
        <w:rPr>
          <w:rFonts w:ascii="Georgia" w:hAnsi="Georgia"/>
          <w:color w:val="212121"/>
          <w:sz w:val="28"/>
          <w:szCs w:val="28"/>
        </w:rPr>
        <w:t>a</w:t>
      </w:r>
      <w:r>
        <w:rPr>
          <w:rFonts w:ascii="Georgia" w:hAnsi="Georgia"/>
          <w:color w:val="212121"/>
          <w:sz w:val="28"/>
          <w:szCs w:val="28"/>
        </w:rPr>
        <w:t xml:space="preserve"> landlord is excused from the extended-use period: </w:t>
      </w:r>
    </w:p>
    <w:p w14:paraId="69C7CAA5" w14:textId="06A48E24" w:rsidR="00A33FD5" w:rsidRDefault="00544B7E" w:rsidP="0034593C">
      <w:pPr>
        <w:ind w:left="720"/>
        <w:rPr>
          <w:rFonts w:ascii="Georgia" w:hAnsi="Georgia"/>
          <w:color w:val="FF0000"/>
          <w:sz w:val="28"/>
          <w:szCs w:val="28"/>
        </w:rPr>
      </w:pPr>
      <w:r>
        <w:rPr>
          <w:rFonts w:ascii="Georgia" w:hAnsi="Georgia"/>
          <w:color w:val="212121"/>
          <w:sz w:val="28"/>
          <w:szCs w:val="28"/>
        </w:rPr>
        <w:t xml:space="preserve">[1] No buyer is available and willing to continue to operate the </w:t>
      </w:r>
      <w:r w:rsidR="00A33FD5">
        <w:rPr>
          <w:rFonts w:ascii="Georgia" w:hAnsi="Georgia"/>
          <w:color w:val="212121"/>
          <w:sz w:val="28"/>
          <w:szCs w:val="28"/>
        </w:rPr>
        <w:t>building</w:t>
      </w:r>
      <w:r>
        <w:rPr>
          <w:rFonts w:ascii="Georgia" w:hAnsi="Georgia"/>
          <w:color w:val="212121"/>
          <w:sz w:val="28"/>
          <w:szCs w:val="28"/>
        </w:rPr>
        <w:t xml:space="preserve"> under the low-income rules as of the last day of the compliance</w:t>
      </w:r>
      <w:r w:rsidR="00A33FD5">
        <w:rPr>
          <w:rFonts w:ascii="Georgia" w:hAnsi="Georgia"/>
          <w:color w:val="212121"/>
          <w:sz w:val="28"/>
          <w:szCs w:val="28"/>
        </w:rPr>
        <w:t xml:space="preserve"> period</w:t>
      </w:r>
      <w:r w:rsidR="007C7D30">
        <w:rPr>
          <w:rFonts w:ascii="Georgia" w:hAnsi="Georgia"/>
          <w:color w:val="212121"/>
          <w:sz w:val="28"/>
          <w:szCs w:val="28"/>
        </w:rPr>
        <w:t>;</w:t>
      </w:r>
      <w:r w:rsidR="00BE5F5C">
        <w:rPr>
          <w:rStyle w:val="FootnoteReference"/>
          <w:rFonts w:ascii="Georgia" w:hAnsi="Georgia"/>
          <w:color w:val="212121"/>
          <w:sz w:val="28"/>
          <w:szCs w:val="28"/>
        </w:rPr>
        <w:footnoteReference w:id="2"/>
      </w:r>
      <w:r w:rsidR="00BE5F5C">
        <w:rPr>
          <w:rFonts w:ascii="Georgia" w:hAnsi="Georgia"/>
          <w:color w:val="212121"/>
          <w:sz w:val="28"/>
          <w:szCs w:val="28"/>
        </w:rPr>
        <w:t xml:space="preserve"> or</w:t>
      </w:r>
      <w:r>
        <w:rPr>
          <w:rFonts w:ascii="Georgia" w:hAnsi="Georgia"/>
          <w:color w:val="FF0000"/>
          <w:sz w:val="28"/>
          <w:szCs w:val="28"/>
        </w:rPr>
        <w:t xml:space="preserve"> </w:t>
      </w:r>
    </w:p>
    <w:p w14:paraId="29C9C763" w14:textId="480BDB36" w:rsidR="00A33FD5" w:rsidRPr="009A5E89" w:rsidRDefault="00544B7E" w:rsidP="0034593C">
      <w:pPr>
        <w:ind w:left="720"/>
        <w:rPr>
          <w:rFonts w:ascii="Georgia" w:hAnsi="Georgia"/>
          <w:color w:val="212121"/>
          <w:sz w:val="28"/>
          <w:szCs w:val="28"/>
        </w:rPr>
      </w:pPr>
      <w:r w:rsidRPr="009A5E89">
        <w:rPr>
          <w:rFonts w:ascii="Georgia" w:hAnsi="Georgia"/>
          <w:color w:val="212121"/>
          <w:sz w:val="28"/>
          <w:szCs w:val="28"/>
        </w:rPr>
        <w:t xml:space="preserve">[2] </w:t>
      </w:r>
      <w:r w:rsidR="007C7D30">
        <w:rPr>
          <w:rFonts w:ascii="Georgia" w:hAnsi="Georgia"/>
          <w:color w:val="212121"/>
          <w:sz w:val="28"/>
          <w:szCs w:val="28"/>
        </w:rPr>
        <w:t>t</w:t>
      </w:r>
      <w:r w:rsidR="00A33FD5" w:rsidRPr="009A5E89">
        <w:rPr>
          <w:rFonts w:ascii="Georgia" w:hAnsi="Georgia"/>
          <w:color w:val="212121"/>
          <w:sz w:val="28"/>
          <w:szCs w:val="28"/>
        </w:rPr>
        <w:t xml:space="preserve">he building is foreclosed on in good faith. Specifically, </w:t>
      </w:r>
      <w:hyperlink r:id="rId11" w:history="1">
        <w:r w:rsidR="009A5E89" w:rsidRPr="009A5E89">
          <w:rPr>
            <w:rStyle w:val="Hyperlink"/>
            <w:rFonts w:ascii="Georgia" w:hAnsi="Georgia"/>
            <w:sz w:val="28"/>
            <w:szCs w:val="28"/>
          </w:rPr>
          <w:t>26 U.S.C. § 42(h)(6)(E)(i)</w:t>
        </w:r>
        <w:r w:rsidR="00EF4D0D">
          <w:rPr>
            <w:rStyle w:val="Hyperlink"/>
            <w:rFonts w:ascii="Georgia" w:hAnsi="Georgia"/>
            <w:sz w:val="28"/>
            <w:szCs w:val="28"/>
          </w:rPr>
          <w:t>(</w:t>
        </w:r>
        <w:r w:rsidR="009A5E89" w:rsidRPr="009A5E89">
          <w:rPr>
            <w:rStyle w:val="Hyperlink"/>
            <w:rFonts w:ascii="Georgia" w:hAnsi="Georgia"/>
            <w:sz w:val="28"/>
            <w:szCs w:val="28"/>
          </w:rPr>
          <w:t>I)</w:t>
        </w:r>
      </w:hyperlink>
      <w:r w:rsidR="009A5E89" w:rsidRPr="009A5E89">
        <w:rPr>
          <w:rFonts w:ascii="Georgia" w:hAnsi="Georgia"/>
          <w:color w:val="212121"/>
          <w:sz w:val="28"/>
          <w:szCs w:val="28"/>
        </w:rPr>
        <w:t xml:space="preserve"> states:</w:t>
      </w:r>
    </w:p>
    <w:p w14:paraId="40201391" w14:textId="1206FA51" w:rsidR="00A33FD5" w:rsidRDefault="00B95774" w:rsidP="0034593C">
      <w:pPr>
        <w:ind w:left="1440"/>
        <w:rPr>
          <w:rFonts w:ascii="Georgia" w:hAnsi="Georgia"/>
          <w:color w:val="212121"/>
          <w:sz w:val="28"/>
          <w:szCs w:val="28"/>
        </w:rPr>
      </w:pPr>
      <w:r>
        <w:rPr>
          <w:rFonts w:ascii="Georgia" w:hAnsi="Georgia"/>
          <w:color w:val="212121"/>
          <w:sz w:val="28"/>
          <w:szCs w:val="28"/>
        </w:rPr>
        <w:lastRenderedPageBreak/>
        <w:t>T</w:t>
      </w:r>
      <w:r w:rsidR="00A33FD5" w:rsidRPr="00A33FD5">
        <w:rPr>
          <w:rFonts w:ascii="Georgia" w:hAnsi="Georgia"/>
          <w:color w:val="212121"/>
          <w:sz w:val="28"/>
          <w:szCs w:val="28"/>
        </w:rPr>
        <w:t>he</w:t>
      </w:r>
      <w:r>
        <w:rPr>
          <w:rFonts w:ascii="Georgia" w:hAnsi="Georgia"/>
          <w:color w:val="212121"/>
          <w:sz w:val="28"/>
          <w:szCs w:val="28"/>
        </w:rPr>
        <w:t xml:space="preserve"> extended use period</w:t>
      </w:r>
      <w:r w:rsidR="00A33FD5" w:rsidRPr="00A33FD5">
        <w:rPr>
          <w:rFonts w:ascii="Georgia" w:hAnsi="Georgia"/>
          <w:color w:val="212121"/>
          <w:sz w:val="28"/>
          <w:szCs w:val="28"/>
        </w:rPr>
        <w:t xml:space="preserve"> building shall terminate</w:t>
      </w:r>
      <w:bookmarkStart w:id="0" w:name="h_6_E_i_I"/>
      <w:bookmarkEnd w:id="0"/>
      <w:r>
        <w:rPr>
          <w:rFonts w:ascii="Georgia" w:hAnsi="Georgia"/>
          <w:color w:val="212121"/>
          <w:sz w:val="28"/>
          <w:szCs w:val="28"/>
        </w:rPr>
        <w:t xml:space="preserve"> </w:t>
      </w:r>
      <w:r w:rsidR="00A33FD5" w:rsidRPr="00A33FD5">
        <w:rPr>
          <w:rFonts w:ascii="Georgia" w:hAnsi="Georgia"/>
          <w:b/>
          <w:bCs/>
          <w:color w:val="212121"/>
          <w:sz w:val="28"/>
          <w:szCs w:val="28"/>
        </w:rPr>
        <w:t>(I)</w:t>
      </w:r>
      <w:r w:rsidRPr="00B173F9">
        <w:rPr>
          <w:rFonts w:ascii="Georgia" w:hAnsi="Georgia"/>
          <w:b/>
          <w:bCs/>
          <w:color w:val="212121"/>
          <w:sz w:val="28"/>
          <w:szCs w:val="28"/>
        </w:rPr>
        <w:t xml:space="preserve"> </w:t>
      </w:r>
      <w:r w:rsidR="00A33FD5" w:rsidRPr="00A33FD5">
        <w:rPr>
          <w:rFonts w:ascii="Georgia" w:hAnsi="Georgia"/>
          <w:color w:val="212121"/>
          <w:sz w:val="28"/>
          <w:szCs w:val="28"/>
        </w:rPr>
        <w:t xml:space="preserve">on the date the building is acquired by </w:t>
      </w:r>
      <w:r w:rsidR="00A33FD5" w:rsidRPr="00A33FD5">
        <w:rPr>
          <w:rFonts w:ascii="Georgia" w:hAnsi="Georgia"/>
          <w:color w:val="212121"/>
          <w:sz w:val="28"/>
          <w:szCs w:val="28"/>
          <w:u w:val="single"/>
        </w:rPr>
        <w:t>foreclosure</w:t>
      </w:r>
      <w:r w:rsidR="00A33FD5" w:rsidRPr="00A33FD5">
        <w:rPr>
          <w:rFonts w:ascii="Georgia" w:hAnsi="Georgia"/>
          <w:color w:val="212121"/>
          <w:sz w:val="28"/>
          <w:szCs w:val="28"/>
        </w:rPr>
        <w:t xml:space="preserve"> (or instrument in lieu of foreclosure) unless the Secretary determines that such acquisition is part of an arrangement with the taxpayer a purpose of which is to terminate such period</w:t>
      </w:r>
    </w:p>
    <w:p w14:paraId="64A646B0" w14:textId="3702B656" w:rsidR="00B173F9" w:rsidRDefault="00B173F9" w:rsidP="00B173F9">
      <w:pPr>
        <w:rPr>
          <w:rFonts w:ascii="Georgia" w:hAnsi="Georgia"/>
          <w:color w:val="212121"/>
          <w:sz w:val="28"/>
          <w:szCs w:val="28"/>
        </w:rPr>
      </w:pPr>
      <w:r>
        <w:rPr>
          <w:rFonts w:ascii="Georgia" w:hAnsi="Georgia"/>
          <w:color w:val="212121"/>
          <w:sz w:val="28"/>
          <w:szCs w:val="28"/>
        </w:rPr>
        <w:t>(emphasis added).</w:t>
      </w:r>
    </w:p>
    <w:p w14:paraId="116523FB" w14:textId="0EBDBC97" w:rsidR="00B95774" w:rsidRPr="0034593C" w:rsidRDefault="0034593C" w:rsidP="00A33FD5">
      <w:pPr>
        <w:rPr>
          <w:rFonts w:ascii="Georgia" w:hAnsi="Georgia"/>
          <w:color w:val="212121"/>
          <w:sz w:val="28"/>
          <w:szCs w:val="28"/>
          <w:u w:val="single"/>
        </w:rPr>
      </w:pPr>
      <w:r w:rsidRPr="0034593C">
        <w:rPr>
          <w:rFonts w:ascii="Georgia" w:hAnsi="Georgia"/>
          <w:color w:val="212121"/>
          <w:sz w:val="28"/>
          <w:szCs w:val="28"/>
          <w:u w:val="single"/>
        </w:rPr>
        <w:t>Issue</w:t>
      </w:r>
    </w:p>
    <w:p w14:paraId="21D7FB49" w14:textId="5E570F62" w:rsidR="0034593C" w:rsidRPr="00572CEC" w:rsidRDefault="0034593C" w:rsidP="00A33FD5">
      <w:pPr>
        <w:rPr>
          <w:rFonts w:ascii="Georgia" w:hAnsi="Georgia"/>
          <w:color w:val="ED0000"/>
          <w:sz w:val="28"/>
          <w:szCs w:val="28"/>
        </w:rPr>
      </w:pPr>
      <w:r>
        <w:rPr>
          <w:rFonts w:ascii="Georgia" w:hAnsi="Georgia"/>
          <w:color w:val="212121"/>
          <w:sz w:val="28"/>
          <w:szCs w:val="28"/>
        </w:rPr>
        <w:t>Obviously, “foreclosure” is a concern to the tenants since they will lose rent-cap, good-cause and other protections.</w:t>
      </w:r>
      <w:r w:rsidR="007C7D30" w:rsidRPr="007C7D30">
        <w:rPr>
          <w:rStyle w:val="FootnoteReference"/>
          <w:rFonts w:ascii="Georgia" w:hAnsi="Georgia"/>
          <w:color w:val="212121"/>
          <w:sz w:val="28"/>
          <w:szCs w:val="28"/>
        </w:rPr>
        <w:t xml:space="preserve"> </w:t>
      </w:r>
      <w:r w:rsidR="007C7D30">
        <w:rPr>
          <w:rStyle w:val="FootnoteReference"/>
          <w:rFonts w:ascii="Georgia" w:hAnsi="Georgia"/>
          <w:color w:val="212121"/>
          <w:sz w:val="28"/>
          <w:szCs w:val="28"/>
        </w:rPr>
        <w:footnoteReference w:id="3"/>
      </w:r>
      <w:r w:rsidR="007C7D30">
        <w:rPr>
          <w:rFonts w:ascii="Georgia" w:hAnsi="Georgia"/>
          <w:color w:val="212121"/>
          <w:sz w:val="28"/>
          <w:szCs w:val="28"/>
        </w:rPr>
        <w:t xml:space="preserve"> </w:t>
      </w:r>
      <w:r>
        <w:rPr>
          <w:rFonts w:ascii="Georgia" w:hAnsi="Georgia"/>
          <w:color w:val="212121"/>
          <w:sz w:val="28"/>
          <w:szCs w:val="28"/>
        </w:rPr>
        <w:t xml:space="preserve">An issue came up in a </w:t>
      </w:r>
      <w:r w:rsidR="00150DBD">
        <w:rPr>
          <w:rFonts w:ascii="Georgia" w:hAnsi="Georgia"/>
          <w:color w:val="212121"/>
          <w:sz w:val="28"/>
          <w:szCs w:val="28"/>
        </w:rPr>
        <w:t xml:space="preserve">Virginia </w:t>
      </w:r>
      <w:r>
        <w:rPr>
          <w:rFonts w:ascii="Georgia" w:hAnsi="Georgia"/>
          <w:color w:val="212121"/>
          <w:sz w:val="28"/>
          <w:szCs w:val="28"/>
        </w:rPr>
        <w:t xml:space="preserve">colleague’s practice regarding how broad is the meaning of “foreclosure”? Specifically, did it apply to a tax forfeiture under which </w:t>
      </w:r>
      <w:r w:rsidR="00B173F9">
        <w:rPr>
          <w:rFonts w:ascii="Georgia" w:hAnsi="Georgia"/>
          <w:color w:val="212121"/>
          <w:sz w:val="28"/>
          <w:szCs w:val="28"/>
        </w:rPr>
        <w:t xml:space="preserve">a local </w:t>
      </w:r>
      <w:r>
        <w:rPr>
          <w:rFonts w:ascii="Georgia" w:hAnsi="Georgia"/>
          <w:color w:val="212121"/>
          <w:sz w:val="28"/>
          <w:szCs w:val="28"/>
        </w:rPr>
        <w:t>government took over the building because the property taxes were delinquent?</w:t>
      </w:r>
      <w:r w:rsidR="0017582C">
        <w:rPr>
          <w:rStyle w:val="FootnoteReference"/>
          <w:rFonts w:ascii="Georgia" w:hAnsi="Georgia"/>
          <w:color w:val="212121"/>
          <w:sz w:val="28"/>
          <w:szCs w:val="28"/>
        </w:rPr>
        <w:footnoteReference w:id="4"/>
      </w:r>
    </w:p>
    <w:p w14:paraId="7CF678FB" w14:textId="7C1DA4D0" w:rsidR="0034593C" w:rsidRDefault="00150DBD" w:rsidP="00A33FD5">
      <w:pPr>
        <w:rPr>
          <w:rFonts w:ascii="Georgia" w:hAnsi="Georgia"/>
          <w:color w:val="212121"/>
          <w:sz w:val="28"/>
          <w:szCs w:val="28"/>
        </w:rPr>
      </w:pPr>
      <w:r>
        <w:rPr>
          <w:rFonts w:ascii="Georgia" w:hAnsi="Georgia"/>
          <w:color w:val="212121"/>
          <w:sz w:val="28"/>
          <w:szCs w:val="28"/>
        </w:rPr>
        <w:t xml:space="preserve">The Virginia case eventually resolved on other grounds, but in the </w:t>
      </w:r>
      <w:r w:rsidR="00ED7F1B">
        <w:rPr>
          <w:rFonts w:ascii="Georgia" w:hAnsi="Georgia"/>
          <w:color w:val="212121"/>
          <w:sz w:val="28"/>
          <w:szCs w:val="28"/>
        </w:rPr>
        <w:t>meantime,</w:t>
      </w:r>
      <w:r>
        <w:rPr>
          <w:rFonts w:ascii="Georgia" w:hAnsi="Georgia"/>
          <w:color w:val="212121"/>
          <w:sz w:val="28"/>
          <w:szCs w:val="28"/>
        </w:rPr>
        <w:t xml:space="preserve"> I’d done a fair amount of research into the issue</w:t>
      </w:r>
      <w:r w:rsidR="00591B63">
        <w:rPr>
          <w:rFonts w:ascii="Georgia" w:hAnsi="Georgia"/>
          <w:color w:val="212121"/>
          <w:sz w:val="28"/>
          <w:szCs w:val="28"/>
        </w:rPr>
        <w:t>, especially looking into the legislative history of the foreclosure provision.</w:t>
      </w:r>
      <w:r w:rsidR="00572CEC">
        <w:rPr>
          <w:rFonts w:ascii="Georgia" w:hAnsi="Georgia"/>
          <w:color w:val="212121"/>
          <w:sz w:val="28"/>
          <w:szCs w:val="28"/>
        </w:rPr>
        <w:t xml:space="preserve"> Since this issue is likely to recur, albeit rarely, I decide to write </w:t>
      </w:r>
      <w:r w:rsidR="00F9567B">
        <w:rPr>
          <w:rFonts w:ascii="Georgia" w:hAnsi="Georgia"/>
          <w:color w:val="212121"/>
          <w:sz w:val="28"/>
          <w:szCs w:val="28"/>
        </w:rPr>
        <w:t>this</w:t>
      </w:r>
      <w:r w:rsidR="00572CEC">
        <w:rPr>
          <w:rFonts w:ascii="Georgia" w:hAnsi="Georgia"/>
          <w:color w:val="212121"/>
          <w:sz w:val="28"/>
          <w:szCs w:val="28"/>
        </w:rPr>
        <w:t xml:space="preserve"> essay setting out my thinking and research.</w:t>
      </w:r>
    </w:p>
    <w:p w14:paraId="52A828E6" w14:textId="116E8094" w:rsidR="001D4A66" w:rsidRPr="001D4A66" w:rsidRDefault="001D4A66" w:rsidP="00A33FD5">
      <w:pPr>
        <w:rPr>
          <w:rFonts w:ascii="Georgia" w:hAnsi="Georgia"/>
          <w:color w:val="212121"/>
          <w:sz w:val="28"/>
          <w:szCs w:val="28"/>
          <w:u w:val="single"/>
        </w:rPr>
      </w:pPr>
      <w:r w:rsidRPr="001D4A66">
        <w:rPr>
          <w:rFonts w:ascii="Georgia" w:hAnsi="Georgia"/>
          <w:color w:val="212121"/>
          <w:sz w:val="28"/>
          <w:szCs w:val="28"/>
          <w:u w:val="single"/>
        </w:rPr>
        <w:t>Plain Meaning</w:t>
      </w:r>
    </w:p>
    <w:p w14:paraId="4D47FDF5" w14:textId="0046D7F8" w:rsidR="00484470" w:rsidRDefault="00166262" w:rsidP="00A33FD5">
      <w:pPr>
        <w:rPr>
          <w:rFonts w:ascii="Georgia" w:hAnsi="Georgia"/>
          <w:color w:val="212121"/>
          <w:sz w:val="28"/>
          <w:szCs w:val="28"/>
        </w:rPr>
      </w:pPr>
      <w:r>
        <w:rPr>
          <w:rFonts w:ascii="Georgia" w:hAnsi="Georgia"/>
          <w:color w:val="212121"/>
          <w:sz w:val="28"/>
          <w:szCs w:val="28"/>
        </w:rPr>
        <w:t>IRC Section 42</w:t>
      </w:r>
      <w:r w:rsidR="00660249">
        <w:rPr>
          <w:rFonts w:ascii="Georgia" w:hAnsi="Georgia"/>
          <w:color w:val="212121"/>
          <w:sz w:val="28"/>
          <w:szCs w:val="28"/>
        </w:rPr>
        <w:t xml:space="preserve"> includes no definition </w:t>
      </w:r>
      <w:r w:rsidR="00FB37C0">
        <w:rPr>
          <w:rFonts w:ascii="Georgia" w:hAnsi="Georgia"/>
          <w:color w:val="212121"/>
          <w:sz w:val="28"/>
          <w:szCs w:val="28"/>
        </w:rPr>
        <w:t>of</w:t>
      </w:r>
      <w:r w:rsidR="00660249">
        <w:rPr>
          <w:rFonts w:ascii="Georgia" w:hAnsi="Georgia"/>
          <w:color w:val="212121"/>
          <w:sz w:val="28"/>
          <w:szCs w:val="28"/>
        </w:rPr>
        <w:t xml:space="preserve"> “foreclosure”</w:t>
      </w:r>
      <w:r w:rsidR="0047232A">
        <w:rPr>
          <w:rFonts w:ascii="Georgia" w:hAnsi="Georgia"/>
          <w:color w:val="212121"/>
          <w:sz w:val="28"/>
          <w:szCs w:val="28"/>
        </w:rPr>
        <w:t xml:space="preserve"> nor does th</w:t>
      </w:r>
      <w:r w:rsidR="00EA4304">
        <w:rPr>
          <w:rFonts w:ascii="Georgia" w:hAnsi="Georgia"/>
          <w:color w:val="212121"/>
          <w:sz w:val="28"/>
          <w:szCs w:val="28"/>
        </w:rPr>
        <w:t xml:space="preserve">e code’s definitional section, </w:t>
      </w:r>
      <w:r w:rsidR="00EA4304" w:rsidRPr="00EA4304">
        <w:rPr>
          <w:rFonts w:ascii="Georgia" w:hAnsi="Georgia"/>
          <w:color w:val="212121"/>
          <w:sz w:val="28"/>
          <w:szCs w:val="28"/>
        </w:rPr>
        <w:t>26 U.S.</w:t>
      </w:r>
      <w:r w:rsidR="00CD622E">
        <w:rPr>
          <w:rFonts w:ascii="Georgia" w:hAnsi="Georgia"/>
          <w:color w:val="212121"/>
          <w:sz w:val="28"/>
          <w:szCs w:val="28"/>
        </w:rPr>
        <w:t>C.</w:t>
      </w:r>
      <w:r w:rsidR="00EA4304" w:rsidRPr="00EA4304">
        <w:rPr>
          <w:rFonts w:ascii="Georgia" w:hAnsi="Georgia"/>
          <w:color w:val="212121"/>
          <w:sz w:val="28"/>
          <w:szCs w:val="28"/>
        </w:rPr>
        <w:t xml:space="preserve"> § 770</w:t>
      </w:r>
      <w:r w:rsidR="00EA4304">
        <w:rPr>
          <w:rFonts w:ascii="Georgia" w:hAnsi="Georgia"/>
          <w:color w:val="212121"/>
          <w:sz w:val="28"/>
          <w:szCs w:val="28"/>
        </w:rPr>
        <w:t>1.</w:t>
      </w:r>
      <w:r w:rsidR="00F55506">
        <w:rPr>
          <w:rFonts w:ascii="Georgia" w:hAnsi="Georgia"/>
          <w:color w:val="212121"/>
          <w:sz w:val="28"/>
          <w:szCs w:val="28"/>
        </w:rPr>
        <w:t xml:space="preserve"> The Public Law that included the foreclosure provision, </w:t>
      </w:r>
      <w:hyperlink r:id="rId12" w:history="1">
        <w:r w:rsidR="00F55506" w:rsidRPr="00F55506">
          <w:rPr>
            <w:rStyle w:val="Hyperlink"/>
            <w:rFonts w:ascii="Georgia" w:hAnsi="Georgia"/>
            <w:sz w:val="28"/>
            <w:szCs w:val="28"/>
          </w:rPr>
          <w:t>P.L. 101-239</w:t>
        </w:r>
      </w:hyperlink>
      <w:r w:rsidR="00F55506">
        <w:rPr>
          <w:rFonts w:ascii="Georgia" w:hAnsi="Georgia"/>
          <w:color w:val="212121"/>
          <w:sz w:val="28"/>
          <w:szCs w:val="28"/>
        </w:rPr>
        <w:t xml:space="preserve">, included no definition. </w:t>
      </w:r>
      <w:r w:rsidR="00484470">
        <w:rPr>
          <w:rFonts w:ascii="Georgia" w:hAnsi="Georgia"/>
          <w:color w:val="212121"/>
          <w:sz w:val="28"/>
          <w:szCs w:val="28"/>
        </w:rPr>
        <w:t>None of the Treasury Regulations, Revenue Rulings or Private Letter Rulings have a definition.</w:t>
      </w:r>
      <w:r w:rsidR="00484470">
        <w:rPr>
          <w:rStyle w:val="FootnoteReference"/>
          <w:rFonts w:ascii="Georgia" w:hAnsi="Georgia"/>
          <w:color w:val="212121"/>
          <w:sz w:val="28"/>
          <w:szCs w:val="28"/>
        </w:rPr>
        <w:footnoteReference w:id="5"/>
      </w:r>
    </w:p>
    <w:p w14:paraId="2DFC8ADA" w14:textId="0E497DB7" w:rsidR="005603F5" w:rsidRDefault="00F55506">
      <w:pPr>
        <w:rPr>
          <w:rFonts w:ascii="Georgia" w:hAnsi="Georgia"/>
          <w:color w:val="212121"/>
          <w:sz w:val="28"/>
          <w:szCs w:val="28"/>
        </w:rPr>
      </w:pPr>
      <w:r>
        <w:rPr>
          <w:rFonts w:ascii="Georgia" w:hAnsi="Georgia"/>
          <w:color w:val="212121"/>
          <w:sz w:val="28"/>
          <w:szCs w:val="28"/>
        </w:rPr>
        <w:t>Thus, one must turn to dictionaries.</w:t>
      </w:r>
      <w:r w:rsidR="00484470">
        <w:rPr>
          <w:rFonts w:ascii="Georgia" w:hAnsi="Georgia"/>
          <w:color w:val="212121"/>
          <w:sz w:val="28"/>
          <w:szCs w:val="28"/>
        </w:rPr>
        <w:t xml:space="preserve"> </w:t>
      </w:r>
      <w:r w:rsidR="008F3E84">
        <w:rPr>
          <w:rFonts w:ascii="Georgia" w:hAnsi="Georgia"/>
          <w:color w:val="212121"/>
          <w:sz w:val="28"/>
          <w:szCs w:val="28"/>
        </w:rPr>
        <w:t xml:space="preserve">Given the technical nature of the tax code, </w:t>
      </w:r>
      <w:r w:rsidR="00FB37C0">
        <w:rPr>
          <w:rFonts w:ascii="Georgia" w:hAnsi="Georgia"/>
          <w:color w:val="212121"/>
          <w:sz w:val="28"/>
          <w:szCs w:val="28"/>
        </w:rPr>
        <w:t xml:space="preserve">I think </w:t>
      </w:r>
      <w:r w:rsidR="008F3E84">
        <w:rPr>
          <w:rFonts w:ascii="Georgia" w:hAnsi="Georgia"/>
          <w:color w:val="212121"/>
          <w:sz w:val="28"/>
          <w:szCs w:val="28"/>
        </w:rPr>
        <w:t xml:space="preserve">law dictionaries </w:t>
      </w:r>
      <w:r w:rsidR="00FB37C0">
        <w:rPr>
          <w:rFonts w:ascii="Georgia" w:hAnsi="Georgia"/>
          <w:color w:val="212121"/>
          <w:sz w:val="28"/>
          <w:szCs w:val="28"/>
        </w:rPr>
        <w:t>are</w:t>
      </w:r>
      <w:r w:rsidR="008F3E84">
        <w:rPr>
          <w:rFonts w:ascii="Georgia" w:hAnsi="Georgia"/>
          <w:color w:val="212121"/>
          <w:sz w:val="28"/>
          <w:szCs w:val="28"/>
        </w:rPr>
        <w:t xml:space="preserve"> a better choice than law dictionaries</w:t>
      </w:r>
      <w:r w:rsidR="00FB37C0">
        <w:rPr>
          <w:rFonts w:ascii="Georgia" w:hAnsi="Georgia"/>
          <w:color w:val="212121"/>
          <w:sz w:val="28"/>
          <w:szCs w:val="28"/>
        </w:rPr>
        <w:t xml:space="preserve">, </w:t>
      </w:r>
      <w:r w:rsidR="0047232A">
        <w:rPr>
          <w:rFonts w:ascii="Georgia" w:hAnsi="Georgia"/>
          <w:color w:val="212121"/>
          <w:sz w:val="28"/>
          <w:szCs w:val="28"/>
        </w:rPr>
        <w:t>but</w:t>
      </w:r>
      <w:r w:rsidR="00FB37C0">
        <w:rPr>
          <w:rFonts w:ascii="Georgia" w:hAnsi="Georgia"/>
          <w:color w:val="212121"/>
          <w:sz w:val="28"/>
          <w:szCs w:val="28"/>
        </w:rPr>
        <w:t xml:space="preserve"> </w:t>
      </w:r>
      <w:r w:rsidR="00FB37C0">
        <w:rPr>
          <w:rFonts w:ascii="Georgia" w:hAnsi="Georgia"/>
          <w:color w:val="212121"/>
          <w:sz w:val="28"/>
          <w:szCs w:val="28"/>
        </w:rPr>
        <w:lastRenderedPageBreak/>
        <w:t>the US Supreme Court seems to have a preference for lay dictionaries when construing federal statutes</w:t>
      </w:r>
      <w:r w:rsidR="008F3E84">
        <w:rPr>
          <w:rFonts w:ascii="Georgia" w:hAnsi="Georgia"/>
          <w:color w:val="212121"/>
          <w:sz w:val="28"/>
          <w:szCs w:val="28"/>
        </w:rPr>
        <w:t>.</w:t>
      </w:r>
      <w:r w:rsidR="00CD622E">
        <w:rPr>
          <w:rFonts w:ascii="Georgia" w:hAnsi="Georgia"/>
          <w:color w:val="212121"/>
          <w:sz w:val="28"/>
          <w:szCs w:val="28"/>
        </w:rPr>
        <w:t xml:space="preserve"> The Minnesota Supreme Court takes a more even-handed approach.</w:t>
      </w:r>
      <w:r w:rsidR="0095714C">
        <w:rPr>
          <w:rStyle w:val="FootnoteReference"/>
          <w:rFonts w:ascii="Georgia" w:hAnsi="Georgia"/>
          <w:color w:val="212121"/>
          <w:sz w:val="28"/>
          <w:szCs w:val="28"/>
        </w:rPr>
        <w:footnoteReference w:id="6"/>
      </w:r>
      <w:r w:rsidR="00BE6A01">
        <w:rPr>
          <w:rFonts w:ascii="Georgia" w:hAnsi="Georgia"/>
          <w:color w:val="212121"/>
          <w:sz w:val="28"/>
          <w:szCs w:val="28"/>
        </w:rPr>
        <w:t xml:space="preserve"> In this </w:t>
      </w:r>
      <w:r w:rsidR="00CD622E">
        <w:rPr>
          <w:rFonts w:ascii="Georgia" w:hAnsi="Georgia"/>
          <w:color w:val="212121"/>
          <w:sz w:val="28"/>
          <w:szCs w:val="28"/>
        </w:rPr>
        <w:t xml:space="preserve">particular </w:t>
      </w:r>
      <w:r w:rsidR="00BE6A01">
        <w:rPr>
          <w:rFonts w:ascii="Georgia" w:hAnsi="Georgia"/>
          <w:color w:val="212121"/>
          <w:sz w:val="28"/>
          <w:szCs w:val="28"/>
        </w:rPr>
        <w:t xml:space="preserve">case, </w:t>
      </w:r>
      <w:r w:rsidR="005E1D46">
        <w:rPr>
          <w:rFonts w:ascii="Georgia" w:hAnsi="Georgia"/>
          <w:color w:val="212121"/>
          <w:sz w:val="28"/>
          <w:szCs w:val="28"/>
        </w:rPr>
        <w:t xml:space="preserve">both </w:t>
      </w:r>
      <w:r w:rsidR="0047232A">
        <w:rPr>
          <w:rFonts w:ascii="Georgia" w:hAnsi="Georgia"/>
          <w:color w:val="212121"/>
          <w:sz w:val="28"/>
          <w:szCs w:val="28"/>
        </w:rPr>
        <w:t>types</w:t>
      </w:r>
      <w:r w:rsidR="00BE6A01">
        <w:rPr>
          <w:rFonts w:ascii="Georgia" w:hAnsi="Georgia"/>
          <w:color w:val="212121"/>
          <w:sz w:val="28"/>
          <w:szCs w:val="28"/>
        </w:rPr>
        <w:t xml:space="preserve"> of dictionaries provide the same answer.</w:t>
      </w:r>
    </w:p>
    <w:p w14:paraId="02922EEC" w14:textId="64CA6070" w:rsidR="00D15AB4" w:rsidRDefault="00FB37C0" w:rsidP="00D15AB4">
      <w:pPr>
        <w:rPr>
          <w:rFonts w:ascii="Georgia" w:hAnsi="Georgia"/>
          <w:sz w:val="28"/>
          <w:szCs w:val="28"/>
        </w:rPr>
      </w:pPr>
      <w:r>
        <w:rPr>
          <w:rFonts w:ascii="Georgia" w:hAnsi="Georgia"/>
          <w:sz w:val="28"/>
          <w:szCs w:val="28"/>
        </w:rPr>
        <w:t>All</w:t>
      </w:r>
      <w:r w:rsidR="00D15AB4" w:rsidRPr="00D15AB4">
        <w:rPr>
          <w:rFonts w:ascii="Georgia" w:hAnsi="Georgia"/>
          <w:sz w:val="28"/>
          <w:szCs w:val="28"/>
        </w:rPr>
        <w:t xml:space="preserve"> the</w:t>
      </w:r>
      <w:r>
        <w:rPr>
          <w:rFonts w:ascii="Georgia" w:hAnsi="Georgia"/>
          <w:sz w:val="28"/>
          <w:szCs w:val="28"/>
        </w:rPr>
        <w:t xml:space="preserve"> Internet</w:t>
      </w:r>
      <w:r w:rsidR="00D15AB4" w:rsidRPr="00D15AB4">
        <w:rPr>
          <w:rFonts w:ascii="Georgia" w:hAnsi="Georgia"/>
          <w:sz w:val="28"/>
          <w:szCs w:val="28"/>
        </w:rPr>
        <w:t xml:space="preserve"> law dictionaries I consulted define “foreclosure” as refer</w:t>
      </w:r>
      <w:r w:rsidR="00CD622E">
        <w:rPr>
          <w:rFonts w:ascii="Georgia" w:hAnsi="Georgia"/>
          <w:sz w:val="28"/>
          <w:szCs w:val="28"/>
        </w:rPr>
        <w:t>r</w:t>
      </w:r>
      <w:r w:rsidR="00D15AB4" w:rsidRPr="00D15AB4">
        <w:rPr>
          <w:rFonts w:ascii="Georgia" w:hAnsi="Georgia"/>
          <w:sz w:val="28"/>
          <w:szCs w:val="28"/>
        </w:rPr>
        <w:t>ing</w:t>
      </w:r>
      <w:r w:rsidR="00CD622E">
        <w:rPr>
          <w:rFonts w:ascii="Georgia" w:hAnsi="Georgia"/>
          <w:sz w:val="28"/>
          <w:szCs w:val="28"/>
        </w:rPr>
        <w:t xml:space="preserve"> </w:t>
      </w:r>
      <w:r w:rsidR="00CD622E" w:rsidRPr="00D15AB4">
        <w:rPr>
          <w:rFonts w:ascii="Georgia" w:hAnsi="Georgia"/>
          <w:sz w:val="28"/>
          <w:szCs w:val="28"/>
        </w:rPr>
        <w:t>only</w:t>
      </w:r>
      <w:r w:rsidR="00D15AB4" w:rsidRPr="00D15AB4">
        <w:rPr>
          <w:rFonts w:ascii="Georgia" w:hAnsi="Georgia"/>
          <w:sz w:val="28"/>
          <w:szCs w:val="28"/>
        </w:rPr>
        <w:t xml:space="preserve"> to </w:t>
      </w:r>
      <w:r w:rsidR="00ED7F1B" w:rsidRPr="00D15AB4">
        <w:rPr>
          <w:rFonts w:ascii="Georgia" w:hAnsi="Georgia"/>
          <w:sz w:val="28"/>
          <w:szCs w:val="28"/>
        </w:rPr>
        <w:t>mortgages</w:t>
      </w:r>
      <w:r w:rsidR="00ED7F1B">
        <w:rPr>
          <w:rFonts w:ascii="Georgia" w:hAnsi="Georgia"/>
          <w:sz w:val="28"/>
          <w:szCs w:val="28"/>
        </w:rPr>
        <w:t xml:space="preserve"> </w:t>
      </w:r>
      <w:r w:rsidR="00ED7F1B" w:rsidRPr="00D15AB4">
        <w:rPr>
          <w:rFonts w:ascii="Georgia" w:hAnsi="Georgia"/>
          <w:sz w:val="28"/>
          <w:szCs w:val="28"/>
        </w:rPr>
        <w:t>and</w:t>
      </w:r>
      <w:r w:rsidR="00D15AB4" w:rsidRPr="00D15AB4">
        <w:rPr>
          <w:rFonts w:ascii="Georgia" w:hAnsi="Georgia"/>
          <w:sz w:val="28"/>
          <w:szCs w:val="28"/>
        </w:rPr>
        <w:t xml:space="preserve"> not to </w:t>
      </w:r>
      <w:r w:rsidR="00D15AB4">
        <w:rPr>
          <w:rFonts w:ascii="Georgia" w:hAnsi="Georgia"/>
          <w:sz w:val="28"/>
          <w:szCs w:val="28"/>
        </w:rPr>
        <w:t xml:space="preserve">non-mortgage-related events. For example, </w:t>
      </w:r>
      <w:hyperlink r:id="rId13" w:history="1">
        <w:r w:rsidR="00A17200">
          <w:rPr>
            <w:rStyle w:val="Hyperlink"/>
            <w:rFonts w:ascii="Georgia" w:hAnsi="Georgia"/>
            <w:sz w:val="28"/>
            <w:szCs w:val="28"/>
          </w:rPr>
          <w:t>Merriam W</w:t>
        </w:r>
        <w:r w:rsidR="00D15AB4" w:rsidRPr="00A17200">
          <w:rPr>
            <w:rStyle w:val="Hyperlink"/>
            <w:rFonts w:ascii="Georgia" w:hAnsi="Georgia"/>
            <w:sz w:val="28"/>
            <w:szCs w:val="28"/>
          </w:rPr>
          <w:t>ebster Dictionary</w:t>
        </w:r>
      </w:hyperlink>
      <w:r w:rsidR="00D15AB4">
        <w:rPr>
          <w:rFonts w:ascii="Georgia" w:hAnsi="Georgia"/>
          <w:sz w:val="28"/>
          <w:szCs w:val="28"/>
        </w:rPr>
        <w:t xml:space="preserve"> states</w:t>
      </w:r>
      <w:r w:rsidR="00CD622E">
        <w:rPr>
          <w:rFonts w:ascii="Georgia" w:hAnsi="Georgia"/>
          <w:sz w:val="28"/>
          <w:szCs w:val="28"/>
        </w:rPr>
        <w:t>:</w:t>
      </w:r>
    </w:p>
    <w:p w14:paraId="26367133" w14:textId="12919584" w:rsidR="00DA1C0E" w:rsidRDefault="00D15AB4" w:rsidP="00D15AB4">
      <w:pPr>
        <w:ind w:left="720"/>
        <w:rPr>
          <w:rFonts w:ascii="Georgia" w:hAnsi="Georgia"/>
          <w:sz w:val="28"/>
          <w:szCs w:val="28"/>
        </w:rPr>
      </w:pPr>
      <w:r>
        <w:rPr>
          <w:rFonts w:ascii="Georgia" w:hAnsi="Georgia"/>
          <w:sz w:val="28"/>
          <w:szCs w:val="28"/>
        </w:rPr>
        <w:t>Foreclosure [means]</w:t>
      </w:r>
      <w:r w:rsidRPr="00D15AB4">
        <w:rPr>
          <w:rFonts w:ascii="Georgia" w:hAnsi="Georgia"/>
          <w:sz w:val="28"/>
          <w:szCs w:val="28"/>
        </w:rPr>
        <w:t xml:space="preserve"> </w:t>
      </w:r>
      <w:r w:rsidR="00DA1C0E" w:rsidRPr="00D15AB4">
        <w:rPr>
          <w:rFonts w:ascii="Georgia" w:hAnsi="Georgia"/>
          <w:sz w:val="28"/>
          <w:szCs w:val="28"/>
        </w:rPr>
        <w:t>a legal proceeding that bars or extinguishes a mortgagor's right of redeeming a mortgaged estate</w:t>
      </w:r>
      <w:r>
        <w:rPr>
          <w:rFonts w:ascii="Georgia" w:hAnsi="Georgia"/>
          <w:sz w:val="28"/>
          <w:szCs w:val="28"/>
        </w:rPr>
        <w:t>.</w:t>
      </w:r>
    </w:p>
    <w:p w14:paraId="7D6176E5" w14:textId="7D6768D7" w:rsidR="007C4A70" w:rsidRDefault="00A17200" w:rsidP="00A17200">
      <w:pPr>
        <w:rPr>
          <w:rFonts w:ascii="Georgia" w:hAnsi="Georgia"/>
          <w:sz w:val="28"/>
          <w:szCs w:val="28"/>
        </w:rPr>
      </w:pPr>
      <w:r>
        <w:rPr>
          <w:rFonts w:ascii="Georgia" w:hAnsi="Georgia"/>
          <w:sz w:val="28"/>
          <w:szCs w:val="28"/>
        </w:rPr>
        <w:t>A variety of other Internet law dictionaries are</w:t>
      </w:r>
      <w:r w:rsidR="002E6A8D">
        <w:rPr>
          <w:rFonts w:ascii="Georgia" w:hAnsi="Georgia"/>
          <w:sz w:val="28"/>
          <w:szCs w:val="28"/>
        </w:rPr>
        <w:t xml:space="preserve"> all</w:t>
      </w:r>
      <w:r>
        <w:rPr>
          <w:rFonts w:ascii="Georgia" w:hAnsi="Georgia"/>
          <w:sz w:val="28"/>
          <w:szCs w:val="28"/>
        </w:rPr>
        <w:t xml:space="preserve"> in accord.</w:t>
      </w:r>
      <w:r>
        <w:rPr>
          <w:rStyle w:val="FootnoteReference"/>
          <w:rFonts w:ascii="Georgia" w:hAnsi="Georgia"/>
          <w:sz w:val="28"/>
          <w:szCs w:val="28"/>
        </w:rPr>
        <w:footnoteReference w:id="7"/>
      </w:r>
    </w:p>
    <w:p w14:paraId="6FFE5909" w14:textId="3DA3E84C" w:rsidR="007C4A70" w:rsidRPr="002E6A8D" w:rsidRDefault="007C4A70" w:rsidP="00A17200">
      <w:pPr>
        <w:rPr>
          <w:rFonts w:ascii="Georgia" w:hAnsi="Georgia"/>
          <w:sz w:val="28"/>
          <w:szCs w:val="28"/>
        </w:rPr>
      </w:pPr>
      <w:r w:rsidRPr="002E6A8D">
        <w:rPr>
          <w:rFonts w:ascii="Georgia" w:hAnsi="Georgia"/>
          <w:sz w:val="28"/>
          <w:szCs w:val="28"/>
        </w:rPr>
        <w:t xml:space="preserve">The </w:t>
      </w:r>
      <w:hyperlink r:id="rId14" w:history="1">
        <w:r w:rsidRPr="002E6A8D">
          <w:rPr>
            <w:rStyle w:val="Hyperlink"/>
            <w:rFonts w:ascii="Georgia" w:hAnsi="Georgia"/>
            <w:sz w:val="28"/>
            <w:szCs w:val="28"/>
          </w:rPr>
          <w:t>IRS Real Estate Property Foreclosure and Cancellation of Debt Audit Technique Guide</w:t>
        </w:r>
      </w:hyperlink>
      <w:r w:rsidRPr="002E6A8D">
        <w:rPr>
          <w:rFonts w:ascii="Georgia" w:hAnsi="Georgia"/>
          <w:sz w:val="28"/>
          <w:szCs w:val="28"/>
        </w:rPr>
        <w:t>, albeit a publication not related to IRC Section 42, agrees. Its Relevant Terms section states:</w:t>
      </w:r>
    </w:p>
    <w:p w14:paraId="76DC6E79" w14:textId="6B517044" w:rsidR="007C4A70" w:rsidRDefault="007C4A70" w:rsidP="007C4A70">
      <w:pPr>
        <w:ind w:left="720"/>
        <w:rPr>
          <w:rFonts w:ascii="Georgia" w:hAnsi="Georgia"/>
          <w:sz w:val="28"/>
          <w:szCs w:val="28"/>
        </w:rPr>
      </w:pPr>
      <w:r w:rsidRPr="007C4A70">
        <w:rPr>
          <w:rFonts w:ascii="Georgia" w:hAnsi="Georgia"/>
          <w:b/>
          <w:bCs/>
          <w:sz w:val="28"/>
          <w:szCs w:val="28"/>
        </w:rPr>
        <w:t xml:space="preserve">C…. </w:t>
      </w:r>
      <w:r w:rsidRPr="007C4A70">
        <w:rPr>
          <w:rFonts w:ascii="Georgia" w:hAnsi="Georgia"/>
          <w:sz w:val="28"/>
          <w:szCs w:val="28"/>
        </w:rPr>
        <w:t xml:space="preserve">(5) </w:t>
      </w:r>
      <w:r w:rsidRPr="007C4A70">
        <w:rPr>
          <w:rFonts w:ascii="Georgia" w:hAnsi="Georgia"/>
          <w:b/>
          <w:bCs/>
          <w:sz w:val="28"/>
          <w:szCs w:val="28"/>
        </w:rPr>
        <w:t>Foreclosure</w:t>
      </w:r>
      <w:r w:rsidRPr="007C4A70">
        <w:rPr>
          <w:rFonts w:ascii="Georgia" w:hAnsi="Georgia"/>
          <w:sz w:val="28"/>
          <w:szCs w:val="28"/>
        </w:rPr>
        <w:t xml:space="preserve"> – A legal procedure by which mortgaged real estate property is sold by the lender in full or partial satisfaction of </w:t>
      </w:r>
      <w:r w:rsidRPr="007C4A70">
        <w:rPr>
          <w:rFonts w:ascii="Georgia" w:hAnsi="Georgia"/>
          <w:sz w:val="28"/>
          <w:szCs w:val="28"/>
        </w:rPr>
        <w:lastRenderedPageBreak/>
        <w:t>the mortgage debt. For example, if the borrower fails to pay the monthly mortgage payments, the lender takes the property back and sells it to recover some or all of the debt. If proceeds from the sale fail to pay recourse debt in full, the lender may obtain a deficiency judgment in court to recover the outstanding balance. The foreclosure proceeding and whether the lender is able to obtain a deficiency judgment is determined by the law of the state where the property is located.</w:t>
      </w:r>
    </w:p>
    <w:p w14:paraId="45C0CAF1" w14:textId="6AB08C7F" w:rsidR="00FB37C0" w:rsidRPr="008B533F" w:rsidRDefault="00FB37C0" w:rsidP="00FB37C0">
      <w:pPr>
        <w:rPr>
          <w:rFonts w:ascii="Georgia" w:hAnsi="Georgia"/>
          <w:sz w:val="28"/>
          <w:szCs w:val="28"/>
        </w:rPr>
      </w:pPr>
      <w:r w:rsidRPr="00FB37C0">
        <w:rPr>
          <w:rFonts w:ascii="Georgia" w:hAnsi="Georgia"/>
          <w:sz w:val="28"/>
          <w:szCs w:val="28"/>
        </w:rPr>
        <w:t>As to law dictionarie</w:t>
      </w:r>
      <w:r>
        <w:rPr>
          <w:rFonts w:ascii="Georgia" w:hAnsi="Georgia"/>
          <w:sz w:val="28"/>
          <w:szCs w:val="28"/>
        </w:rPr>
        <w:t xml:space="preserve">s, </w:t>
      </w:r>
      <w:r w:rsidRPr="0028665A">
        <w:rPr>
          <w:rFonts w:ascii="Georgia" w:hAnsi="Georgia"/>
          <w:sz w:val="28"/>
          <w:szCs w:val="28"/>
          <w:u w:val="single"/>
        </w:rPr>
        <w:t>Black’s Law Dictionary</w:t>
      </w:r>
      <w:r w:rsidRPr="008B533F">
        <w:rPr>
          <w:rFonts w:ascii="Georgia" w:hAnsi="Georgia"/>
          <w:sz w:val="28"/>
          <w:szCs w:val="28"/>
        </w:rPr>
        <w:t xml:space="preserve"> </w:t>
      </w:r>
      <w:r>
        <w:rPr>
          <w:rFonts w:ascii="Georgia" w:hAnsi="Georgia"/>
          <w:sz w:val="28"/>
          <w:szCs w:val="28"/>
        </w:rPr>
        <w:t>331</w:t>
      </w:r>
      <w:r w:rsidRPr="008B533F">
        <w:rPr>
          <w:rFonts w:ascii="Georgia" w:hAnsi="Georgia"/>
          <w:color w:val="ED0000"/>
          <w:sz w:val="28"/>
          <w:szCs w:val="28"/>
        </w:rPr>
        <w:t xml:space="preserve"> </w:t>
      </w:r>
      <w:r w:rsidRPr="008B533F">
        <w:rPr>
          <w:rFonts w:ascii="Georgia" w:hAnsi="Georgia"/>
          <w:sz w:val="28"/>
          <w:szCs w:val="28"/>
        </w:rPr>
        <w:t xml:space="preserve">(5th ed. 1983) </w:t>
      </w:r>
      <w:r w:rsidR="00CD622E">
        <w:rPr>
          <w:rFonts w:ascii="Georgia" w:hAnsi="Georgia"/>
          <w:sz w:val="28"/>
          <w:szCs w:val="28"/>
        </w:rPr>
        <w:t xml:space="preserve">-- </w:t>
      </w:r>
      <w:r>
        <w:rPr>
          <w:rFonts w:ascii="Georgia" w:hAnsi="Georgia"/>
          <w:sz w:val="28"/>
          <w:szCs w:val="28"/>
        </w:rPr>
        <w:t xml:space="preserve">the current </w:t>
      </w:r>
      <w:r w:rsidR="00CD622E">
        <w:rPr>
          <w:rFonts w:ascii="Georgia" w:hAnsi="Georgia"/>
          <w:sz w:val="28"/>
          <w:szCs w:val="28"/>
        </w:rPr>
        <w:t xml:space="preserve">edition of Black’s </w:t>
      </w:r>
      <w:r>
        <w:rPr>
          <w:rFonts w:ascii="Georgia" w:hAnsi="Georgia"/>
          <w:sz w:val="28"/>
          <w:szCs w:val="28"/>
        </w:rPr>
        <w:t>in 1989 when the foreclosure provision was added to IRC Section 42</w:t>
      </w:r>
      <w:r w:rsidR="00CD622E">
        <w:rPr>
          <w:rFonts w:ascii="Georgia" w:hAnsi="Georgia"/>
          <w:sz w:val="28"/>
          <w:szCs w:val="28"/>
        </w:rPr>
        <w:t xml:space="preserve"> --</w:t>
      </w:r>
      <w:r>
        <w:rPr>
          <w:rFonts w:ascii="Georgia" w:hAnsi="Georgia"/>
          <w:sz w:val="28"/>
          <w:szCs w:val="28"/>
        </w:rPr>
        <w:t xml:space="preserve"> gave</w:t>
      </w:r>
      <w:r w:rsidRPr="008B533F">
        <w:rPr>
          <w:rFonts w:ascii="Georgia" w:hAnsi="Georgia"/>
          <w:sz w:val="28"/>
          <w:szCs w:val="28"/>
        </w:rPr>
        <w:t xml:space="preserve"> this definition:</w:t>
      </w:r>
    </w:p>
    <w:p w14:paraId="10365C17" w14:textId="77777777" w:rsidR="00FB37C0" w:rsidRPr="008B533F" w:rsidRDefault="00FB37C0" w:rsidP="00FB37C0">
      <w:pPr>
        <w:ind w:left="720"/>
        <w:rPr>
          <w:rFonts w:ascii="Georgia" w:hAnsi="Georgia"/>
          <w:sz w:val="28"/>
          <w:szCs w:val="28"/>
        </w:rPr>
      </w:pPr>
      <w:r w:rsidRPr="008B533F">
        <w:rPr>
          <w:rFonts w:ascii="Georgia" w:hAnsi="Georgia"/>
          <w:sz w:val="28"/>
          <w:szCs w:val="28"/>
        </w:rPr>
        <w:t>Foreclosure [means] To shut out, to bar, to destroy an equity of redemption. A termination of all rights of the mortgagor or his grantee in the property covered by the mortgage. The process by which a mortgagor of real or personal property, or other owner of property subject to a lien, is deprived of his interest therein. Procedure by which mortgaged property is sold on default of mortgagor in satisfaction or mortgage debt.</w:t>
      </w:r>
    </w:p>
    <w:p w14:paraId="10779E59" w14:textId="77777777" w:rsidR="00FB37C0" w:rsidRDefault="00FB37C0" w:rsidP="00FB37C0">
      <w:pPr>
        <w:ind w:left="720"/>
        <w:rPr>
          <w:rFonts w:ascii="Georgia" w:hAnsi="Georgia"/>
          <w:sz w:val="28"/>
          <w:szCs w:val="28"/>
        </w:rPr>
      </w:pPr>
      <w:r w:rsidRPr="008B533F">
        <w:rPr>
          <w:rFonts w:ascii="Georgia" w:hAnsi="Georgia"/>
          <w:sz w:val="28"/>
          <w:szCs w:val="28"/>
        </w:rPr>
        <w:t>In common usage, refers to enforcement of lien, trust deed, or mortgage in any method provided by law.</w:t>
      </w:r>
    </w:p>
    <w:p w14:paraId="58027474" w14:textId="77777777" w:rsidR="00FB37C0" w:rsidRDefault="00FB37C0" w:rsidP="00FB37C0">
      <w:pPr>
        <w:rPr>
          <w:rFonts w:ascii="Georgia" w:hAnsi="Georgia"/>
          <w:sz w:val="28"/>
          <w:szCs w:val="28"/>
        </w:rPr>
      </w:pPr>
      <w:r>
        <w:rPr>
          <w:rFonts w:ascii="Georgia" w:hAnsi="Georgia"/>
          <w:sz w:val="28"/>
          <w:szCs w:val="28"/>
        </w:rPr>
        <w:t xml:space="preserve">The </w:t>
      </w:r>
      <w:hyperlink r:id="rId15" w:history="1">
        <w:r w:rsidRPr="007A7CEE">
          <w:rPr>
            <w:rStyle w:val="Hyperlink"/>
            <w:rFonts w:ascii="Georgia" w:hAnsi="Georgia"/>
            <w:sz w:val="28"/>
            <w:szCs w:val="28"/>
          </w:rPr>
          <w:t>Cornell law website</w:t>
        </w:r>
      </w:hyperlink>
      <w:r>
        <w:rPr>
          <w:rFonts w:ascii="Georgia" w:hAnsi="Georgia"/>
          <w:sz w:val="28"/>
          <w:szCs w:val="28"/>
        </w:rPr>
        <w:t xml:space="preserve"> gives this definition:</w:t>
      </w:r>
    </w:p>
    <w:p w14:paraId="713A61DA" w14:textId="77777777" w:rsidR="00FB37C0" w:rsidRDefault="00FB37C0" w:rsidP="00FB37C0">
      <w:pPr>
        <w:ind w:left="720"/>
        <w:rPr>
          <w:rFonts w:ascii="Georgia" w:hAnsi="Georgia"/>
          <w:sz w:val="28"/>
          <w:szCs w:val="28"/>
        </w:rPr>
      </w:pPr>
      <w:r w:rsidRPr="007A7CEE">
        <w:rPr>
          <w:rFonts w:ascii="Georgia" w:hAnsi="Georgia"/>
          <w:sz w:val="28"/>
          <w:szCs w:val="28"/>
        </w:rPr>
        <w:t>Foreclosure is a catch-all term for the processes used by mortgage-holders (mortgagees) to take mortgaged property from borrowers (mortgagors who default on their mortgages</w:t>
      </w:r>
      <w:r>
        <w:rPr>
          <w:rFonts w:ascii="Georgia" w:hAnsi="Georgia"/>
          <w:sz w:val="28"/>
          <w:szCs w:val="28"/>
        </w:rPr>
        <w:t>)</w:t>
      </w:r>
      <w:r w:rsidRPr="007A7CEE">
        <w:rPr>
          <w:rFonts w:ascii="Georgia" w:hAnsi="Georgia"/>
          <w:sz w:val="28"/>
          <w:szCs w:val="28"/>
        </w:rPr>
        <w:t>. Foreclosure, like mortgages generally, is governed by the law of the place where the mortgaged item is located.</w:t>
      </w:r>
    </w:p>
    <w:p w14:paraId="75F4A73D" w14:textId="4C9E3982" w:rsidR="00FB37C0" w:rsidRDefault="00FB37C0" w:rsidP="00FB37C0">
      <w:pPr>
        <w:rPr>
          <w:rFonts w:ascii="Georgia" w:hAnsi="Georgia"/>
          <w:sz w:val="28"/>
          <w:szCs w:val="28"/>
        </w:rPr>
      </w:pPr>
      <w:r>
        <w:rPr>
          <w:rFonts w:ascii="Georgia" w:hAnsi="Georgia"/>
          <w:sz w:val="28"/>
          <w:szCs w:val="28"/>
        </w:rPr>
        <w:t>A variety of other Internet legal dictionaries agree that foreclosure involves the mortgage taking back a property from a delinquent mortgagor.</w:t>
      </w:r>
      <w:r>
        <w:rPr>
          <w:rStyle w:val="FootnoteReference"/>
          <w:rFonts w:ascii="Georgia" w:hAnsi="Georgia"/>
          <w:sz w:val="28"/>
          <w:szCs w:val="28"/>
        </w:rPr>
        <w:footnoteReference w:id="8"/>
      </w:r>
      <w:r>
        <w:rPr>
          <w:rFonts w:ascii="Georgia" w:hAnsi="Georgia"/>
          <w:sz w:val="28"/>
          <w:szCs w:val="28"/>
        </w:rPr>
        <w:t xml:space="preserve"> Only </w:t>
      </w:r>
      <w:r>
        <w:rPr>
          <w:rFonts w:ascii="Georgia" w:hAnsi="Georgia"/>
          <w:sz w:val="28"/>
          <w:szCs w:val="28"/>
        </w:rPr>
        <w:lastRenderedPageBreak/>
        <w:t>Black’s</w:t>
      </w:r>
      <w:r w:rsidR="006D5A41">
        <w:rPr>
          <w:rFonts w:ascii="Georgia" w:hAnsi="Georgia"/>
          <w:sz w:val="28"/>
          <w:szCs w:val="28"/>
        </w:rPr>
        <w:t xml:space="preserve"> Law Dictionary</w:t>
      </w:r>
      <w:r>
        <w:rPr>
          <w:rFonts w:ascii="Georgia" w:hAnsi="Georgia"/>
          <w:sz w:val="28"/>
          <w:szCs w:val="28"/>
        </w:rPr>
        <w:t xml:space="preserve"> even mentions non-mortgage situations and its reference to “common usage”</w:t>
      </w:r>
      <w:r w:rsidR="00F7396B">
        <w:rPr>
          <w:rFonts w:ascii="Georgia" w:hAnsi="Georgia"/>
          <w:sz w:val="28"/>
          <w:szCs w:val="28"/>
        </w:rPr>
        <w:t xml:space="preserve"> as</w:t>
      </w:r>
      <w:r>
        <w:rPr>
          <w:rFonts w:ascii="Georgia" w:hAnsi="Georgia"/>
          <w:sz w:val="28"/>
          <w:szCs w:val="28"/>
        </w:rPr>
        <w:t xml:space="preserve"> including non-mortgage liens and deeds of trust is not reflected in the lay dictionaries I consulted.</w:t>
      </w:r>
    </w:p>
    <w:p w14:paraId="2D3820F3" w14:textId="021B5332" w:rsidR="00290947" w:rsidRDefault="00290947" w:rsidP="00290947">
      <w:pPr>
        <w:rPr>
          <w:rFonts w:ascii="Georgia" w:hAnsi="Georgia"/>
          <w:sz w:val="28"/>
          <w:szCs w:val="28"/>
        </w:rPr>
      </w:pPr>
      <w:r w:rsidRPr="00290947">
        <w:rPr>
          <w:rFonts w:ascii="Georgia" w:hAnsi="Georgia"/>
          <w:sz w:val="28"/>
          <w:szCs w:val="28"/>
        </w:rPr>
        <w:t>In summary, dictionary definitions of “foreclosure” foreclose the idea that the word means anything other than a mortgagee taking back a property because the mortgagor is delinquent on its payments (pun intended).</w:t>
      </w:r>
    </w:p>
    <w:p w14:paraId="4C6BBED4" w14:textId="6979137C" w:rsidR="005C7ED8" w:rsidRPr="009948DB" w:rsidRDefault="005C7ED8" w:rsidP="00290947">
      <w:pPr>
        <w:rPr>
          <w:rFonts w:ascii="Georgia" w:hAnsi="Georgia"/>
          <w:sz w:val="28"/>
          <w:szCs w:val="28"/>
          <w:u w:val="single"/>
        </w:rPr>
      </w:pPr>
      <w:r w:rsidRPr="009948DB">
        <w:rPr>
          <w:rFonts w:ascii="Georgia" w:hAnsi="Georgia"/>
          <w:sz w:val="28"/>
          <w:szCs w:val="28"/>
          <w:u w:val="single"/>
        </w:rPr>
        <w:t>Context</w:t>
      </w:r>
    </w:p>
    <w:p w14:paraId="076B56D4" w14:textId="2D106622" w:rsidR="005A61F4" w:rsidRDefault="005C7ED8" w:rsidP="00290947">
      <w:pPr>
        <w:rPr>
          <w:rFonts w:ascii="Georgia" w:hAnsi="Georgia"/>
          <w:sz w:val="28"/>
          <w:szCs w:val="28"/>
        </w:rPr>
      </w:pPr>
      <w:r>
        <w:rPr>
          <w:rFonts w:ascii="Georgia" w:hAnsi="Georgia"/>
          <w:sz w:val="28"/>
          <w:szCs w:val="28"/>
        </w:rPr>
        <w:t>Sometimes, the meaning of a word can be deduced from how</w:t>
      </w:r>
      <w:r w:rsidR="00F7396B">
        <w:rPr>
          <w:rFonts w:ascii="Georgia" w:hAnsi="Georgia"/>
          <w:sz w:val="28"/>
          <w:szCs w:val="28"/>
        </w:rPr>
        <w:t xml:space="preserve"> </w:t>
      </w:r>
      <w:r>
        <w:rPr>
          <w:rFonts w:ascii="Georgia" w:hAnsi="Georgia"/>
          <w:sz w:val="28"/>
          <w:szCs w:val="28"/>
        </w:rPr>
        <w:t>it appears in the same statutory section or session law.</w:t>
      </w:r>
      <w:r w:rsidR="006D5A41">
        <w:rPr>
          <w:rFonts w:ascii="Georgia" w:hAnsi="Georgia"/>
          <w:sz w:val="28"/>
          <w:szCs w:val="28"/>
        </w:rPr>
        <w:t xml:space="preserve"> Here that approach is of no help. </w:t>
      </w:r>
      <w:r>
        <w:rPr>
          <w:rFonts w:ascii="Georgia" w:hAnsi="Georgia"/>
          <w:sz w:val="28"/>
          <w:szCs w:val="28"/>
        </w:rPr>
        <w:t>As stated above, outside the provision at issue, IRC Section 42</w:t>
      </w:r>
      <w:r w:rsidR="005223C1">
        <w:rPr>
          <w:rFonts w:ascii="Georgia" w:hAnsi="Georgia"/>
          <w:sz w:val="28"/>
          <w:szCs w:val="28"/>
        </w:rPr>
        <w:t xml:space="preserve"> does </w:t>
      </w:r>
      <w:r>
        <w:rPr>
          <w:rFonts w:ascii="Georgia" w:hAnsi="Georgia"/>
          <w:sz w:val="28"/>
          <w:szCs w:val="28"/>
        </w:rPr>
        <w:t xml:space="preserve">not use </w:t>
      </w:r>
      <w:r>
        <w:rPr>
          <w:rFonts w:ascii="Georgia" w:hAnsi="Georgia"/>
          <w:sz w:val="28"/>
          <w:szCs w:val="28"/>
        </w:rPr>
        <w:lastRenderedPageBreak/>
        <w:t xml:space="preserve">the word “foreclosure” in any </w:t>
      </w:r>
      <w:r w:rsidR="00184C4B">
        <w:rPr>
          <w:rFonts w:ascii="Georgia" w:hAnsi="Georgia"/>
          <w:sz w:val="28"/>
          <w:szCs w:val="28"/>
        </w:rPr>
        <w:t>helpful</w:t>
      </w:r>
      <w:r>
        <w:rPr>
          <w:rFonts w:ascii="Georgia" w:hAnsi="Georgia"/>
          <w:sz w:val="28"/>
          <w:szCs w:val="28"/>
        </w:rPr>
        <w:t xml:space="preserve"> way.</w:t>
      </w:r>
      <w:r>
        <w:rPr>
          <w:rStyle w:val="FootnoteReference"/>
          <w:rFonts w:ascii="Georgia" w:hAnsi="Georgia"/>
          <w:sz w:val="28"/>
          <w:szCs w:val="28"/>
        </w:rPr>
        <w:footnoteReference w:id="9"/>
      </w:r>
      <w:r w:rsidR="009948DB">
        <w:rPr>
          <w:rFonts w:ascii="Georgia" w:hAnsi="Georgia"/>
          <w:sz w:val="28"/>
          <w:szCs w:val="28"/>
        </w:rPr>
        <w:t xml:space="preserve"> </w:t>
      </w:r>
      <w:r w:rsidR="009D3C9B">
        <w:rPr>
          <w:rFonts w:ascii="Georgia" w:hAnsi="Georgia"/>
          <w:sz w:val="28"/>
          <w:szCs w:val="28"/>
        </w:rPr>
        <w:t>Neither does</w:t>
      </w:r>
      <w:r w:rsidR="009948DB">
        <w:rPr>
          <w:rFonts w:ascii="Georgia" w:hAnsi="Georgia"/>
          <w:sz w:val="28"/>
          <w:szCs w:val="28"/>
        </w:rPr>
        <w:t xml:space="preserve"> the use of the word “foreclosure” elsewhere in the session law shed any light?</w:t>
      </w:r>
      <w:r w:rsidR="009D3C9B">
        <w:rPr>
          <w:rStyle w:val="FootnoteReference"/>
          <w:rFonts w:ascii="Georgia" w:hAnsi="Georgia"/>
          <w:sz w:val="28"/>
          <w:szCs w:val="28"/>
        </w:rPr>
        <w:footnoteReference w:id="10"/>
      </w:r>
    </w:p>
    <w:p w14:paraId="011FFA04" w14:textId="1EC1AF35" w:rsidR="00B7466B" w:rsidRPr="005A61F4" w:rsidRDefault="00B7466B" w:rsidP="00290947">
      <w:pPr>
        <w:rPr>
          <w:rFonts w:ascii="Georgia" w:hAnsi="Georgia"/>
          <w:sz w:val="28"/>
          <w:szCs w:val="28"/>
        </w:rPr>
      </w:pPr>
      <w:r w:rsidRPr="00B7466B">
        <w:rPr>
          <w:rFonts w:ascii="Georgia" w:hAnsi="Georgia"/>
          <w:sz w:val="28"/>
          <w:szCs w:val="28"/>
          <w:u w:val="single"/>
        </w:rPr>
        <w:t>Legislative History</w:t>
      </w:r>
    </w:p>
    <w:p w14:paraId="60948557" w14:textId="77777777" w:rsidR="004006E1" w:rsidRPr="004006E1" w:rsidRDefault="004006E1" w:rsidP="004006E1">
      <w:pPr>
        <w:ind w:left="720"/>
        <w:rPr>
          <w:rFonts w:ascii="Georgia" w:hAnsi="Georgia"/>
          <w:sz w:val="28"/>
          <w:szCs w:val="28"/>
          <w:u w:val="single"/>
        </w:rPr>
      </w:pPr>
      <w:r w:rsidRPr="004006E1">
        <w:rPr>
          <w:rFonts w:ascii="Georgia" w:hAnsi="Georgia"/>
          <w:sz w:val="28"/>
          <w:szCs w:val="28"/>
          <w:u w:val="single"/>
        </w:rPr>
        <w:t>Mitchell-Danforth Report</w:t>
      </w:r>
    </w:p>
    <w:p w14:paraId="0ACE0CD6" w14:textId="33D616FE" w:rsidR="00B7466B" w:rsidRDefault="00F8405D" w:rsidP="00290947">
      <w:pPr>
        <w:rPr>
          <w:rFonts w:ascii="Georgia" w:hAnsi="Georgia"/>
          <w:sz w:val="28"/>
          <w:szCs w:val="28"/>
        </w:rPr>
      </w:pPr>
      <w:r>
        <w:rPr>
          <w:rFonts w:ascii="Georgia" w:hAnsi="Georgia"/>
          <w:sz w:val="28"/>
          <w:szCs w:val="28"/>
        </w:rPr>
        <w:t>The legislative history of the foreclosure clause starts outside the halls of Congress. The LIHTC was created out of whole cloth as part of the 1986 Tax Reform Act. It was the first tax program directly</w:t>
      </w:r>
      <w:r w:rsidR="005E1D46">
        <w:rPr>
          <w:rFonts w:ascii="Georgia" w:hAnsi="Georgia"/>
          <w:sz w:val="28"/>
          <w:szCs w:val="28"/>
        </w:rPr>
        <w:t xml:space="preserve"> aimed</w:t>
      </w:r>
      <w:r>
        <w:rPr>
          <w:rFonts w:ascii="Georgia" w:hAnsi="Georgia"/>
          <w:sz w:val="28"/>
          <w:szCs w:val="28"/>
        </w:rPr>
        <w:t xml:space="preserve"> at creating subsidized housing. Unsurprisingly the program had some flaws. In response, the Democratic Majority Leader of the Senate, George Mitchell, and Republican Senator John Danforth convened a 13-member task force in May 1988 to suggest improvements. The task force had representatives of all or nearly all the stakeholders.</w:t>
      </w:r>
      <w:r w:rsidR="00FA13E0">
        <w:rPr>
          <w:rFonts w:ascii="Georgia" w:hAnsi="Georgia"/>
          <w:sz w:val="28"/>
          <w:szCs w:val="28"/>
        </w:rPr>
        <w:t xml:space="preserve"> </w:t>
      </w:r>
      <w:hyperlink r:id="rId16" w:history="1">
        <w:r w:rsidR="00FA13E0" w:rsidRPr="003845A7">
          <w:rPr>
            <w:rStyle w:val="Hyperlink"/>
            <w:rFonts w:ascii="Georgia" w:hAnsi="Georgia"/>
            <w:sz w:val="28"/>
            <w:szCs w:val="28"/>
          </w:rPr>
          <w:t>Tracy A. Kaye</w:t>
        </w:r>
        <w:r w:rsidR="00142C1A">
          <w:rPr>
            <w:rStyle w:val="Hyperlink"/>
            <w:rFonts w:ascii="Georgia" w:hAnsi="Georgia"/>
            <w:sz w:val="28"/>
            <w:szCs w:val="28"/>
          </w:rPr>
          <w:t>,</w:t>
        </w:r>
        <w:r w:rsidR="00FA13E0" w:rsidRPr="003845A7">
          <w:rPr>
            <w:rStyle w:val="Hyperlink"/>
            <w:rFonts w:ascii="Georgia" w:hAnsi="Georgia"/>
            <w:sz w:val="28"/>
            <w:szCs w:val="28"/>
          </w:rPr>
          <w:t xml:space="preserve"> </w:t>
        </w:r>
        <w:r w:rsidR="00FA13E0" w:rsidRPr="003845A7">
          <w:rPr>
            <w:rStyle w:val="Hyperlink"/>
            <w:rFonts w:ascii="Georgia" w:hAnsi="Georgia"/>
            <w:i/>
            <w:iCs/>
            <w:sz w:val="28"/>
            <w:szCs w:val="28"/>
          </w:rPr>
          <w:t>Sheltering Social Policy in the Tax Code: The Low-Income Housing Credit</w:t>
        </w:r>
        <w:r w:rsidR="00FA13E0" w:rsidRPr="003845A7">
          <w:rPr>
            <w:rStyle w:val="Hyperlink"/>
            <w:rFonts w:ascii="Georgia" w:hAnsi="Georgia"/>
            <w:sz w:val="28"/>
            <w:szCs w:val="28"/>
          </w:rPr>
          <w:t>, 38 </w:t>
        </w:r>
        <w:r w:rsidR="00FA13E0" w:rsidRPr="003845A7">
          <w:rPr>
            <w:rStyle w:val="Hyperlink"/>
            <w:rFonts w:ascii="Georgia" w:hAnsi="Georgia"/>
            <w:iCs/>
            <w:smallCaps/>
            <w:sz w:val="28"/>
            <w:szCs w:val="28"/>
          </w:rPr>
          <w:t>Vill. L. Rev</w:t>
        </w:r>
        <w:r w:rsidR="00FA13E0" w:rsidRPr="003845A7">
          <w:rPr>
            <w:rStyle w:val="Hyperlink"/>
            <w:rFonts w:ascii="Georgia" w:hAnsi="Georgia"/>
            <w:i/>
            <w:iCs/>
            <w:sz w:val="28"/>
            <w:szCs w:val="28"/>
          </w:rPr>
          <w:t>.</w:t>
        </w:r>
        <w:r w:rsidR="00FA13E0" w:rsidRPr="003845A7">
          <w:rPr>
            <w:rStyle w:val="Hyperlink"/>
            <w:rFonts w:ascii="Georgia" w:hAnsi="Georgia"/>
            <w:sz w:val="28"/>
            <w:szCs w:val="28"/>
          </w:rPr>
          <w:t> 871, fn.67 (1993)</w:t>
        </w:r>
      </w:hyperlink>
      <w:r w:rsidR="003845A7" w:rsidRPr="003845A7">
        <w:rPr>
          <w:rFonts w:ascii="Georgia" w:hAnsi="Georgia"/>
          <w:color w:val="212121"/>
          <w:sz w:val="28"/>
          <w:szCs w:val="28"/>
        </w:rPr>
        <w:t xml:space="preserve"> </w:t>
      </w:r>
      <w:r w:rsidR="00C13CD7">
        <w:rPr>
          <w:rFonts w:ascii="Georgia" w:hAnsi="Georgia"/>
          <w:sz w:val="28"/>
          <w:szCs w:val="28"/>
        </w:rPr>
        <w:t>(hereafter “</w:t>
      </w:r>
      <w:r w:rsidR="00C13CD7" w:rsidRPr="003845A7">
        <w:rPr>
          <w:rFonts w:ascii="Georgia" w:hAnsi="Georgia"/>
          <w:i/>
          <w:iCs/>
          <w:sz w:val="28"/>
          <w:szCs w:val="28"/>
        </w:rPr>
        <w:t>Sheltering Social Policy</w:t>
      </w:r>
      <w:r w:rsidR="00142C1A">
        <w:rPr>
          <w:rFonts w:ascii="Georgia" w:hAnsi="Georgia"/>
          <w:i/>
          <w:iCs/>
          <w:sz w:val="28"/>
          <w:szCs w:val="28"/>
        </w:rPr>
        <w:t xml:space="preserve"> in the Tax Code</w:t>
      </w:r>
      <w:r w:rsidR="00C13CD7">
        <w:rPr>
          <w:rFonts w:ascii="Georgia" w:hAnsi="Georgia"/>
          <w:sz w:val="28"/>
          <w:szCs w:val="28"/>
        </w:rPr>
        <w:t>”). I</w:t>
      </w:r>
      <w:r>
        <w:rPr>
          <w:rFonts w:ascii="Georgia" w:hAnsi="Georgia"/>
          <w:sz w:val="28"/>
          <w:szCs w:val="28"/>
        </w:rPr>
        <w:t xml:space="preserve">n January 1989, the task force released </w:t>
      </w:r>
      <w:r w:rsidR="005E1D46">
        <w:rPr>
          <w:rFonts w:ascii="Georgia" w:hAnsi="Georgia"/>
          <w:sz w:val="28"/>
          <w:szCs w:val="28"/>
        </w:rPr>
        <w:t>the</w:t>
      </w:r>
      <w:r>
        <w:rPr>
          <w:rFonts w:ascii="Georgia" w:hAnsi="Georgia"/>
          <w:sz w:val="28"/>
          <w:szCs w:val="28"/>
        </w:rPr>
        <w:t xml:space="preserve"> </w:t>
      </w:r>
      <w:hyperlink r:id="rId17" w:history="1">
        <w:r w:rsidR="005E1D46">
          <w:rPr>
            <w:rStyle w:val="Hyperlink"/>
            <w:rFonts w:ascii="Georgia" w:hAnsi="Georgia"/>
            <w:sz w:val="28"/>
            <w:szCs w:val="28"/>
          </w:rPr>
          <w:t>Report of the M</w:t>
        </w:r>
        <w:r w:rsidRPr="00CE5433">
          <w:rPr>
            <w:rStyle w:val="Hyperlink"/>
            <w:rFonts w:ascii="Georgia" w:hAnsi="Georgia"/>
            <w:sz w:val="28"/>
            <w:szCs w:val="28"/>
          </w:rPr>
          <w:t>itchell-Danforth Task Force on the Low-Income Housing Tax Credit (Jan. 1989)</w:t>
        </w:r>
      </w:hyperlink>
      <w:r w:rsidR="009950F4">
        <w:rPr>
          <w:rFonts w:ascii="Georgia" w:hAnsi="Georgia"/>
          <w:sz w:val="28"/>
          <w:szCs w:val="28"/>
        </w:rPr>
        <w:t>(hereafter “Mitchell</w:t>
      </w:r>
      <w:r w:rsidR="00DE650A">
        <w:rPr>
          <w:rFonts w:ascii="Georgia" w:hAnsi="Georgia"/>
          <w:sz w:val="28"/>
          <w:szCs w:val="28"/>
        </w:rPr>
        <w:t xml:space="preserve"> </w:t>
      </w:r>
      <w:r w:rsidR="009950F4">
        <w:rPr>
          <w:rFonts w:ascii="Georgia" w:hAnsi="Georgia"/>
          <w:sz w:val="28"/>
          <w:szCs w:val="28"/>
        </w:rPr>
        <w:t>Danforth Report”)</w:t>
      </w:r>
      <w:r>
        <w:rPr>
          <w:rFonts w:ascii="Georgia" w:hAnsi="Georgia"/>
          <w:sz w:val="28"/>
          <w:szCs w:val="28"/>
        </w:rPr>
        <w:t>.</w:t>
      </w:r>
    </w:p>
    <w:p w14:paraId="2D6E8DFB" w14:textId="680EE50C" w:rsidR="009950F4" w:rsidRPr="00FC1454" w:rsidRDefault="009950F4" w:rsidP="00290947">
      <w:pPr>
        <w:rPr>
          <w:rFonts w:ascii="Georgia" w:hAnsi="Georgia"/>
          <w:color w:val="212121"/>
          <w:sz w:val="28"/>
          <w:szCs w:val="28"/>
        </w:rPr>
      </w:pPr>
      <w:r>
        <w:rPr>
          <w:rFonts w:ascii="Georgia" w:hAnsi="Georgia"/>
          <w:sz w:val="28"/>
          <w:szCs w:val="28"/>
        </w:rPr>
        <w:t xml:space="preserve">Most of the recommendations of the </w:t>
      </w:r>
      <w:hyperlink r:id="rId18" w:history="1">
        <w:r w:rsidR="00C13CD7" w:rsidRPr="00CE5433">
          <w:rPr>
            <w:rStyle w:val="Hyperlink"/>
            <w:rFonts w:ascii="Georgia" w:hAnsi="Georgia"/>
            <w:sz w:val="28"/>
            <w:szCs w:val="28"/>
          </w:rPr>
          <w:t>Mitchell</w:t>
        </w:r>
        <w:r w:rsidR="00DE650A">
          <w:rPr>
            <w:rStyle w:val="Hyperlink"/>
            <w:rFonts w:ascii="Georgia" w:hAnsi="Georgia"/>
            <w:sz w:val="28"/>
            <w:szCs w:val="28"/>
          </w:rPr>
          <w:t xml:space="preserve"> </w:t>
        </w:r>
        <w:r w:rsidR="00C13CD7" w:rsidRPr="00CE5433">
          <w:rPr>
            <w:rStyle w:val="Hyperlink"/>
            <w:rFonts w:ascii="Georgia" w:hAnsi="Georgia"/>
            <w:sz w:val="28"/>
            <w:szCs w:val="28"/>
          </w:rPr>
          <w:t>Danforth</w:t>
        </w:r>
        <w:r w:rsidR="00CE5433" w:rsidRPr="00CE5433">
          <w:rPr>
            <w:rStyle w:val="Hyperlink"/>
            <w:rFonts w:ascii="Georgia" w:hAnsi="Georgia"/>
            <w:sz w:val="28"/>
            <w:szCs w:val="28"/>
          </w:rPr>
          <w:t xml:space="preserve"> </w:t>
        </w:r>
        <w:r w:rsidR="00C13CD7" w:rsidRPr="00CE5433">
          <w:rPr>
            <w:rStyle w:val="Hyperlink"/>
            <w:rFonts w:ascii="Georgia" w:hAnsi="Georgia"/>
            <w:sz w:val="28"/>
            <w:szCs w:val="28"/>
          </w:rPr>
          <w:t>Report</w:t>
        </w:r>
      </w:hyperlink>
      <w:r w:rsidR="00C13CD7">
        <w:rPr>
          <w:rFonts w:ascii="Georgia" w:hAnsi="Georgia"/>
          <w:sz w:val="28"/>
          <w:szCs w:val="28"/>
        </w:rPr>
        <w:t xml:space="preserve"> </w:t>
      </w:r>
      <w:r>
        <w:rPr>
          <w:rFonts w:ascii="Georgia" w:hAnsi="Georgia"/>
          <w:sz w:val="28"/>
          <w:szCs w:val="28"/>
        </w:rPr>
        <w:t xml:space="preserve">were incorporated into S.980 and subsequently into the LIHTC part of P.L. 101-239. </w:t>
      </w:r>
      <w:hyperlink r:id="rId19" w:history="1">
        <w:r w:rsidR="009F737E" w:rsidRPr="003845A7">
          <w:rPr>
            <w:rStyle w:val="Hyperlink"/>
            <w:rFonts w:ascii="Georgia" w:hAnsi="Georgia"/>
            <w:i/>
            <w:iCs/>
            <w:sz w:val="28"/>
            <w:szCs w:val="28"/>
          </w:rPr>
          <w:t>Sheltering Social Policy</w:t>
        </w:r>
        <w:r w:rsidR="00142C1A">
          <w:rPr>
            <w:rStyle w:val="Hyperlink"/>
            <w:rFonts w:ascii="Georgia" w:hAnsi="Georgia"/>
            <w:i/>
            <w:iCs/>
            <w:sz w:val="28"/>
            <w:szCs w:val="28"/>
          </w:rPr>
          <w:t xml:space="preserve"> in the Tax Code</w:t>
        </w:r>
        <w:r w:rsidR="009F737E" w:rsidRPr="003845A7">
          <w:rPr>
            <w:rStyle w:val="Hyperlink"/>
            <w:rFonts w:ascii="Georgia" w:hAnsi="Georgia"/>
            <w:sz w:val="28"/>
            <w:szCs w:val="28"/>
          </w:rPr>
          <w:t xml:space="preserve">, fn. </w:t>
        </w:r>
        <w:r w:rsidRPr="003845A7">
          <w:rPr>
            <w:rStyle w:val="Hyperlink"/>
            <w:rFonts w:ascii="Georgia" w:hAnsi="Georgia"/>
            <w:sz w:val="28"/>
            <w:szCs w:val="28"/>
          </w:rPr>
          <w:t>71</w:t>
        </w:r>
      </w:hyperlink>
      <w:r>
        <w:rPr>
          <w:rFonts w:ascii="Georgia" w:hAnsi="Georgia"/>
          <w:sz w:val="28"/>
          <w:szCs w:val="28"/>
        </w:rPr>
        <w:t xml:space="preserve">; </w:t>
      </w:r>
      <w:hyperlink r:id="rId20" w:history="1">
        <w:r w:rsidR="00003C5C" w:rsidRPr="00C37822">
          <w:rPr>
            <w:rStyle w:val="Hyperlink"/>
            <w:rFonts w:ascii="Georgia" w:hAnsi="Georgia"/>
            <w:sz w:val="28"/>
            <w:szCs w:val="28"/>
          </w:rPr>
          <w:t xml:space="preserve">Congressional Record, </w:t>
        </w:r>
        <w:r w:rsidRPr="00C37822">
          <w:rPr>
            <w:rStyle w:val="Hyperlink"/>
            <w:rFonts w:ascii="Georgia" w:hAnsi="Georgia"/>
            <w:sz w:val="28"/>
            <w:szCs w:val="28"/>
          </w:rPr>
          <w:t xml:space="preserve">May 11, 1989, </w:t>
        </w:r>
        <w:r w:rsidR="00003C5C" w:rsidRPr="00C37822">
          <w:rPr>
            <w:rStyle w:val="Hyperlink"/>
            <w:rFonts w:ascii="Georgia" w:hAnsi="Georgia"/>
            <w:sz w:val="28"/>
            <w:szCs w:val="28"/>
          </w:rPr>
          <w:t xml:space="preserve">page </w:t>
        </w:r>
        <w:r w:rsidRPr="00C37822">
          <w:rPr>
            <w:rStyle w:val="Hyperlink"/>
            <w:rFonts w:ascii="Georgia" w:hAnsi="Georgia"/>
            <w:sz w:val="28"/>
            <w:szCs w:val="28"/>
          </w:rPr>
          <w:t>8977</w:t>
        </w:r>
      </w:hyperlink>
      <w:r w:rsidR="00D83B3C" w:rsidRPr="00C37822">
        <w:rPr>
          <w:rFonts w:ascii="Georgia" w:hAnsi="Georgia"/>
          <w:color w:val="212121"/>
          <w:sz w:val="28"/>
          <w:szCs w:val="28"/>
        </w:rPr>
        <w:t xml:space="preserve"> </w:t>
      </w:r>
      <w:r w:rsidRPr="00C37822">
        <w:rPr>
          <w:rFonts w:ascii="Georgia" w:hAnsi="Georgia"/>
          <w:color w:val="212121"/>
          <w:sz w:val="28"/>
          <w:szCs w:val="28"/>
        </w:rPr>
        <w:t xml:space="preserve">(Senator Mitchell stating, </w:t>
      </w:r>
      <w:r>
        <w:rPr>
          <w:rFonts w:ascii="Georgia" w:hAnsi="Georgia"/>
          <w:sz w:val="28"/>
          <w:szCs w:val="28"/>
        </w:rPr>
        <w:t xml:space="preserve">“This legislation [S.980] is </w:t>
      </w:r>
      <w:r w:rsidRPr="005203CE">
        <w:rPr>
          <w:rFonts w:ascii="Georgia" w:hAnsi="Georgia"/>
          <w:sz w:val="28"/>
          <w:szCs w:val="28"/>
        </w:rPr>
        <w:t xml:space="preserve">largely based on recommendations made by a low income housing industry task force organized by Senator DANFORTH and myself last </w:t>
      </w:r>
      <w:r w:rsidRPr="005203CE">
        <w:rPr>
          <w:rFonts w:ascii="Georgia" w:hAnsi="Georgia"/>
          <w:sz w:val="28"/>
          <w:szCs w:val="28"/>
        </w:rPr>
        <w:lastRenderedPageBreak/>
        <w:t>year.</w:t>
      </w:r>
      <w:r>
        <w:rPr>
          <w:rFonts w:ascii="Georgia" w:hAnsi="Georgia"/>
          <w:sz w:val="28"/>
          <w:szCs w:val="28"/>
        </w:rPr>
        <w:t xml:space="preserve">”); </w:t>
      </w:r>
      <w:hyperlink r:id="rId21" w:history="1">
        <w:r w:rsidR="00003C5C" w:rsidRPr="00DC35DA">
          <w:rPr>
            <w:rStyle w:val="Hyperlink"/>
            <w:rFonts w:ascii="Georgia" w:hAnsi="Georgia"/>
            <w:sz w:val="28"/>
            <w:szCs w:val="28"/>
          </w:rPr>
          <w:t>Congressional Record, May 11, 1989, page</w:t>
        </w:r>
        <w:r w:rsidR="00CB0C79" w:rsidRPr="00DC35DA">
          <w:rPr>
            <w:rStyle w:val="Hyperlink"/>
            <w:rFonts w:ascii="Georgia" w:hAnsi="Georgia"/>
            <w:sz w:val="28"/>
            <w:szCs w:val="28"/>
          </w:rPr>
          <w:t>s</w:t>
        </w:r>
        <w:r w:rsidR="00003C5C" w:rsidRPr="00DC35DA">
          <w:rPr>
            <w:rStyle w:val="Hyperlink"/>
            <w:rFonts w:ascii="Georgia" w:hAnsi="Georgia"/>
            <w:sz w:val="28"/>
            <w:szCs w:val="28"/>
          </w:rPr>
          <w:t xml:space="preserve"> </w:t>
        </w:r>
        <w:r w:rsidRPr="00DC35DA">
          <w:rPr>
            <w:rStyle w:val="Hyperlink"/>
            <w:rFonts w:ascii="Georgia" w:hAnsi="Georgia"/>
            <w:sz w:val="28"/>
            <w:szCs w:val="28"/>
          </w:rPr>
          <w:t>9011</w:t>
        </w:r>
        <w:r w:rsidR="00D83B3C" w:rsidRPr="00DC35DA">
          <w:rPr>
            <w:rStyle w:val="Hyperlink"/>
            <w:rFonts w:ascii="Georgia" w:hAnsi="Georgia"/>
            <w:sz w:val="28"/>
            <w:szCs w:val="28"/>
          </w:rPr>
          <w:t>-</w:t>
        </w:r>
        <w:r w:rsidR="00CB0C79" w:rsidRPr="00DC35DA">
          <w:rPr>
            <w:rStyle w:val="Hyperlink"/>
            <w:rFonts w:ascii="Georgia" w:hAnsi="Georgia"/>
            <w:sz w:val="28"/>
            <w:szCs w:val="28"/>
          </w:rPr>
          <w:t>9012</w:t>
        </w:r>
      </w:hyperlink>
      <w:r w:rsidRPr="00CB0C79">
        <w:rPr>
          <w:rFonts w:ascii="Georgia" w:hAnsi="Georgia"/>
          <w:color w:val="212121"/>
          <w:sz w:val="28"/>
          <w:szCs w:val="28"/>
        </w:rPr>
        <w:t xml:space="preserve"> </w:t>
      </w:r>
      <w:r>
        <w:rPr>
          <w:rFonts w:ascii="Georgia" w:hAnsi="Georgia"/>
          <w:sz w:val="28"/>
          <w:szCs w:val="28"/>
        </w:rPr>
        <w:t>(Congressman Rangel, chief sponsor of the companion bill to S.980, summarizing the bill and stating, “</w:t>
      </w:r>
      <w:r w:rsidRPr="009B2BBE">
        <w:rPr>
          <w:rFonts w:ascii="Georgia" w:hAnsi="Georgia"/>
          <w:sz w:val="28"/>
          <w:szCs w:val="28"/>
        </w:rPr>
        <w:t>The bill also makes several changes in the credit program designed to improve its effec</w:t>
      </w:r>
      <w:r>
        <w:t>t</w:t>
      </w:r>
      <w:r w:rsidRPr="009B2BBE">
        <w:rPr>
          <w:rFonts w:ascii="Georgia" w:hAnsi="Georgia"/>
          <w:sz w:val="28"/>
          <w:szCs w:val="28"/>
        </w:rPr>
        <w:t>iveness. These changes are being proposed as a result of a task force of housing experts convened by Senator GEORGE MITCHELL of Maine and Senator JOHN DANFORTH of Missouri.</w:t>
      </w:r>
      <w:r>
        <w:rPr>
          <w:rFonts w:ascii="Georgia" w:hAnsi="Georgia"/>
          <w:sz w:val="28"/>
          <w:szCs w:val="28"/>
        </w:rPr>
        <w:t>”)</w:t>
      </w:r>
      <w:r w:rsidR="00E37C8D">
        <w:rPr>
          <w:rFonts w:ascii="Georgia" w:hAnsi="Georgia"/>
          <w:sz w:val="28"/>
          <w:szCs w:val="28"/>
        </w:rPr>
        <w:t xml:space="preserve">; </w:t>
      </w:r>
      <w:hyperlink r:id="rId22" w:history="1">
        <w:r w:rsidR="00E37C8D" w:rsidRPr="006E7422">
          <w:rPr>
            <w:rStyle w:val="Hyperlink"/>
            <w:rFonts w:ascii="Georgia" w:hAnsi="Georgia"/>
            <w:sz w:val="28"/>
            <w:szCs w:val="28"/>
          </w:rPr>
          <w:t>Congressional Record, May 11, 1989, page</w:t>
        </w:r>
        <w:r w:rsidR="00D83B3C" w:rsidRPr="006E7422">
          <w:rPr>
            <w:rStyle w:val="Hyperlink"/>
            <w:rFonts w:ascii="Georgia" w:hAnsi="Georgia"/>
            <w:sz w:val="28"/>
            <w:szCs w:val="28"/>
          </w:rPr>
          <w:t>s</w:t>
        </w:r>
        <w:r w:rsidR="00E37C8D" w:rsidRPr="006E7422">
          <w:rPr>
            <w:rStyle w:val="Hyperlink"/>
            <w:rFonts w:ascii="Georgia" w:hAnsi="Georgia"/>
            <w:sz w:val="28"/>
            <w:szCs w:val="28"/>
          </w:rPr>
          <w:t xml:space="preserve"> 8985-8986</w:t>
        </w:r>
      </w:hyperlink>
      <w:r w:rsidR="00E37C8D" w:rsidRPr="00355CFD">
        <w:rPr>
          <w:rFonts w:ascii="Georgia" w:hAnsi="Georgia"/>
          <w:color w:val="212121"/>
          <w:sz w:val="28"/>
          <w:szCs w:val="28"/>
        </w:rPr>
        <w:t xml:space="preserve"> </w:t>
      </w:r>
      <w:r w:rsidR="00E37C8D">
        <w:rPr>
          <w:rFonts w:ascii="Georgia" w:hAnsi="Georgia"/>
          <w:sz w:val="28"/>
          <w:szCs w:val="28"/>
        </w:rPr>
        <w:t>(Senator Danforth stating, “[T]</w:t>
      </w:r>
      <w:r w:rsidR="00E37C8D" w:rsidRPr="005203CE">
        <w:rPr>
          <w:rFonts w:ascii="Georgia" w:hAnsi="Georgia"/>
          <w:sz w:val="28"/>
          <w:szCs w:val="28"/>
        </w:rPr>
        <w:t xml:space="preserve">oday Senator MITCHELL and I are introducing a bill to extend permanently and modify the low-income housing tax credit….These modifications to the low income housing tax credit are primarily based on the recommendations made by the </w:t>
      </w:r>
      <w:r w:rsidR="00E37C8D" w:rsidRPr="00FC1454">
        <w:rPr>
          <w:rFonts w:ascii="Georgia" w:hAnsi="Georgia"/>
          <w:color w:val="212121"/>
          <w:sz w:val="28"/>
          <w:szCs w:val="28"/>
        </w:rPr>
        <w:t>Mitchell</w:t>
      </w:r>
      <w:r w:rsidR="00DE650A">
        <w:rPr>
          <w:rFonts w:ascii="Georgia" w:hAnsi="Georgia"/>
          <w:color w:val="212121"/>
          <w:sz w:val="28"/>
          <w:szCs w:val="28"/>
        </w:rPr>
        <w:t xml:space="preserve"> </w:t>
      </w:r>
      <w:r w:rsidR="00E37C8D" w:rsidRPr="00FC1454">
        <w:rPr>
          <w:rFonts w:ascii="Georgia" w:hAnsi="Georgia"/>
          <w:color w:val="212121"/>
          <w:sz w:val="28"/>
          <w:szCs w:val="28"/>
        </w:rPr>
        <w:t>Danforth Task Force on the Low-Income Housing Tax Credit.”)</w:t>
      </w:r>
    </w:p>
    <w:p w14:paraId="78E437C2" w14:textId="237638C7" w:rsidR="00006E62" w:rsidRDefault="00006E62" w:rsidP="00290947">
      <w:pPr>
        <w:rPr>
          <w:rFonts w:ascii="Georgia" w:hAnsi="Georgia"/>
          <w:sz w:val="28"/>
          <w:szCs w:val="28"/>
        </w:rPr>
      </w:pPr>
      <w:r>
        <w:rPr>
          <w:rFonts w:ascii="Georgia" w:hAnsi="Georgia"/>
          <w:sz w:val="28"/>
          <w:szCs w:val="28"/>
        </w:rPr>
        <w:t xml:space="preserve">The foreclosure provision was a minor part of the </w:t>
      </w:r>
      <w:r w:rsidR="00FC1454">
        <w:rPr>
          <w:rFonts w:ascii="Georgia" w:hAnsi="Georgia"/>
          <w:sz w:val="28"/>
          <w:szCs w:val="28"/>
        </w:rPr>
        <w:t>Mitchell Danforth R</w:t>
      </w:r>
      <w:r>
        <w:rPr>
          <w:rFonts w:ascii="Georgia" w:hAnsi="Georgia"/>
          <w:sz w:val="28"/>
          <w:szCs w:val="28"/>
        </w:rPr>
        <w:t>eport</w:t>
      </w:r>
      <w:r w:rsidR="00FC1454">
        <w:rPr>
          <w:rFonts w:ascii="Georgia" w:hAnsi="Georgia"/>
          <w:sz w:val="28"/>
          <w:szCs w:val="28"/>
        </w:rPr>
        <w:t xml:space="preserve">. However, </w:t>
      </w:r>
      <w:r>
        <w:rPr>
          <w:rFonts w:ascii="Georgia" w:hAnsi="Georgia"/>
          <w:sz w:val="28"/>
          <w:szCs w:val="28"/>
        </w:rPr>
        <w:t xml:space="preserve">the report did explain </w:t>
      </w:r>
      <w:r w:rsidR="00FC1454">
        <w:rPr>
          <w:rFonts w:ascii="Georgia" w:hAnsi="Georgia"/>
          <w:sz w:val="28"/>
          <w:szCs w:val="28"/>
        </w:rPr>
        <w:t>the provision</w:t>
      </w:r>
      <w:r>
        <w:rPr>
          <w:rFonts w:ascii="Georgia" w:hAnsi="Georgia"/>
          <w:sz w:val="28"/>
          <w:szCs w:val="28"/>
        </w:rPr>
        <w:t xml:space="preserve"> as follows:</w:t>
      </w:r>
    </w:p>
    <w:p w14:paraId="4FCC6EF1" w14:textId="16052F5B" w:rsidR="00006E62" w:rsidRDefault="00006E62" w:rsidP="00006E62">
      <w:pPr>
        <w:ind w:left="720"/>
        <w:rPr>
          <w:rFonts w:ascii="Georgia" w:hAnsi="Georgia"/>
          <w:sz w:val="28"/>
          <w:szCs w:val="28"/>
        </w:rPr>
      </w:pPr>
      <w:r w:rsidRPr="00006E62">
        <w:rPr>
          <w:rFonts w:ascii="Georgia" w:hAnsi="Georgia"/>
          <w:sz w:val="28"/>
          <w:szCs w:val="28"/>
        </w:rPr>
        <w:t xml:space="preserve">In the event the property is taken by a </w:t>
      </w:r>
      <w:r w:rsidRPr="00006E62">
        <w:rPr>
          <w:rFonts w:ascii="Georgia" w:hAnsi="Georgia"/>
          <w:sz w:val="28"/>
          <w:szCs w:val="28"/>
          <w:u w:val="single"/>
        </w:rPr>
        <w:t>lender</w:t>
      </w:r>
      <w:r w:rsidRPr="00006E62">
        <w:rPr>
          <w:rFonts w:ascii="Georgia" w:hAnsi="Georgia"/>
          <w:sz w:val="28"/>
          <w:szCs w:val="28"/>
        </w:rPr>
        <w:t xml:space="preserve"> through foreclosure, the lender should be provided a means for re-negotiating the terms of the Regulatory Agreement if continued compliance is not financially viable</w:t>
      </w:r>
      <w:r>
        <w:rPr>
          <w:rFonts w:ascii="Georgia" w:hAnsi="Georgia"/>
          <w:sz w:val="28"/>
          <w:szCs w:val="28"/>
        </w:rPr>
        <w:t>.</w:t>
      </w:r>
    </w:p>
    <w:p w14:paraId="0ED3550F" w14:textId="7E92BE37" w:rsidR="00006E62" w:rsidRDefault="00000000" w:rsidP="00290947">
      <w:pPr>
        <w:rPr>
          <w:rFonts w:ascii="Georgia" w:hAnsi="Georgia"/>
          <w:sz w:val="28"/>
          <w:szCs w:val="28"/>
        </w:rPr>
      </w:pPr>
      <w:hyperlink r:id="rId23" w:history="1">
        <w:r w:rsidR="005B510C">
          <w:rPr>
            <w:rStyle w:val="Hyperlink"/>
            <w:rFonts w:ascii="Georgia" w:hAnsi="Georgia"/>
            <w:sz w:val="28"/>
            <w:szCs w:val="28"/>
          </w:rPr>
          <w:t>M</w:t>
        </w:r>
        <w:r w:rsidR="005B510C" w:rsidRPr="00CE5433">
          <w:rPr>
            <w:rStyle w:val="Hyperlink"/>
            <w:rFonts w:ascii="Georgia" w:hAnsi="Georgia"/>
            <w:sz w:val="28"/>
            <w:szCs w:val="28"/>
          </w:rPr>
          <w:t>itchell</w:t>
        </w:r>
        <w:r w:rsidR="005B510C">
          <w:rPr>
            <w:rStyle w:val="Hyperlink"/>
            <w:rFonts w:ascii="Georgia" w:hAnsi="Georgia"/>
            <w:sz w:val="28"/>
            <w:szCs w:val="28"/>
          </w:rPr>
          <w:t xml:space="preserve"> </w:t>
        </w:r>
        <w:r w:rsidR="005B510C" w:rsidRPr="00CE5433">
          <w:rPr>
            <w:rStyle w:val="Hyperlink"/>
            <w:rFonts w:ascii="Georgia" w:hAnsi="Georgia"/>
            <w:sz w:val="28"/>
            <w:szCs w:val="28"/>
          </w:rPr>
          <w:t xml:space="preserve">Danforth </w:t>
        </w:r>
        <w:r w:rsidR="005B510C">
          <w:rPr>
            <w:rStyle w:val="Hyperlink"/>
            <w:rFonts w:ascii="Georgia" w:hAnsi="Georgia"/>
            <w:sz w:val="28"/>
            <w:szCs w:val="28"/>
          </w:rPr>
          <w:t>Report at 18</w:t>
        </w:r>
      </w:hyperlink>
      <w:r w:rsidR="005B510C">
        <w:rPr>
          <w:rFonts w:ascii="Georgia" w:hAnsi="Georgia"/>
          <w:sz w:val="28"/>
          <w:szCs w:val="28"/>
        </w:rPr>
        <w:t xml:space="preserve"> </w:t>
      </w:r>
      <w:r w:rsidR="00006E62">
        <w:rPr>
          <w:rFonts w:ascii="Georgia" w:hAnsi="Georgia"/>
          <w:sz w:val="28"/>
          <w:szCs w:val="28"/>
        </w:rPr>
        <w:t>(emphasis added).</w:t>
      </w:r>
    </w:p>
    <w:p w14:paraId="56EC890A" w14:textId="3BECBCBC" w:rsidR="00006E62" w:rsidRDefault="00006E62" w:rsidP="00290947">
      <w:pPr>
        <w:rPr>
          <w:rFonts w:ascii="Georgia" w:hAnsi="Georgia"/>
          <w:sz w:val="28"/>
          <w:szCs w:val="28"/>
        </w:rPr>
      </w:pPr>
      <w:r>
        <w:rPr>
          <w:rFonts w:ascii="Georgia" w:hAnsi="Georgia"/>
          <w:sz w:val="28"/>
          <w:szCs w:val="28"/>
        </w:rPr>
        <w:t xml:space="preserve">In order to get a fuller understanding of this point, I contacted Tracy Kaye, the author of </w:t>
      </w:r>
      <w:hyperlink r:id="rId24" w:history="1">
        <w:r w:rsidR="004338F7" w:rsidRPr="00142C1A">
          <w:rPr>
            <w:rStyle w:val="Hyperlink"/>
            <w:rFonts w:ascii="Georgia" w:hAnsi="Georgia"/>
            <w:i/>
            <w:iCs/>
            <w:sz w:val="28"/>
            <w:szCs w:val="28"/>
          </w:rPr>
          <w:t>Sheltering Social Policy</w:t>
        </w:r>
        <w:r w:rsidR="00142C1A" w:rsidRPr="00142C1A">
          <w:rPr>
            <w:rStyle w:val="Hyperlink"/>
            <w:rFonts w:ascii="Georgia" w:hAnsi="Georgia"/>
            <w:i/>
            <w:iCs/>
            <w:sz w:val="28"/>
            <w:szCs w:val="28"/>
          </w:rPr>
          <w:t xml:space="preserve"> in the Tax Code</w:t>
        </w:r>
      </w:hyperlink>
      <w:r>
        <w:rPr>
          <w:rFonts w:ascii="Georgia" w:hAnsi="Georgia"/>
          <w:sz w:val="28"/>
          <w:szCs w:val="28"/>
        </w:rPr>
        <w:t xml:space="preserve">. Professor Kaye was the Tax Legislative Assistant to Senator Danforth during the relevant period. </w:t>
      </w:r>
      <w:hyperlink r:id="rId25" w:history="1">
        <w:r w:rsidR="004338F7" w:rsidRPr="003845A7">
          <w:rPr>
            <w:rStyle w:val="Hyperlink"/>
            <w:rFonts w:ascii="Georgia" w:hAnsi="Georgia"/>
            <w:i/>
            <w:iCs/>
            <w:sz w:val="28"/>
            <w:szCs w:val="28"/>
          </w:rPr>
          <w:t>Id</w:t>
        </w:r>
        <w:r w:rsidR="004338F7" w:rsidRPr="003845A7">
          <w:rPr>
            <w:rStyle w:val="Hyperlink"/>
            <w:rFonts w:ascii="Georgia" w:hAnsi="Georgia"/>
            <w:sz w:val="28"/>
            <w:szCs w:val="28"/>
          </w:rPr>
          <w:t>. fn.</w:t>
        </w:r>
        <w:r w:rsidRPr="003845A7">
          <w:rPr>
            <w:rStyle w:val="Hyperlink"/>
            <w:rFonts w:ascii="Georgia" w:hAnsi="Georgia"/>
            <w:sz w:val="28"/>
            <w:szCs w:val="28"/>
          </w:rPr>
          <w:t>*.</w:t>
        </w:r>
      </w:hyperlink>
      <w:r w:rsidRPr="003845A7">
        <w:rPr>
          <w:rFonts w:ascii="Georgia" w:hAnsi="Georgia"/>
          <w:color w:val="212121"/>
          <w:sz w:val="28"/>
          <w:szCs w:val="28"/>
        </w:rPr>
        <w:t xml:space="preserve"> </w:t>
      </w:r>
      <w:r w:rsidR="00DE24BB">
        <w:rPr>
          <w:rFonts w:ascii="Georgia" w:hAnsi="Georgia"/>
          <w:sz w:val="28"/>
          <w:szCs w:val="28"/>
        </w:rPr>
        <w:t>I asked her about the thinking behind the foreclosure provision. She contacted a colleague and this was the reply:</w:t>
      </w:r>
    </w:p>
    <w:p w14:paraId="0884F22B" w14:textId="77777777" w:rsidR="00825729" w:rsidRDefault="00DE24BB" w:rsidP="00825729">
      <w:pPr>
        <w:ind w:left="720"/>
        <w:rPr>
          <w:rFonts w:ascii="Georgia" w:hAnsi="Georgia"/>
          <w:sz w:val="28"/>
          <w:szCs w:val="28"/>
        </w:rPr>
      </w:pPr>
      <w:r w:rsidRPr="00DE24BB">
        <w:rPr>
          <w:rFonts w:ascii="Georgia" w:hAnsi="Georgia"/>
          <w:sz w:val="28"/>
          <w:szCs w:val="28"/>
        </w:rPr>
        <w:t>Since the statute speaks of “foreclosure (or instrument in lieu of foreclosure)”, I would say the answer is no, a tax-forfeiture sale would not cause the rent and income restrictions to be terminated.  This provision was included in section 42 to give lenders security for their loans and thus facilitate the ability of developers to obtain long term financing. The rationale for this exception to the 30 year use restrictions would not seem to me to apply to tax-forfeitures.  </w:t>
      </w:r>
    </w:p>
    <w:p w14:paraId="01320255" w14:textId="2B557562" w:rsidR="002C1FE5" w:rsidRPr="00825729" w:rsidRDefault="004338F7" w:rsidP="00825729">
      <w:pPr>
        <w:jc w:val="both"/>
        <w:rPr>
          <w:rFonts w:ascii="Georgia" w:hAnsi="Georgia"/>
          <w:sz w:val="28"/>
          <w:szCs w:val="28"/>
        </w:rPr>
      </w:pPr>
      <w:r w:rsidRPr="004338F7">
        <w:rPr>
          <w:rFonts w:ascii="Georgia" w:hAnsi="Georgia"/>
          <w:color w:val="212121"/>
          <w:sz w:val="28"/>
          <w:szCs w:val="28"/>
        </w:rPr>
        <w:t>The email string is available from me upon request.</w:t>
      </w:r>
    </w:p>
    <w:p w14:paraId="7F0353E3" w14:textId="62D29F78" w:rsidR="00DE24BB" w:rsidRDefault="00DE24BB" w:rsidP="00290947">
      <w:pPr>
        <w:rPr>
          <w:rFonts w:ascii="Georgia" w:hAnsi="Georgia"/>
          <w:sz w:val="28"/>
          <w:szCs w:val="28"/>
        </w:rPr>
      </w:pPr>
      <w:r>
        <w:rPr>
          <w:rFonts w:ascii="Georgia" w:hAnsi="Georgia"/>
          <w:sz w:val="28"/>
          <w:szCs w:val="28"/>
        </w:rPr>
        <w:t>As set out above, the</w:t>
      </w:r>
      <w:r w:rsidR="004338F7">
        <w:rPr>
          <w:rFonts w:ascii="Georgia" w:hAnsi="Georgia"/>
          <w:sz w:val="28"/>
          <w:szCs w:val="28"/>
        </w:rPr>
        <w:t xml:space="preserve"> </w:t>
      </w:r>
      <w:hyperlink r:id="rId26" w:history="1">
        <w:r w:rsidR="004338F7" w:rsidRPr="00B13CC5">
          <w:rPr>
            <w:rStyle w:val="Hyperlink"/>
            <w:rFonts w:ascii="Georgia" w:hAnsi="Georgia"/>
            <w:sz w:val="28"/>
            <w:szCs w:val="28"/>
          </w:rPr>
          <w:t>Mitchell</w:t>
        </w:r>
        <w:r w:rsidR="00DE650A">
          <w:rPr>
            <w:rStyle w:val="Hyperlink"/>
            <w:rFonts w:ascii="Georgia" w:hAnsi="Georgia"/>
            <w:sz w:val="28"/>
            <w:szCs w:val="28"/>
          </w:rPr>
          <w:t xml:space="preserve"> </w:t>
        </w:r>
        <w:r w:rsidR="004338F7" w:rsidRPr="00B13CC5">
          <w:rPr>
            <w:rStyle w:val="Hyperlink"/>
            <w:rFonts w:ascii="Georgia" w:hAnsi="Georgia"/>
            <w:sz w:val="28"/>
            <w:szCs w:val="28"/>
          </w:rPr>
          <w:t>Danforth Report</w:t>
        </w:r>
      </w:hyperlink>
      <w:r w:rsidRPr="00B13CC5">
        <w:rPr>
          <w:rFonts w:ascii="Georgia" w:hAnsi="Georgia"/>
          <w:color w:val="212121"/>
          <w:sz w:val="28"/>
          <w:szCs w:val="28"/>
        </w:rPr>
        <w:t xml:space="preserve"> </w:t>
      </w:r>
      <w:r>
        <w:rPr>
          <w:rFonts w:ascii="Georgia" w:hAnsi="Georgia"/>
          <w:sz w:val="28"/>
          <w:szCs w:val="28"/>
        </w:rPr>
        <w:t xml:space="preserve">actually did “discuss this rather obscure issue”, although not in as full a fashion </w:t>
      </w:r>
      <w:r w:rsidR="00DE650A">
        <w:rPr>
          <w:rFonts w:ascii="Georgia" w:hAnsi="Georgia"/>
          <w:sz w:val="28"/>
          <w:szCs w:val="28"/>
        </w:rPr>
        <w:t>as</w:t>
      </w:r>
      <w:r>
        <w:rPr>
          <w:rFonts w:ascii="Georgia" w:hAnsi="Georgia"/>
          <w:sz w:val="28"/>
          <w:szCs w:val="28"/>
        </w:rPr>
        <w:t xml:space="preserve"> did the professors. </w:t>
      </w:r>
      <w:r>
        <w:rPr>
          <w:rFonts w:ascii="Georgia" w:hAnsi="Georgia"/>
          <w:sz w:val="28"/>
          <w:szCs w:val="28"/>
        </w:rPr>
        <w:lastRenderedPageBreak/>
        <w:t>That said, the professors’ explanation is more complete. The foreclosure provision was designed to help lenders “</w:t>
      </w:r>
      <w:r w:rsidRPr="00DE24BB">
        <w:rPr>
          <w:rFonts w:ascii="Georgia" w:hAnsi="Georgia"/>
          <w:sz w:val="28"/>
          <w:szCs w:val="28"/>
        </w:rPr>
        <w:t>to give lenders security for their loans and thus facilitate the ability of developers to obtain long term financing.</w:t>
      </w:r>
      <w:r>
        <w:rPr>
          <w:rFonts w:ascii="Georgia" w:hAnsi="Georgia"/>
          <w:sz w:val="28"/>
          <w:szCs w:val="28"/>
        </w:rPr>
        <w:t>” I.e., lenders, not property-taxing governments, were meant to be protected by the provision.</w:t>
      </w:r>
    </w:p>
    <w:p w14:paraId="3A5BDAEC" w14:textId="0D9C7E89" w:rsidR="002C1FE5" w:rsidRPr="002F024A" w:rsidRDefault="002C1FE5" w:rsidP="002F024A">
      <w:pPr>
        <w:ind w:left="720"/>
        <w:rPr>
          <w:rFonts w:ascii="Georgia" w:hAnsi="Georgia"/>
          <w:sz w:val="28"/>
          <w:szCs w:val="28"/>
          <w:u w:val="single"/>
        </w:rPr>
      </w:pPr>
      <w:r w:rsidRPr="002F024A">
        <w:rPr>
          <w:rFonts w:ascii="Georgia" w:hAnsi="Georgia"/>
          <w:sz w:val="28"/>
          <w:szCs w:val="28"/>
          <w:u w:val="single"/>
        </w:rPr>
        <w:t>Congressional Statements</w:t>
      </w:r>
    </w:p>
    <w:p w14:paraId="45A45380" w14:textId="206246AE" w:rsidR="002C1FE5" w:rsidRDefault="002C1FE5" w:rsidP="00290947">
      <w:pPr>
        <w:rPr>
          <w:rFonts w:ascii="Georgia" w:hAnsi="Georgia"/>
          <w:sz w:val="28"/>
          <w:szCs w:val="28"/>
        </w:rPr>
      </w:pPr>
      <w:r>
        <w:rPr>
          <w:rFonts w:ascii="Georgia" w:hAnsi="Georgia"/>
          <w:sz w:val="28"/>
          <w:szCs w:val="28"/>
        </w:rPr>
        <w:t>As it turned out, the foreclosure provision in S.980 remained intact during the Senate committee process.</w:t>
      </w:r>
      <w:r w:rsidR="00CE1941">
        <w:rPr>
          <w:rFonts w:ascii="Georgia" w:hAnsi="Georgia"/>
          <w:sz w:val="28"/>
          <w:szCs w:val="28"/>
        </w:rPr>
        <w:t xml:space="preserve"> </w:t>
      </w:r>
      <w:hyperlink r:id="rId27" w:history="1">
        <w:r w:rsidR="00CE1941" w:rsidRPr="004F58F6">
          <w:rPr>
            <w:rStyle w:val="Hyperlink"/>
            <w:rFonts w:ascii="Georgia" w:hAnsi="Georgia"/>
            <w:sz w:val="28"/>
            <w:szCs w:val="28"/>
          </w:rPr>
          <w:t>https://www.congress.gov/bill/101st-congress/senate-bill/980</w:t>
        </w:r>
      </w:hyperlink>
      <w:r>
        <w:rPr>
          <w:rFonts w:ascii="Georgia" w:hAnsi="Georgia"/>
          <w:sz w:val="28"/>
          <w:szCs w:val="28"/>
        </w:rPr>
        <w:t>. The House committee process produced a considerably different provision, which did not have an Extended Low Income Commitment and thus no foreclosure provision.</w:t>
      </w:r>
      <w:r w:rsidR="00555BD3">
        <w:rPr>
          <w:rStyle w:val="FootnoteReference"/>
          <w:rFonts w:ascii="Georgia" w:hAnsi="Georgia"/>
          <w:sz w:val="28"/>
          <w:szCs w:val="28"/>
        </w:rPr>
        <w:footnoteReference w:id="11"/>
      </w:r>
      <w:r>
        <w:rPr>
          <w:rFonts w:ascii="Georgia" w:hAnsi="Georgia"/>
          <w:sz w:val="28"/>
          <w:szCs w:val="28"/>
        </w:rPr>
        <w:t xml:space="preserve"> The conference committee’s report, which was adopted by both chambers and included in </w:t>
      </w:r>
      <w:hyperlink r:id="rId28" w:history="1">
        <w:r w:rsidRPr="006B3A4C">
          <w:rPr>
            <w:rStyle w:val="Hyperlink"/>
            <w:rFonts w:ascii="Georgia" w:hAnsi="Georgia"/>
            <w:sz w:val="28"/>
            <w:szCs w:val="28"/>
          </w:rPr>
          <w:t>P.L. 101-239</w:t>
        </w:r>
      </w:hyperlink>
      <w:r>
        <w:rPr>
          <w:rFonts w:ascii="Georgia" w:hAnsi="Georgia"/>
          <w:sz w:val="28"/>
          <w:szCs w:val="28"/>
        </w:rPr>
        <w:t>, used the Senate version.</w:t>
      </w:r>
      <w:r w:rsidR="00D41D69">
        <w:rPr>
          <w:rFonts w:ascii="Georgia" w:hAnsi="Georgia"/>
          <w:sz w:val="28"/>
          <w:szCs w:val="28"/>
        </w:rPr>
        <w:t xml:space="preserve"> </w:t>
      </w:r>
      <w:hyperlink r:id="rId29" w:history="1">
        <w:r w:rsidR="00D41D69" w:rsidRPr="008D6360">
          <w:rPr>
            <w:rStyle w:val="Hyperlink"/>
            <w:rFonts w:ascii="Georgia" w:hAnsi="Georgia"/>
            <w:sz w:val="28"/>
            <w:szCs w:val="28"/>
          </w:rPr>
          <w:t>House Conference Report 101-386</w:t>
        </w:r>
        <w:r w:rsidR="008D6360" w:rsidRPr="008D6360">
          <w:rPr>
            <w:rStyle w:val="Hyperlink"/>
            <w:rFonts w:ascii="Georgia" w:hAnsi="Georgia"/>
            <w:sz w:val="28"/>
            <w:szCs w:val="28"/>
          </w:rPr>
          <w:t xml:space="preserve"> at </w:t>
        </w:r>
        <w:r w:rsidR="00CE18F2">
          <w:rPr>
            <w:rStyle w:val="Hyperlink"/>
            <w:rFonts w:ascii="Georgia" w:hAnsi="Georgia"/>
            <w:sz w:val="28"/>
            <w:szCs w:val="28"/>
          </w:rPr>
          <w:t>528, USCANN page 734</w:t>
        </w:r>
        <w:r w:rsidRPr="008D6360">
          <w:rPr>
            <w:rStyle w:val="Hyperlink"/>
            <w:rFonts w:ascii="Georgia" w:hAnsi="Georgia"/>
            <w:sz w:val="28"/>
            <w:szCs w:val="28"/>
          </w:rPr>
          <w:t>.</w:t>
        </w:r>
      </w:hyperlink>
    </w:p>
    <w:p w14:paraId="22987F7D" w14:textId="753E50DC" w:rsidR="002C1FE5" w:rsidRDefault="002C1FE5" w:rsidP="00290947">
      <w:pPr>
        <w:rPr>
          <w:rFonts w:ascii="Georgia" w:hAnsi="Georgia"/>
          <w:sz w:val="28"/>
          <w:szCs w:val="28"/>
        </w:rPr>
      </w:pPr>
      <w:r>
        <w:rPr>
          <w:rFonts w:ascii="Georgia" w:hAnsi="Georgia"/>
          <w:sz w:val="28"/>
          <w:szCs w:val="28"/>
        </w:rPr>
        <w:t>The Senate Finance Committee’s report</w:t>
      </w:r>
      <w:r w:rsidR="00C20EF9">
        <w:rPr>
          <w:rFonts w:ascii="Georgia" w:hAnsi="Georgia"/>
          <w:sz w:val="28"/>
          <w:szCs w:val="28"/>
        </w:rPr>
        <w:t xml:space="preserve"> is not helpful. It only said this about the foreclosure provision:</w:t>
      </w:r>
    </w:p>
    <w:p w14:paraId="0CFFEF03" w14:textId="622EF18B" w:rsidR="00C20EF9" w:rsidRDefault="00C20EF9" w:rsidP="00C20EF9">
      <w:pPr>
        <w:ind w:left="720"/>
        <w:rPr>
          <w:rFonts w:ascii="Georgia" w:hAnsi="Georgia"/>
          <w:sz w:val="28"/>
          <w:szCs w:val="28"/>
        </w:rPr>
      </w:pPr>
      <w:r>
        <w:rPr>
          <w:rFonts w:ascii="Georgia" w:hAnsi="Georgia"/>
          <w:sz w:val="28"/>
          <w:szCs w:val="28"/>
        </w:rPr>
        <w:t>[I]f a building for which the credit has been allocated is acquired by foreclosure, the extend use period terminates of the date of such acquisition.</w:t>
      </w:r>
    </w:p>
    <w:p w14:paraId="08E8AAC1" w14:textId="40EBD58D" w:rsidR="00C20EF9" w:rsidRDefault="00000000" w:rsidP="00290947">
      <w:pPr>
        <w:rPr>
          <w:rFonts w:ascii="Georgia" w:hAnsi="Georgia"/>
          <w:color w:val="FF0000"/>
          <w:sz w:val="28"/>
          <w:szCs w:val="28"/>
        </w:rPr>
      </w:pPr>
      <w:hyperlink r:id="rId30" w:history="1">
        <w:r w:rsidR="00C20EF9" w:rsidRPr="00275E85">
          <w:rPr>
            <w:rStyle w:val="Hyperlink"/>
            <w:rFonts w:ascii="Georgia" w:hAnsi="Georgia"/>
            <w:sz w:val="28"/>
            <w:szCs w:val="28"/>
          </w:rPr>
          <w:t>Senate Print</w:t>
        </w:r>
        <w:r w:rsidR="00EE34A3" w:rsidRPr="00275E85">
          <w:rPr>
            <w:rStyle w:val="Hyperlink"/>
            <w:rFonts w:ascii="Georgia" w:hAnsi="Georgia"/>
            <w:sz w:val="28"/>
            <w:szCs w:val="28"/>
          </w:rPr>
          <w:t xml:space="preserve"> 101-56 at page 28</w:t>
        </w:r>
      </w:hyperlink>
      <w:r w:rsidR="00EE34A3">
        <w:rPr>
          <w:rFonts w:ascii="Georgia" w:hAnsi="Georgia"/>
          <w:color w:val="212121"/>
          <w:sz w:val="28"/>
          <w:szCs w:val="28"/>
        </w:rPr>
        <w:t>.</w:t>
      </w:r>
    </w:p>
    <w:p w14:paraId="6D0AC579" w14:textId="667C07B0" w:rsidR="00F8405D" w:rsidRDefault="002F024A" w:rsidP="00290947">
      <w:pPr>
        <w:rPr>
          <w:rFonts w:ascii="Georgia" w:hAnsi="Georgia"/>
          <w:sz w:val="28"/>
          <w:szCs w:val="28"/>
        </w:rPr>
      </w:pPr>
      <w:r>
        <w:rPr>
          <w:rFonts w:ascii="Georgia" w:hAnsi="Georgia"/>
          <w:sz w:val="28"/>
          <w:szCs w:val="28"/>
        </w:rPr>
        <w:t xml:space="preserve">When Senator Mitchell first introduced S.980 on the Senate floor, he </w:t>
      </w:r>
      <w:r w:rsidR="00C57669">
        <w:rPr>
          <w:rFonts w:ascii="Georgia" w:hAnsi="Georgia"/>
          <w:sz w:val="28"/>
          <w:szCs w:val="28"/>
        </w:rPr>
        <w:t>inserted</w:t>
      </w:r>
      <w:r>
        <w:rPr>
          <w:rFonts w:ascii="Georgia" w:hAnsi="Georgia"/>
          <w:sz w:val="28"/>
          <w:szCs w:val="28"/>
        </w:rPr>
        <w:t xml:space="preserve"> a detailed summary of the bill </w:t>
      </w:r>
      <w:r w:rsidR="00C57669">
        <w:rPr>
          <w:rFonts w:ascii="Georgia" w:hAnsi="Georgia"/>
          <w:sz w:val="28"/>
          <w:szCs w:val="28"/>
        </w:rPr>
        <w:t>into</w:t>
      </w:r>
      <w:r>
        <w:rPr>
          <w:rFonts w:ascii="Georgia" w:hAnsi="Georgia"/>
          <w:sz w:val="28"/>
          <w:szCs w:val="28"/>
        </w:rPr>
        <w:t xml:space="preserve"> the Congressional Record. Th</w:t>
      </w:r>
      <w:r w:rsidR="00C57669">
        <w:rPr>
          <w:rFonts w:ascii="Georgia" w:hAnsi="Georgia"/>
          <w:sz w:val="28"/>
          <w:szCs w:val="28"/>
        </w:rPr>
        <w:t xml:space="preserve">e </w:t>
      </w:r>
      <w:r>
        <w:rPr>
          <w:rFonts w:ascii="Georgia" w:hAnsi="Georgia"/>
          <w:sz w:val="28"/>
          <w:szCs w:val="28"/>
        </w:rPr>
        <w:t xml:space="preserve">summary </w:t>
      </w:r>
      <w:r w:rsidR="002C1D99">
        <w:rPr>
          <w:rFonts w:ascii="Georgia" w:hAnsi="Georgia"/>
          <w:sz w:val="28"/>
          <w:szCs w:val="28"/>
        </w:rPr>
        <w:t xml:space="preserve">briefly </w:t>
      </w:r>
      <w:r>
        <w:rPr>
          <w:rFonts w:ascii="Georgia" w:hAnsi="Georgia"/>
          <w:sz w:val="28"/>
          <w:szCs w:val="28"/>
        </w:rPr>
        <w:t>mentioned the foreclosure provision three times</w:t>
      </w:r>
      <w:r w:rsidR="002C1D99">
        <w:rPr>
          <w:rFonts w:ascii="Georgia" w:hAnsi="Georgia"/>
          <w:sz w:val="28"/>
          <w:szCs w:val="28"/>
        </w:rPr>
        <w:t xml:space="preserve"> </w:t>
      </w:r>
      <w:r>
        <w:rPr>
          <w:rFonts w:ascii="Georgia" w:hAnsi="Georgia"/>
          <w:sz w:val="28"/>
          <w:szCs w:val="28"/>
        </w:rPr>
        <w:t>as follows:</w:t>
      </w:r>
    </w:p>
    <w:p w14:paraId="3AAE22D1" w14:textId="7DB591E1" w:rsidR="002F024A" w:rsidRDefault="002F024A" w:rsidP="002F024A">
      <w:pPr>
        <w:ind w:left="720"/>
        <w:rPr>
          <w:rFonts w:ascii="Georgia" w:hAnsi="Georgia"/>
          <w:sz w:val="28"/>
          <w:szCs w:val="28"/>
        </w:rPr>
      </w:pPr>
      <w:r>
        <w:rPr>
          <w:rFonts w:ascii="Georgia" w:hAnsi="Georgia"/>
          <w:sz w:val="28"/>
          <w:szCs w:val="28"/>
        </w:rPr>
        <w:t>“</w:t>
      </w:r>
      <w:r w:rsidRPr="004469EB">
        <w:rPr>
          <w:rFonts w:ascii="Georgia" w:hAnsi="Georgia"/>
          <w:sz w:val="28"/>
          <w:szCs w:val="28"/>
        </w:rPr>
        <w:t>(II) the building is owned by such Department following its acquisition (by such Department or the mortgage loan lender) by foreclosure</w:t>
      </w:r>
      <w:r>
        <w:rPr>
          <w:rFonts w:ascii="Georgia" w:hAnsi="Georgia"/>
          <w:sz w:val="28"/>
          <w:szCs w:val="28"/>
        </w:rPr>
        <w:t>”).</w:t>
      </w:r>
    </w:p>
    <w:p w14:paraId="63232367" w14:textId="5C995572" w:rsidR="002C1D99" w:rsidRDefault="002C1D99" w:rsidP="002C1D99">
      <w:pPr>
        <w:rPr>
          <w:rFonts w:ascii="Georgia" w:hAnsi="Georgia"/>
          <w:sz w:val="28"/>
          <w:szCs w:val="28"/>
        </w:rPr>
      </w:pPr>
      <w:r>
        <w:rPr>
          <w:rFonts w:ascii="Georgia" w:hAnsi="Georgia"/>
          <w:sz w:val="28"/>
          <w:szCs w:val="28"/>
        </w:rPr>
        <w:t>and</w:t>
      </w:r>
    </w:p>
    <w:p w14:paraId="44EE59D0" w14:textId="77777777" w:rsidR="002F024A" w:rsidRDefault="002F024A" w:rsidP="00585366">
      <w:pPr>
        <w:ind w:left="720"/>
        <w:rPr>
          <w:rFonts w:ascii="Georgia" w:hAnsi="Georgia"/>
          <w:sz w:val="28"/>
          <w:szCs w:val="28"/>
        </w:rPr>
      </w:pPr>
      <w:r w:rsidRPr="00701DAC">
        <w:rPr>
          <w:rFonts w:ascii="Georgia" w:hAnsi="Georgia"/>
          <w:sz w:val="28"/>
          <w:szCs w:val="28"/>
        </w:rPr>
        <w:t>acquired through foreclosure by a Federal, state or local agency following at least 6 months of arrears on the mortgage</w:t>
      </w:r>
      <w:r>
        <w:rPr>
          <w:rFonts w:ascii="Georgia" w:hAnsi="Georgia"/>
          <w:sz w:val="28"/>
          <w:szCs w:val="28"/>
        </w:rPr>
        <w:t>”</w:t>
      </w:r>
    </w:p>
    <w:p w14:paraId="453A0B00" w14:textId="48EFC27A" w:rsidR="002F024A" w:rsidRDefault="002F024A" w:rsidP="00585366">
      <w:pPr>
        <w:rPr>
          <w:rFonts w:ascii="Georgia" w:hAnsi="Georgia"/>
          <w:sz w:val="28"/>
          <w:szCs w:val="28"/>
        </w:rPr>
      </w:pPr>
      <w:r>
        <w:rPr>
          <w:rFonts w:ascii="Georgia" w:hAnsi="Georgia"/>
          <w:sz w:val="28"/>
          <w:szCs w:val="28"/>
        </w:rPr>
        <w:t xml:space="preserve">and </w:t>
      </w:r>
    </w:p>
    <w:p w14:paraId="2F9972E0" w14:textId="77777777" w:rsidR="002C1D99" w:rsidRDefault="002F024A" w:rsidP="002C1D99">
      <w:pPr>
        <w:ind w:left="720"/>
        <w:rPr>
          <w:rFonts w:ascii="Georgia" w:hAnsi="Georgia"/>
          <w:sz w:val="28"/>
          <w:szCs w:val="28"/>
        </w:rPr>
      </w:pPr>
      <w:r w:rsidRPr="004469EB">
        <w:rPr>
          <w:rFonts w:ascii="Georgia" w:hAnsi="Georgia"/>
          <w:sz w:val="28"/>
          <w:szCs w:val="28"/>
        </w:rPr>
        <w:lastRenderedPageBreak/>
        <w:t xml:space="preserve">First, a waiver would be possible for property in financial distress: </w:t>
      </w:r>
      <w:r>
        <w:rPr>
          <w:rFonts w:ascii="Georgia" w:hAnsi="Georgia"/>
          <w:sz w:val="28"/>
          <w:szCs w:val="28"/>
        </w:rPr>
        <w:t>(1)</w:t>
      </w:r>
      <w:r w:rsidRPr="004469EB">
        <w:rPr>
          <w:rFonts w:ascii="Georgia" w:hAnsi="Georgia"/>
          <w:sz w:val="28"/>
          <w:szCs w:val="28"/>
        </w:rPr>
        <w:t xml:space="preserve"> to facilitate the sale of a project whose mortgage is held by HUD; and (2) to facilitate the sale of a project which is owned by FmHA or is owned by HUD following its acquisition by HUD or the lender by foreclosure or deed</w:t>
      </w:r>
      <w:r>
        <w:rPr>
          <w:rFonts w:ascii="Georgia" w:hAnsi="Georgia"/>
          <w:sz w:val="28"/>
          <w:szCs w:val="28"/>
        </w:rPr>
        <w:t xml:space="preserve"> </w:t>
      </w:r>
      <w:r w:rsidRPr="004469EB">
        <w:rPr>
          <w:rFonts w:ascii="Georgia" w:hAnsi="Georgia"/>
          <w:sz w:val="28"/>
          <w:szCs w:val="28"/>
        </w:rPr>
        <w:t>in</w:t>
      </w:r>
      <w:r>
        <w:rPr>
          <w:rFonts w:ascii="Georgia" w:hAnsi="Georgia"/>
          <w:sz w:val="28"/>
          <w:szCs w:val="28"/>
        </w:rPr>
        <w:t xml:space="preserve"> </w:t>
      </w:r>
      <w:r w:rsidRPr="004469EB">
        <w:rPr>
          <w:rFonts w:ascii="Georgia" w:hAnsi="Georgia"/>
          <w:sz w:val="28"/>
          <w:szCs w:val="28"/>
        </w:rPr>
        <w:t>lieu of foreclosure.</w:t>
      </w:r>
    </w:p>
    <w:p w14:paraId="3ECCAF3F" w14:textId="7521DFF3" w:rsidR="0003786A" w:rsidRDefault="00000000" w:rsidP="002C1D99">
      <w:pPr>
        <w:rPr>
          <w:rFonts w:ascii="Georgia" w:hAnsi="Georgia"/>
          <w:sz w:val="28"/>
          <w:szCs w:val="28"/>
        </w:rPr>
      </w:pPr>
      <w:hyperlink r:id="rId31" w:history="1">
        <w:r w:rsidR="00BC6FF7" w:rsidRPr="00C37822">
          <w:rPr>
            <w:rStyle w:val="Hyperlink"/>
            <w:rFonts w:ascii="Georgia" w:hAnsi="Georgia"/>
            <w:sz w:val="28"/>
            <w:szCs w:val="28"/>
          </w:rPr>
          <w:t>Congressional Record, May 11, 1989, page</w:t>
        </w:r>
        <w:r w:rsidR="00BC6FF7">
          <w:rPr>
            <w:rStyle w:val="Hyperlink"/>
            <w:rFonts w:ascii="Georgia" w:hAnsi="Georgia"/>
            <w:sz w:val="28"/>
            <w:szCs w:val="28"/>
          </w:rPr>
          <w:t>s</w:t>
        </w:r>
        <w:r w:rsidR="00BC6FF7" w:rsidRPr="00C37822">
          <w:rPr>
            <w:rStyle w:val="Hyperlink"/>
            <w:rFonts w:ascii="Georgia" w:hAnsi="Georgia"/>
            <w:sz w:val="28"/>
            <w:szCs w:val="28"/>
          </w:rPr>
          <w:t xml:space="preserve"> 89</w:t>
        </w:r>
        <w:r w:rsidR="002C1D99">
          <w:rPr>
            <w:rStyle w:val="Hyperlink"/>
            <w:rFonts w:ascii="Georgia" w:hAnsi="Georgia"/>
            <w:sz w:val="28"/>
            <w:szCs w:val="28"/>
          </w:rPr>
          <w:t>80,8984</w:t>
        </w:r>
      </w:hyperlink>
      <w:r w:rsidR="002C1D99">
        <w:rPr>
          <w:rFonts w:ascii="Georgia" w:hAnsi="Georgia"/>
          <w:color w:val="212121"/>
          <w:sz w:val="28"/>
          <w:szCs w:val="28"/>
        </w:rPr>
        <w:t xml:space="preserve">. </w:t>
      </w:r>
    </w:p>
    <w:p w14:paraId="28FD6792" w14:textId="7D3801BF" w:rsidR="002F024A" w:rsidRDefault="00585366" w:rsidP="00290947">
      <w:pPr>
        <w:rPr>
          <w:rFonts w:ascii="Georgia" w:hAnsi="Georgia"/>
          <w:sz w:val="28"/>
          <w:szCs w:val="28"/>
        </w:rPr>
      </w:pPr>
      <w:r>
        <w:rPr>
          <w:rFonts w:ascii="Georgia" w:hAnsi="Georgia"/>
          <w:sz w:val="28"/>
          <w:szCs w:val="28"/>
        </w:rPr>
        <w:t>The</w:t>
      </w:r>
      <w:r w:rsidR="002C1D99">
        <w:rPr>
          <w:rFonts w:ascii="Georgia" w:hAnsi="Georgia"/>
          <w:sz w:val="28"/>
          <w:szCs w:val="28"/>
        </w:rPr>
        <w:t>se</w:t>
      </w:r>
      <w:r>
        <w:rPr>
          <w:rFonts w:ascii="Georgia" w:hAnsi="Georgia"/>
          <w:sz w:val="28"/>
          <w:szCs w:val="28"/>
        </w:rPr>
        <w:t xml:space="preserve"> summaries are not as helpful as the professors’ comments, but they are in accord that the foreclosure provision was aimed at</w:t>
      </w:r>
      <w:r w:rsidR="002C1D99">
        <w:rPr>
          <w:rFonts w:ascii="Georgia" w:hAnsi="Georgia"/>
          <w:sz w:val="28"/>
          <w:szCs w:val="28"/>
        </w:rPr>
        <w:t xml:space="preserve"> a</w:t>
      </w:r>
      <w:r>
        <w:rPr>
          <w:rFonts w:ascii="Georgia" w:hAnsi="Georgia"/>
          <w:sz w:val="28"/>
          <w:szCs w:val="28"/>
        </w:rPr>
        <w:t xml:space="preserve"> “mortgage”.</w:t>
      </w:r>
    </w:p>
    <w:p w14:paraId="373A2EB9" w14:textId="2315B871" w:rsidR="00947FF2" w:rsidRPr="00947FF2" w:rsidRDefault="00947FF2" w:rsidP="00290947">
      <w:pPr>
        <w:rPr>
          <w:rFonts w:ascii="Georgia" w:hAnsi="Georgia"/>
          <w:sz w:val="28"/>
          <w:szCs w:val="28"/>
          <w:u w:val="single"/>
        </w:rPr>
      </w:pPr>
      <w:r w:rsidRPr="00947FF2">
        <w:rPr>
          <w:rFonts w:ascii="Georgia" w:hAnsi="Georgia"/>
          <w:sz w:val="28"/>
          <w:szCs w:val="28"/>
          <w:u w:val="single"/>
        </w:rPr>
        <w:t>Conclusion</w:t>
      </w:r>
    </w:p>
    <w:p w14:paraId="30E27AE8" w14:textId="74B54AF7" w:rsidR="00B85AA0" w:rsidRDefault="00947FF2">
      <w:pPr>
        <w:rPr>
          <w:rFonts w:ascii="Georgia" w:hAnsi="Georgia"/>
          <w:sz w:val="24"/>
          <w:szCs w:val="24"/>
        </w:rPr>
      </w:pPr>
      <w:r>
        <w:rPr>
          <w:rFonts w:ascii="Georgia" w:hAnsi="Georgia"/>
          <w:sz w:val="28"/>
          <w:szCs w:val="28"/>
        </w:rPr>
        <w:t xml:space="preserve">There is no one absolute indicator that tax forfeitures are not within the meaning of “acquired by foreclosure”. However, all the indications of congressional intent, including the plain meaning of the statute, point to tax forfeitures </w:t>
      </w:r>
      <w:r w:rsidR="00C57669">
        <w:rPr>
          <w:rFonts w:ascii="Georgia" w:hAnsi="Georgia"/>
          <w:sz w:val="28"/>
          <w:szCs w:val="28"/>
        </w:rPr>
        <w:t xml:space="preserve">as </w:t>
      </w:r>
      <w:r>
        <w:rPr>
          <w:rFonts w:ascii="Georgia" w:hAnsi="Georgia"/>
          <w:sz w:val="28"/>
          <w:szCs w:val="28"/>
        </w:rPr>
        <w:t xml:space="preserve">not being covered by the foreclosure provision in </w:t>
      </w:r>
      <w:hyperlink r:id="rId32" w:history="1">
        <w:r w:rsidRPr="009A5E89">
          <w:rPr>
            <w:rStyle w:val="Hyperlink"/>
            <w:rFonts w:ascii="Georgia" w:hAnsi="Georgia"/>
            <w:sz w:val="28"/>
            <w:szCs w:val="28"/>
          </w:rPr>
          <w:t>26 U.S.C. § 42(h)(6)(E)(i)</w:t>
        </w:r>
        <w:r>
          <w:rPr>
            <w:rStyle w:val="Hyperlink"/>
            <w:rFonts w:ascii="Georgia" w:hAnsi="Georgia"/>
            <w:sz w:val="28"/>
            <w:szCs w:val="28"/>
          </w:rPr>
          <w:t>(</w:t>
        </w:r>
        <w:r w:rsidRPr="009A5E89">
          <w:rPr>
            <w:rStyle w:val="Hyperlink"/>
            <w:rFonts w:ascii="Georgia" w:hAnsi="Georgia"/>
            <w:sz w:val="28"/>
            <w:szCs w:val="28"/>
          </w:rPr>
          <w:t>I)</w:t>
        </w:r>
      </w:hyperlink>
      <w:r>
        <w:rPr>
          <w:rFonts w:ascii="Georgia" w:hAnsi="Georgia"/>
          <w:color w:val="212121"/>
          <w:sz w:val="28"/>
          <w:szCs w:val="28"/>
        </w:rPr>
        <w:t>.</w:t>
      </w:r>
    </w:p>
    <w:p w14:paraId="6DD6534B" w14:textId="77777777" w:rsidR="00B85AA0" w:rsidRDefault="00B85AA0">
      <w:pPr>
        <w:rPr>
          <w:rFonts w:ascii="Georgia" w:hAnsi="Georgia"/>
          <w:sz w:val="24"/>
          <w:szCs w:val="24"/>
        </w:rPr>
      </w:pPr>
      <w:r>
        <w:rPr>
          <w:rFonts w:ascii="Georgia" w:hAnsi="Georgia"/>
          <w:sz w:val="24"/>
          <w:szCs w:val="24"/>
        </w:rPr>
        <w:br w:type="page"/>
      </w:r>
    </w:p>
    <w:p w14:paraId="6A95C383" w14:textId="1F30ED56" w:rsidR="00EF22A3" w:rsidRPr="00EF22A3" w:rsidRDefault="00B85AA0" w:rsidP="00B85AA0">
      <w:pPr>
        <w:jc w:val="center"/>
        <w:rPr>
          <w:rFonts w:ascii="Georgia" w:hAnsi="Georgia"/>
          <w:b/>
          <w:bCs/>
          <w:sz w:val="32"/>
          <w:szCs w:val="32"/>
          <w:u w:val="single"/>
        </w:rPr>
      </w:pPr>
      <w:r w:rsidRPr="00EF22A3">
        <w:rPr>
          <w:rFonts w:ascii="Georgia" w:hAnsi="Georgia"/>
          <w:b/>
          <w:bCs/>
          <w:sz w:val="32"/>
          <w:szCs w:val="32"/>
          <w:u w:val="single"/>
        </w:rPr>
        <w:lastRenderedPageBreak/>
        <w:t>Appendi</w:t>
      </w:r>
      <w:r w:rsidR="005B4EEA">
        <w:rPr>
          <w:rFonts w:ascii="Georgia" w:hAnsi="Georgia"/>
          <w:b/>
          <w:bCs/>
          <w:sz w:val="32"/>
          <w:szCs w:val="32"/>
          <w:u w:val="single"/>
        </w:rPr>
        <w:t>x</w:t>
      </w:r>
      <w:r w:rsidR="00EF22A3" w:rsidRPr="00EF22A3">
        <w:rPr>
          <w:rFonts w:ascii="Georgia" w:hAnsi="Georgia"/>
          <w:b/>
          <w:bCs/>
          <w:sz w:val="32"/>
          <w:szCs w:val="32"/>
          <w:u w:val="single"/>
        </w:rPr>
        <w:t xml:space="preserve"> </w:t>
      </w:r>
    </w:p>
    <w:p w14:paraId="063A71D1" w14:textId="2A63024A" w:rsidR="00EF22A3" w:rsidRPr="00B85AA0" w:rsidRDefault="00EF22A3" w:rsidP="008531F7">
      <w:pPr>
        <w:rPr>
          <w:rFonts w:ascii="Georgia" w:hAnsi="Georgia"/>
          <w:b/>
          <w:bCs/>
          <w:sz w:val="32"/>
          <w:szCs w:val="32"/>
        </w:rPr>
      </w:pPr>
      <w:r>
        <w:rPr>
          <w:rFonts w:ascii="Georgia" w:hAnsi="Georgia"/>
          <w:b/>
          <w:bCs/>
          <w:sz w:val="32"/>
          <w:szCs w:val="32"/>
        </w:rPr>
        <w:t>Links to Documents Not Readily Available on the Internet</w:t>
      </w:r>
    </w:p>
    <w:p w14:paraId="07585317" w14:textId="005B45EA" w:rsidR="00B85AA0" w:rsidRDefault="00B85AA0" w:rsidP="00B85AA0">
      <w:pPr>
        <w:rPr>
          <w:rStyle w:val="Hyperlink"/>
          <w:rFonts w:ascii="Georgia" w:hAnsi="Georgia"/>
          <w:sz w:val="28"/>
          <w:szCs w:val="28"/>
        </w:rPr>
      </w:pPr>
      <w:r>
        <w:rPr>
          <w:rFonts w:ascii="Georgia" w:hAnsi="Georgia"/>
          <w:sz w:val="28"/>
          <w:szCs w:val="28"/>
        </w:rPr>
        <w:t>[</w:t>
      </w:r>
      <w:r w:rsidR="002A0BA5">
        <w:rPr>
          <w:rFonts w:ascii="Georgia" w:hAnsi="Georgia"/>
          <w:sz w:val="28"/>
          <w:szCs w:val="28"/>
        </w:rPr>
        <w:t>1</w:t>
      </w:r>
      <w:r>
        <w:rPr>
          <w:rFonts w:ascii="Georgia" w:hAnsi="Georgia"/>
          <w:sz w:val="28"/>
          <w:szCs w:val="28"/>
        </w:rPr>
        <w:t xml:space="preserve">] </w:t>
      </w:r>
      <w:r w:rsidRPr="00B85AA0">
        <w:rPr>
          <w:rFonts w:ascii="Georgia" w:hAnsi="Georgia"/>
          <w:sz w:val="28"/>
          <w:szCs w:val="28"/>
        </w:rPr>
        <w:t>Report of the Mitchell-Danforth Task Force on the Low-Income Housing Tax Credit (Jan. 1989)</w:t>
      </w:r>
    </w:p>
    <w:p w14:paraId="590C3788" w14:textId="5C50D0AC" w:rsidR="0008512D" w:rsidRPr="0008512D" w:rsidRDefault="00000000" w:rsidP="00B85AA0">
      <w:pPr>
        <w:rPr>
          <w:rFonts w:ascii="Georgia" w:hAnsi="Georgia"/>
          <w:sz w:val="28"/>
          <w:szCs w:val="28"/>
        </w:rPr>
      </w:pPr>
      <w:hyperlink r:id="rId33" w:history="1">
        <w:r w:rsidR="00B85AA0" w:rsidRPr="0008512D">
          <w:rPr>
            <w:rStyle w:val="Hyperlink"/>
            <w:rFonts w:ascii="Georgia" w:hAnsi="Georgia"/>
            <w:sz w:val="28"/>
            <w:szCs w:val="28"/>
          </w:rPr>
          <w:t>https://birnberglegalwebsite.net/wp-content/uploads/2024/08/mitchell-danforth-task-force-on-the-lihtc-january-1989-good-copy.pdf</w:t>
        </w:r>
      </w:hyperlink>
    </w:p>
    <w:p w14:paraId="0D655DF8" w14:textId="37D28038" w:rsidR="0008512D" w:rsidRPr="00A66E2D" w:rsidRDefault="0008512D" w:rsidP="00B85AA0">
      <w:pPr>
        <w:rPr>
          <w:rFonts w:ascii="Georgia" w:hAnsi="Georgia"/>
          <w:sz w:val="28"/>
          <w:szCs w:val="28"/>
        </w:rPr>
      </w:pPr>
      <w:r w:rsidRPr="00A66E2D">
        <w:rPr>
          <w:rFonts w:ascii="Georgia" w:hAnsi="Georgia"/>
          <w:sz w:val="28"/>
          <w:szCs w:val="28"/>
        </w:rPr>
        <w:t>[</w:t>
      </w:r>
      <w:r w:rsidR="002A0BA5">
        <w:rPr>
          <w:rFonts w:ascii="Georgia" w:hAnsi="Georgia"/>
          <w:sz w:val="28"/>
          <w:szCs w:val="28"/>
        </w:rPr>
        <w:t>2</w:t>
      </w:r>
      <w:r w:rsidRPr="00A66E2D">
        <w:rPr>
          <w:rFonts w:ascii="Georgia" w:hAnsi="Georgia"/>
          <w:sz w:val="28"/>
          <w:szCs w:val="28"/>
        </w:rPr>
        <w:t xml:space="preserve">] </w:t>
      </w:r>
      <w:r w:rsidR="00A66E2D" w:rsidRPr="00A66E2D">
        <w:rPr>
          <w:rFonts w:ascii="Georgia" w:hAnsi="Georgia"/>
          <w:sz w:val="28"/>
          <w:szCs w:val="28"/>
        </w:rPr>
        <w:t>Extracts from House Report 101-247</w:t>
      </w:r>
    </w:p>
    <w:p w14:paraId="4BB16B0B" w14:textId="696C3A83" w:rsidR="00A66E2D" w:rsidRPr="00A66E2D" w:rsidRDefault="00000000" w:rsidP="00B85AA0">
      <w:pPr>
        <w:rPr>
          <w:rFonts w:ascii="Georgia" w:hAnsi="Georgia"/>
          <w:sz w:val="28"/>
          <w:szCs w:val="28"/>
        </w:rPr>
      </w:pPr>
      <w:hyperlink r:id="rId34" w:history="1">
        <w:r w:rsidR="00A66E2D" w:rsidRPr="00A66E2D">
          <w:rPr>
            <w:rStyle w:val="Hyperlink"/>
            <w:rFonts w:ascii="Georgia" w:hAnsi="Georgia"/>
            <w:sz w:val="28"/>
            <w:szCs w:val="28"/>
          </w:rPr>
          <w:t>https://birnberglegalwebsite.net/wp-content/uploads/2024/08/house-report-101-247.pdf</w:t>
        </w:r>
      </w:hyperlink>
    </w:p>
    <w:p w14:paraId="5EE6D4F6" w14:textId="568959F3" w:rsidR="00A66E2D" w:rsidRPr="00A66E2D" w:rsidRDefault="00A66E2D" w:rsidP="00B85AA0">
      <w:pPr>
        <w:rPr>
          <w:rFonts w:ascii="Georgia" w:hAnsi="Georgia"/>
          <w:sz w:val="28"/>
          <w:szCs w:val="28"/>
        </w:rPr>
      </w:pPr>
      <w:r w:rsidRPr="00A66E2D">
        <w:rPr>
          <w:rFonts w:ascii="Georgia" w:hAnsi="Georgia"/>
          <w:sz w:val="28"/>
          <w:szCs w:val="28"/>
        </w:rPr>
        <w:t>[</w:t>
      </w:r>
      <w:r w:rsidR="002A0BA5">
        <w:rPr>
          <w:rFonts w:ascii="Georgia" w:hAnsi="Georgia"/>
          <w:sz w:val="28"/>
          <w:szCs w:val="28"/>
        </w:rPr>
        <w:t>3</w:t>
      </w:r>
      <w:r w:rsidRPr="00A66E2D">
        <w:rPr>
          <w:rFonts w:ascii="Georgia" w:hAnsi="Georgia"/>
          <w:sz w:val="28"/>
          <w:szCs w:val="28"/>
        </w:rPr>
        <w:t>] Extracts from Senate Print 101-56 (committee report)</w:t>
      </w:r>
    </w:p>
    <w:p w14:paraId="0F9DCDDE" w14:textId="3B22A4F4" w:rsidR="00A66E2D" w:rsidRPr="00A66E2D" w:rsidRDefault="00000000" w:rsidP="00B85AA0">
      <w:pPr>
        <w:rPr>
          <w:rFonts w:ascii="Georgia" w:hAnsi="Georgia"/>
          <w:sz w:val="28"/>
          <w:szCs w:val="28"/>
        </w:rPr>
      </w:pPr>
      <w:hyperlink r:id="rId35" w:history="1">
        <w:r w:rsidR="00A66E2D" w:rsidRPr="00A66E2D">
          <w:rPr>
            <w:rStyle w:val="Hyperlink"/>
            <w:rFonts w:ascii="Georgia" w:hAnsi="Georgia"/>
            <w:sz w:val="28"/>
            <w:szCs w:val="28"/>
          </w:rPr>
          <w:t>https://birnberglegalwebsite.net/wp-content/uploads/2024/08/senate-print-101-56-1.pdf</w:t>
        </w:r>
      </w:hyperlink>
    </w:p>
    <w:p w14:paraId="669D1CBB" w14:textId="0F88F84F" w:rsidR="00F83622" w:rsidRDefault="00A66E2D" w:rsidP="00B85AA0">
      <w:pPr>
        <w:rPr>
          <w:rFonts w:ascii="Georgia" w:hAnsi="Georgia"/>
          <w:sz w:val="28"/>
          <w:szCs w:val="28"/>
        </w:rPr>
      </w:pPr>
      <w:r>
        <w:rPr>
          <w:rFonts w:ascii="Georgia" w:hAnsi="Georgia"/>
          <w:sz w:val="24"/>
          <w:szCs w:val="24"/>
        </w:rPr>
        <w:t>[</w:t>
      </w:r>
      <w:r w:rsidR="002A0BA5">
        <w:rPr>
          <w:rFonts w:ascii="Georgia" w:hAnsi="Georgia"/>
          <w:sz w:val="24"/>
          <w:szCs w:val="24"/>
        </w:rPr>
        <w:t>4</w:t>
      </w:r>
      <w:r w:rsidR="00022BDB">
        <w:rPr>
          <w:rFonts w:ascii="Georgia" w:hAnsi="Georgia"/>
          <w:sz w:val="28"/>
          <w:szCs w:val="28"/>
        </w:rPr>
        <w:t xml:space="preserve">] Extracts from </w:t>
      </w:r>
      <w:r w:rsidR="00022BDB" w:rsidRPr="00022BDB">
        <w:rPr>
          <w:rFonts w:ascii="Georgia" w:hAnsi="Georgia"/>
          <w:sz w:val="28"/>
          <w:szCs w:val="28"/>
        </w:rPr>
        <w:t>House Conference Report 101-386</w:t>
      </w:r>
    </w:p>
    <w:p w14:paraId="342DA7E8" w14:textId="44ADD591" w:rsidR="00022BDB" w:rsidRDefault="00000000" w:rsidP="00B85AA0">
      <w:pPr>
        <w:rPr>
          <w:rFonts w:ascii="Georgia" w:hAnsi="Georgia"/>
          <w:sz w:val="28"/>
          <w:szCs w:val="28"/>
        </w:rPr>
      </w:pPr>
      <w:hyperlink r:id="rId36" w:history="1">
        <w:r w:rsidR="00022BDB" w:rsidRPr="00DE6627">
          <w:rPr>
            <w:rStyle w:val="Hyperlink"/>
            <w:rFonts w:ascii="Georgia" w:hAnsi="Georgia"/>
            <w:sz w:val="28"/>
            <w:szCs w:val="28"/>
          </w:rPr>
          <w:t>https://birnberglegalwebsite.net/wp-content/uploads/2024/08/house-conference-report-101-386.pdf</w:t>
        </w:r>
      </w:hyperlink>
    </w:p>
    <w:p w14:paraId="21C61163" w14:textId="735B5027" w:rsidR="001E063A" w:rsidRDefault="001E063A" w:rsidP="00B85AA0">
      <w:pPr>
        <w:rPr>
          <w:rFonts w:ascii="Georgia" w:hAnsi="Georgia"/>
          <w:sz w:val="28"/>
          <w:szCs w:val="28"/>
        </w:rPr>
      </w:pPr>
      <w:r>
        <w:rPr>
          <w:rFonts w:ascii="Georgia" w:hAnsi="Georgia"/>
          <w:sz w:val="28"/>
          <w:szCs w:val="28"/>
        </w:rPr>
        <w:t>[</w:t>
      </w:r>
      <w:r w:rsidR="002A0BA5">
        <w:rPr>
          <w:rFonts w:ascii="Georgia" w:hAnsi="Georgia"/>
          <w:sz w:val="28"/>
          <w:szCs w:val="28"/>
        </w:rPr>
        <w:t>5</w:t>
      </w:r>
      <w:r>
        <w:rPr>
          <w:rFonts w:ascii="Georgia" w:hAnsi="Georgia"/>
          <w:sz w:val="28"/>
          <w:szCs w:val="28"/>
        </w:rPr>
        <w:t>] 1989 House Tax Bill, LIHTC Part</w:t>
      </w:r>
    </w:p>
    <w:p w14:paraId="391E526B" w14:textId="265CF704" w:rsidR="001E063A" w:rsidRDefault="00000000" w:rsidP="00B85AA0">
      <w:pPr>
        <w:rPr>
          <w:rFonts w:ascii="Georgia" w:hAnsi="Georgia"/>
          <w:sz w:val="28"/>
          <w:szCs w:val="28"/>
        </w:rPr>
      </w:pPr>
      <w:hyperlink r:id="rId37" w:history="1">
        <w:r w:rsidR="006769CD" w:rsidRPr="00DE6627">
          <w:rPr>
            <w:rStyle w:val="Hyperlink"/>
            <w:rFonts w:ascii="Georgia" w:hAnsi="Georgia"/>
            <w:sz w:val="28"/>
            <w:szCs w:val="28"/>
          </w:rPr>
          <w:t>https://birnberglegalwebsite.net/wp-content/uploads/2024/08/1989-house-tax-bill-lihtc-part.pdf</w:t>
        </w:r>
      </w:hyperlink>
    </w:p>
    <w:p w14:paraId="1B550E7D" w14:textId="66EB371B" w:rsidR="008211D9" w:rsidRDefault="008211D9" w:rsidP="00B85AA0">
      <w:pPr>
        <w:rPr>
          <w:rFonts w:ascii="Georgia" w:hAnsi="Georgia"/>
          <w:sz w:val="28"/>
          <w:szCs w:val="28"/>
        </w:rPr>
      </w:pPr>
      <w:r>
        <w:rPr>
          <w:rFonts w:ascii="Georgia" w:hAnsi="Georgia"/>
          <w:sz w:val="28"/>
          <w:szCs w:val="28"/>
        </w:rPr>
        <w:t>[</w:t>
      </w:r>
      <w:r w:rsidR="002A0BA5">
        <w:rPr>
          <w:rFonts w:ascii="Georgia" w:hAnsi="Georgia"/>
          <w:sz w:val="28"/>
          <w:szCs w:val="28"/>
        </w:rPr>
        <w:t>6</w:t>
      </w:r>
      <w:r>
        <w:rPr>
          <w:rFonts w:ascii="Georgia" w:hAnsi="Georgia"/>
          <w:sz w:val="28"/>
          <w:szCs w:val="28"/>
        </w:rPr>
        <w:t>] Extract from Joint Committee on Taxation, Description of Revenue Reconciliation Proposal: Part Two, JCX-58-89, October 3, 1989</w:t>
      </w:r>
    </w:p>
    <w:p w14:paraId="2AC7EFFE" w14:textId="3E4A300C" w:rsidR="00D96FD2" w:rsidRDefault="00000000" w:rsidP="00B85AA0">
      <w:pPr>
        <w:rPr>
          <w:rFonts w:ascii="Georgia" w:hAnsi="Georgia"/>
          <w:sz w:val="28"/>
          <w:szCs w:val="28"/>
        </w:rPr>
      </w:pPr>
      <w:hyperlink r:id="rId38" w:history="1">
        <w:r w:rsidR="00622F95" w:rsidRPr="00DE6627">
          <w:rPr>
            <w:rStyle w:val="Hyperlink"/>
            <w:rFonts w:ascii="Georgia" w:hAnsi="Georgia"/>
            <w:sz w:val="28"/>
            <w:szCs w:val="28"/>
          </w:rPr>
          <w:t>https://birnberglegalwebsite.net/wp-content/uploads/2024/08/jcx-58-89.pdf</w:t>
        </w:r>
      </w:hyperlink>
    </w:p>
    <w:p w14:paraId="7FEE5A9C" w14:textId="742DD3D7" w:rsidR="00376C98" w:rsidRDefault="00376C98" w:rsidP="00B85AA0">
      <w:pPr>
        <w:rPr>
          <w:rFonts w:ascii="Georgia" w:hAnsi="Georgia"/>
          <w:sz w:val="28"/>
          <w:szCs w:val="28"/>
        </w:rPr>
      </w:pPr>
      <w:r>
        <w:rPr>
          <w:rFonts w:ascii="Georgia" w:hAnsi="Georgia"/>
          <w:sz w:val="28"/>
          <w:szCs w:val="28"/>
        </w:rPr>
        <w:t>[</w:t>
      </w:r>
      <w:r w:rsidR="002A0BA5">
        <w:rPr>
          <w:rFonts w:ascii="Georgia" w:hAnsi="Georgia"/>
          <w:sz w:val="28"/>
          <w:szCs w:val="28"/>
        </w:rPr>
        <w:t>7</w:t>
      </w:r>
      <w:r>
        <w:rPr>
          <w:rFonts w:ascii="Georgia" w:hAnsi="Georgia"/>
          <w:sz w:val="28"/>
          <w:szCs w:val="28"/>
        </w:rPr>
        <w:t xml:space="preserve">] </w:t>
      </w:r>
      <w:r w:rsidR="0050656C">
        <w:rPr>
          <w:rFonts w:ascii="Georgia" w:hAnsi="Georgia"/>
          <w:sz w:val="28"/>
          <w:szCs w:val="28"/>
        </w:rPr>
        <w:t xml:space="preserve">Serial 101-49, </w:t>
      </w:r>
      <w:r>
        <w:rPr>
          <w:rFonts w:ascii="Georgia" w:hAnsi="Georgia"/>
          <w:sz w:val="28"/>
          <w:szCs w:val="28"/>
        </w:rPr>
        <w:t xml:space="preserve">Hearing Before the Subcommittee on Select Revenue Measures of the House Committee on Ways and Means, May 23, 1989, </w:t>
      </w:r>
      <w:r w:rsidR="00B103FA" w:rsidRPr="0050656C">
        <w:rPr>
          <w:rFonts w:ascii="Georgia" w:hAnsi="Georgia"/>
          <w:sz w:val="28"/>
          <w:szCs w:val="28"/>
        </w:rPr>
        <w:t>GOVDOCS Y 4.W 36:101-49</w:t>
      </w:r>
      <w:r w:rsidR="00B103FA">
        <w:rPr>
          <w:rFonts w:ascii="Georgia" w:hAnsi="Georgia"/>
          <w:sz w:val="28"/>
          <w:szCs w:val="28"/>
        </w:rPr>
        <w:t xml:space="preserve"> </w:t>
      </w:r>
      <w:r>
        <w:rPr>
          <w:rFonts w:ascii="Georgia" w:hAnsi="Georgia"/>
          <w:sz w:val="28"/>
          <w:szCs w:val="28"/>
        </w:rPr>
        <w:t>(</w:t>
      </w:r>
      <w:r w:rsidR="005654DB">
        <w:rPr>
          <w:rFonts w:ascii="Georgia" w:hAnsi="Georgia"/>
          <w:sz w:val="28"/>
          <w:szCs w:val="28"/>
        </w:rPr>
        <w:t xml:space="preserve">Extracts, </w:t>
      </w:r>
      <w:r>
        <w:rPr>
          <w:rFonts w:ascii="Georgia" w:hAnsi="Georgia"/>
          <w:sz w:val="28"/>
          <w:szCs w:val="28"/>
        </w:rPr>
        <w:t>LIHTC testimony)</w:t>
      </w:r>
      <w:r w:rsidR="0050656C">
        <w:rPr>
          <w:rFonts w:ascii="Georgia" w:hAnsi="Georgia"/>
          <w:sz w:val="28"/>
          <w:szCs w:val="28"/>
        </w:rPr>
        <w:t xml:space="preserve">, </w:t>
      </w:r>
    </w:p>
    <w:p w14:paraId="3EA0F581" w14:textId="73A046B0" w:rsidR="00622F95" w:rsidRDefault="00000000" w:rsidP="00B85AA0">
      <w:pPr>
        <w:rPr>
          <w:rStyle w:val="Hyperlink"/>
          <w:rFonts w:ascii="Georgia" w:hAnsi="Georgia"/>
          <w:sz w:val="28"/>
          <w:szCs w:val="28"/>
        </w:rPr>
      </w:pPr>
      <w:hyperlink r:id="rId39" w:history="1">
        <w:r w:rsidR="00B103FA" w:rsidRPr="00B05B52">
          <w:rPr>
            <w:rStyle w:val="Hyperlink"/>
            <w:rFonts w:ascii="Georgia" w:hAnsi="Georgia"/>
            <w:sz w:val="28"/>
            <w:szCs w:val="28"/>
          </w:rPr>
          <w:t>https://birnberglegalwebsite.net/wp-content/uploads/2024/08/serial-101-49.pdf</w:t>
        </w:r>
      </w:hyperlink>
    </w:p>
    <w:p w14:paraId="3D6E76B6" w14:textId="77777777" w:rsidR="008531F7" w:rsidRDefault="008531F7" w:rsidP="00B85AA0">
      <w:pPr>
        <w:rPr>
          <w:rStyle w:val="Hyperlink"/>
          <w:rFonts w:ascii="Georgia" w:hAnsi="Georgia"/>
          <w:sz w:val="28"/>
          <w:szCs w:val="28"/>
        </w:rPr>
      </w:pPr>
    </w:p>
    <w:p w14:paraId="65D8C314" w14:textId="77777777" w:rsidR="008531F7" w:rsidRDefault="008531F7" w:rsidP="008531F7">
      <w:pPr>
        <w:rPr>
          <w:rFonts w:ascii="Georgia" w:hAnsi="Georgia"/>
          <w:b/>
          <w:bCs/>
          <w:sz w:val="32"/>
          <w:szCs w:val="32"/>
        </w:rPr>
      </w:pPr>
      <w:r>
        <w:rPr>
          <w:rFonts w:ascii="Georgia" w:hAnsi="Georgia"/>
          <w:b/>
          <w:bCs/>
          <w:sz w:val="32"/>
          <w:szCs w:val="32"/>
        </w:rPr>
        <w:lastRenderedPageBreak/>
        <w:t>Links to Cited Law Reviews</w:t>
      </w:r>
    </w:p>
    <w:p w14:paraId="21CEC526" w14:textId="610074A1" w:rsidR="008531F7" w:rsidRPr="002A0BA5" w:rsidRDefault="008531F7" w:rsidP="008531F7">
      <w:pPr>
        <w:rPr>
          <w:rStyle w:val="Hyperlink"/>
          <w:rFonts w:ascii="Georgia" w:hAnsi="Georgia"/>
          <w:sz w:val="24"/>
          <w:szCs w:val="24"/>
          <w:u w:val="none"/>
        </w:rPr>
      </w:pPr>
      <w:r w:rsidRPr="002A0BA5">
        <w:rPr>
          <w:rFonts w:ascii="Georgia" w:hAnsi="Georgia"/>
          <w:sz w:val="28"/>
          <w:szCs w:val="28"/>
        </w:rPr>
        <w:t>[8]</w:t>
      </w:r>
      <w:r w:rsidR="002A0BA5">
        <w:rPr>
          <w:rFonts w:ascii="Georgia" w:hAnsi="Georgia"/>
          <w:sz w:val="28"/>
          <w:szCs w:val="28"/>
        </w:rPr>
        <w:t xml:space="preserve"> </w:t>
      </w:r>
      <w:r w:rsidRPr="002A0BA5">
        <w:rPr>
          <w:rFonts w:ascii="Georgia" w:hAnsi="Georgia"/>
          <w:sz w:val="28"/>
          <w:szCs w:val="28"/>
        </w:rPr>
        <w:t xml:space="preserve">Jeanne L Peterson, </w:t>
      </w:r>
      <w:r w:rsidRPr="002A0BA5">
        <w:rPr>
          <w:rFonts w:ascii="Georgia" w:hAnsi="Georgia"/>
          <w:i/>
          <w:iCs/>
          <w:sz w:val="28"/>
          <w:szCs w:val="28"/>
        </w:rPr>
        <w:t>The Low-Income Housing Tax Credit</w:t>
      </w:r>
      <w:r w:rsidRPr="002A0BA5">
        <w:rPr>
          <w:rFonts w:ascii="Georgia" w:hAnsi="Georgia"/>
          <w:sz w:val="28"/>
          <w:szCs w:val="28"/>
        </w:rPr>
        <w:t xml:space="preserve">, 73 </w:t>
      </w:r>
      <w:r w:rsidRPr="002A0BA5">
        <w:rPr>
          <w:rFonts w:ascii="Georgia" w:hAnsi="Georgia"/>
          <w:smallCaps/>
          <w:sz w:val="28"/>
          <w:szCs w:val="28"/>
        </w:rPr>
        <w:t>Mich. Bar J</w:t>
      </w:r>
      <w:r w:rsidRPr="002A0BA5">
        <w:rPr>
          <w:rFonts w:ascii="Georgia" w:hAnsi="Georgia"/>
          <w:i/>
          <w:iCs/>
          <w:sz w:val="28"/>
          <w:szCs w:val="28"/>
        </w:rPr>
        <w:t>.</w:t>
      </w:r>
      <w:r w:rsidRPr="002A0BA5">
        <w:rPr>
          <w:rFonts w:ascii="Georgia" w:hAnsi="Georgia"/>
          <w:sz w:val="28"/>
          <w:szCs w:val="28"/>
        </w:rPr>
        <w:t> 1154 (1994)</w:t>
      </w:r>
    </w:p>
    <w:p w14:paraId="146E021F" w14:textId="77777777" w:rsidR="008531F7" w:rsidRDefault="00000000" w:rsidP="008531F7">
      <w:pPr>
        <w:pStyle w:val="FootnoteText"/>
        <w:rPr>
          <w:rFonts w:ascii="Georgia" w:hAnsi="Georgia"/>
          <w:sz w:val="28"/>
          <w:szCs w:val="28"/>
        </w:rPr>
      </w:pPr>
      <w:hyperlink r:id="rId40" w:history="1">
        <w:r w:rsidR="008531F7" w:rsidRPr="00DE6627">
          <w:rPr>
            <w:rStyle w:val="Hyperlink"/>
            <w:rFonts w:ascii="Georgia" w:hAnsi="Georgia"/>
            <w:sz w:val="28"/>
            <w:szCs w:val="28"/>
          </w:rPr>
          <w:t>https://homelinemn.org/wp-content/uploads/The%20Low-Income%20Housing%20Tax%20Credit%20by%20Jeanne%20Peterson.pdf</w:t>
        </w:r>
      </w:hyperlink>
    </w:p>
    <w:p w14:paraId="43F55447" w14:textId="77777777" w:rsidR="00BC30E2" w:rsidRDefault="00BC30E2">
      <w:pPr>
        <w:rPr>
          <w:rFonts w:ascii="Georgia" w:hAnsi="Georgia"/>
          <w:sz w:val="28"/>
          <w:szCs w:val="28"/>
        </w:rPr>
      </w:pPr>
    </w:p>
    <w:p w14:paraId="0169C5E3" w14:textId="6A51173C" w:rsidR="00B85AA0" w:rsidRDefault="00BC30E2">
      <w:pPr>
        <w:rPr>
          <w:rFonts w:ascii="Georgia" w:hAnsi="Georgia"/>
          <w:sz w:val="28"/>
          <w:szCs w:val="28"/>
        </w:rPr>
      </w:pPr>
      <w:r>
        <w:rPr>
          <w:rFonts w:ascii="Georgia" w:hAnsi="Georgia"/>
          <w:sz w:val="28"/>
          <w:szCs w:val="28"/>
        </w:rPr>
        <w:t xml:space="preserve">[9] </w:t>
      </w:r>
      <w:r w:rsidRPr="00BC30E2">
        <w:rPr>
          <w:rFonts w:ascii="Georgia" w:hAnsi="Georgia"/>
          <w:sz w:val="28"/>
          <w:szCs w:val="28"/>
        </w:rPr>
        <w:t xml:space="preserve">Tracy A. Kaye, </w:t>
      </w:r>
      <w:r w:rsidRPr="00BC30E2">
        <w:rPr>
          <w:rFonts w:ascii="Georgia" w:hAnsi="Georgia"/>
          <w:i/>
          <w:iCs/>
          <w:sz w:val="28"/>
          <w:szCs w:val="28"/>
        </w:rPr>
        <w:t>Sheltering Social Policy in the Tax Code: The Low-Income Housing Credit</w:t>
      </w:r>
      <w:r w:rsidRPr="00BC30E2">
        <w:rPr>
          <w:rFonts w:ascii="Georgia" w:hAnsi="Georgia"/>
          <w:sz w:val="28"/>
          <w:szCs w:val="28"/>
        </w:rPr>
        <w:t>, 38 </w:t>
      </w:r>
      <w:r w:rsidRPr="00BC30E2">
        <w:rPr>
          <w:rFonts w:ascii="Georgia" w:hAnsi="Georgia"/>
          <w:iCs/>
          <w:smallCaps/>
          <w:sz w:val="28"/>
          <w:szCs w:val="28"/>
        </w:rPr>
        <w:t>Vill. L. Rev</w:t>
      </w:r>
      <w:r w:rsidRPr="00BC30E2">
        <w:rPr>
          <w:rFonts w:ascii="Georgia" w:hAnsi="Georgia"/>
          <w:i/>
          <w:iCs/>
          <w:sz w:val="28"/>
          <w:szCs w:val="28"/>
        </w:rPr>
        <w:t>.</w:t>
      </w:r>
      <w:r w:rsidRPr="00BC30E2">
        <w:rPr>
          <w:rFonts w:ascii="Georgia" w:hAnsi="Georgia"/>
          <w:sz w:val="28"/>
          <w:szCs w:val="28"/>
        </w:rPr>
        <w:t> 871 (1993)</w:t>
      </w:r>
    </w:p>
    <w:p w14:paraId="349A3578" w14:textId="760F8A4B" w:rsidR="00BC30E2" w:rsidRPr="00BC30E2" w:rsidRDefault="00000000">
      <w:pPr>
        <w:rPr>
          <w:rFonts w:ascii="Georgia" w:hAnsi="Georgia"/>
          <w:sz w:val="28"/>
          <w:szCs w:val="28"/>
        </w:rPr>
      </w:pPr>
      <w:hyperlink r:id="rId41" w:history="1">
        <w:r w:rsidR="00BC30E2" w:rsidRPr="00BC30E2">
          <w:rPr>
            <w:rStyle w:val="Hyperlink"/>
            <w:rFonts w:ascii="Georgia" w:hAnsi="Georgia"/>
            <w:sz w:val="28"/>
            <w:szCs w:val="28"/>
          </w:rPr>
          <w:t>https://digitalcommons.law.villanova.edu/vlr/vol38/iss4/1/</w:t>
        </w:r>
      </w:hyperlink>
    </w:p>
    <w:p w14:paraId="77EC2AAA" w14:textId="77777777" w:rsidR="00BC30E2" w:rsidRPr="00B85AA0" w:rsidRDefault="00BC30E2">
      <w:pPr>
        <w:rPr>
          <w:rFonts w:ascii="Georgia" w:hAnsi="Georgia"/>
          <w:sz w:val="24"/>
          <w:szCs w:val="24"/>
        </w:rPr>
      </w:pPr>
    </w:p>
    <w:sectPr w:rsidR="00BC30E2" w:rsidRPr="00B85AA0">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9C38C1" w14:textId="77777777" w:rsidR="006A29FE" w:rsidRDefault="006A29FE" w:rsidP="0095714C">
      <w:pPr>
        <w:spacing w:after="0" w:line="240" w:lineRule="auto"/>
      </w:pPr>
      <w:r>
        <w:separator/>
      </w:r>
    </w:p>
  </w:endnote>
  <w:endnote w:type="continuationSeparator" w:id="0">
    <w:p w14:paraId="04E3C815" w14:textId="77777777" w:rsidR="006A29FE" w:rsidRDefault="006A29FE" w:rsidP="009571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98546643"/>
      <w:docPartObj>
        <w:docPartGallery w:val="Page Numbers (Bottom of Page)"/>
        <w:docPartUnique/>
      </w:docPartObj>
    </w:sdtPr>
    <w:sdtEndPr>
      <w:rPr>
        <w:noProof/>
      </w:rPr>
    </w:sdtEndPr>
    <w:sdtContent>
      <w:p w14:paraId="07096C8E" w14:textId="77144B55" w:rsidR="00B24F48" w:rsidRDefault="00B24F48">
        <w:pPr>
          <w:pStyle w:val="Footer"/>
          <w:jc w:val="center"/>
        </w:pPr>
        <w:r>
          <w:t>`</w:t>
        </w:r>
        <w:r>
          <w:fldChar w:fldCharType="begin"/>
        </w:r>
        <w:r>
          <w:instrText xml:space="preserve"> PAGE   \* MERGEFORMAT </w:instrText>
        </w:r>
        <w:r>
          <w:fldChar w:fldCharType="separate"/>
        </w:r>
        <w:r>
          <w:rPr>
            <w:noProof/>
          </w:rPr>
          <w:t>2</w:t>
        </w:r>
        <w:r>
          <w:rPr>
            <w:noProof/>
          </w:rPr>
          <w:fldChar w:fldCharType="end"/>
        </w:r>
      </w:p>
    </w:sdtContent>
  </w:sdt>
  <w:p w14:paraId="27BE21B6" w14:textId="77777777" w:rsidR="00B24F48" w:rsidRDefault="00B24F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6696FB" w14:textId="77777777" w:rsidR="006A29FE" w:rsidRDefault="006A29FE" w:rsidP="0095714C">
      <w:pPr>
        <w:spacing w:after="0" w:line="240" w:lineRule="auto"/>
      </w:pPr>
      <w:r>
        <w:separator/>
      </w:r>
    </w:p>
  </w:footnote>
  <w:footnote w:type="continuationSeparator" w:id="0">
    <w:p w14:paraId="0CAD207C" w14:textId="77777777" w:rsidR="006A29FE" w:rsidRDefault="006A29FE" w:rsidP="0095714C">
      <w:pPr>
        <w:spacing w:after="0" w:line="240" w:lineRule="auto"/>
      </w:pPr>
      <w:r>
        <w:continuationSeparator/>
      </w:r>
    </w:p>
  </w:footnote>
  <w:footnote w:id="1">
    <w:p w14:paraId="30B0A3E2" w14:textId="565E8694" w:rsidR="00FA13E0" w:rsidRPr="00FA13E0" w:rsidRDefault="00FA13E0">
      <w:pPr>
        <w:pStyle w:val="FootnoteText"/>
        <w:rPr>
          <w:rFonts w:ascii="Georgia" w:hAnsi="Georgia"/>
          <w:sz w:val="24"/>
          <w:szCs w:val="24"/>
        </w:rPr>
      </w:pPr>
      <w:r>
        <w:rPr>
          <w:rStyle w:val="FootnoteReference"/>
        </w:rPr>
        <w:footnoteRef/>
      </w:r>
      <w:r>
        <w:t xml:space="preserve"> </w:t>
      </w:r>
      <w:hyperlink r:id="rId1" w:history="1">
        <w:r w:rsidRPr="00FA13E0">
          <w:rPr>
            <w:rStyle w:val="Hyperlink"/>
            <w:rFonts w:ascii="Georgia" w:hAnsi="Georgia"/>
            <w:sz w:val="24"/>
            <w:szCs w:val="24"/>
          </w:rPr>
          <w:t xml:space="preserve">Jeanne L Peterson, </w:t>
        </w:r>
        <w:r w:rsidRPr="00FA13E0">
          <w:rPr>
            <w:rStyle w:val="Hyperlink"/>
            <w:rFonts w:ascii="Georgia" w:hAnsi="Georgia"/>
            <w:i/>
            <w:iCs/>
            <w:sz w:val="24"/>
            <w:szCs w:val="24"/>
          </w:rPr>
          <w:t>The Low-Income Housing Tax Credit</w:t>
        </w:r>
        <w:r w:rsidRPr="00FA13E0">
          <w:rPr>
            <w:rStyle w:val="Hyperlink"/>
            <w:rFonts w:ascii="Georgia" w:hAnsi="Georgia"/>
            <w:sz w:val="24"/>
            <w:szCs w:val="24"/>
          </w:rPr>
          <w:t xml:space="preserve">, 73 </w:t>
        </w:r>
        <w:r w:rsidRPr="00FA13E0">
          <w:rPr>
            <w:rStyle w:val="Hyperlink"/>
            <w:rFonts w:ascii="Georgia" w:hAnsi="Georgia"/>
            <w:smallCaps/>
            <w:sz w:val="24"/>
            <w:szCs w:val="24"/>
          </w:rPr>
          <w:t>Mich. Bar J</w:t>
        </w:r>
        <w:r w:rsidRPr="00FA13E0">
          <w:rPr>
            <w:rStyle w:val="Hyperlink"/>
            <w:rFonts w:ascii="Georgia" w:hAnsi="Georgia"/>
            <w:i/>
            <w:iCs/>
            <w:sz w:val="24"/>
            <w:szCs w:val="24"/>
          </w:rPr>
          <w:t>.</w:t>
        </w:r>
        <w:r w:rsidRPr="00FA13E0">
          <w:rPr>
            <w:rStyle w:val="Hyperlink"/>
            <w:rFonts w:ascii="Georgia" w:hAnsi="Georgia"/>
            <w:sz w:val="24"/>
            <w:szCs w:val="24"/>
          </w:rPr>
          <w:t> 1154 (1994)</w:t>
        </w:r>
      </w:hyperlink>
    </w:p>
    <w:p w14:paraId="6E99854F" w14:textId="77777777" w:rsidR="00FA13E0" w:rsidRDefault="00FA13E0">
      <w:pPr>
        <w:pStyle w:val="FootnoteText"/>
      </w:pPr>
    </w:p>
  </w:footnote>
  <w:footnote w:id="2">
    <w:p w14:paraId="46AE6CBC" w14:textId="3F747664" w:rsidR="00BE5F5C" w:rsidRPr="00BE5F5C" w:rsidRDefault="00BE5F5C" w:rsidP="00BE5F5C">
      <w:pPr>
        <w:rPr>
          <w:rFonts w:ascii="Georgia" w:hAnsi="Georgia"/>
          <w:color w:val="212121"/>
          <w:sz w:val="24"/>
          <w:szCs w:val="24"/>
        </w:rPr>
      </w:pPr>
      <w:r w:rsidRPr="00BE5F5C">
        <w:rPr>
          <w:rStyle w:val="FootnoteReference"/>
          <w:rFonts w:ascii="Georgia" w:hAnsi="Georgia"/>
          <w:sz w:val="24"/>
          <w:szCs w:val="24"/>
        </w:rPr>
        <w:footnoteRef/>
      </w:r>
      <w:r w:rsidRPr="00BE5F5C">
        <w:rPr>
          <w:sz w:val="24"/>
          <w:szCs w:val="24"/>
        </w:rPr>
        <w:t xml:space="preserve"> </w:t>
      </w:r>
      <w:hyperlink r:id="rId2" w:history="1">
        <w:r w:rsidRPr="00BE5F5C">
          <w:rPr>
            <w:rStyle w:val="Hyperlink"/>
            <w:rFonts w:ascii="Georgia" w:hAnsi="Georgia"/>
            <w:sz w:val="24"/>
            <w:szCs w:val="24"/>
          </w:rPr>
          <w:t>26 U.S.C. § 42(h)(6)(E)(i</w:t>
        </w:r>
        <w:r w:rsidR="009A5E89">
          <w:rPr>
            <w:rStyle w:val="Hyperlink"/>
            <w:rFonts w:ascii="Georgia" w:hAnsi="Georgia"/>
            <w:sz w:val="24"/>
            <w:szCs w:val="24"/>
          </w:rPr>
          <w:t>)(I)</w:t>
        </w:r>
      </w:hyperlink>
      <w:r w:rsidRPr="00BE5F5C">
        <w:rPr>
          <w:rFonts w:ascii="Georgia" w:hAnsi="Georgia"/>
          <w:color w:val="212121"/>
          <w:sz w:val="24"/>
          <w:szCs w:val="24"/>
        </w:rPr>
        <w:t xml:space="preserve"> states that the extended use period ends </w:t>
      </w:r>
      <w:r w:rsidRPr="00BE5F5C">
        <w:rPr>
          <w:rFonts w:ascii="Georgia" w:hAnsi="Georgia"/>
          <w:color w:val="212121"/>
          <w:sz w:val="24"/>
          <w:szCs w:val="24"/>
        </w:rPr>
        <w:br/>
        <w:t>“on the last day of the [compliance] period … the housing credit agency is unable to present during such period a qualified contract for the acquisition of the low-income portion of the building by any person who will continue to operate such portion as a qualified low-income building.</w:t>
      </w:r>
      <w:r w:rsidR="009A5E89">
        <w:rPr>
          <w:rFonts w:ascii="Georgia" w:hAnsi="Georgia"/>
          <w:color w:val="212121"/>
          <w:sz w:val="24"/>
          <w:szCs w:val="24"/>
        </w:rPr>
        <w:t>”</w:t>
      </w:r>
    </w:p>
    <w:p w14:paraId="21080197" w14:textId="2C8E4104" w:rsidR="00BE5F5C" w:rsidRDefault="00BE5F5C">
      <w:pPr>
        <w:pStyle w:val="FootnoteText"/>
      </w:pPr>
    </w:p>
  </w:footnote>
  <w:footnote w:id="3">
    <w:p w14:paraId="0F0091CA" w14:textId="482BD329" w:rsidR="007C7D30" w:rsidRPr="00BE5F5C" w:rsidRDefault="007C7D30" w:rsidP="007C7D30">
      <w:pPr>
        <w:rPr>
          <w:rFonts w:ascii="Georgia" w:hAnsi="Georgia"/>
          <w:color w:val="212121"/>
          <w:sz w:val="24"/>
          <w:szCs w:val="24"/>
        </w:rPr>
      </w:pPr>
      <w:r w:rsidRPr="00BE5F5C">
        <w:rPr>
          <w:rStyle w:val="FootnoteReference"/>
          <w:rFonts w:ascii="Georgia" w:hAnsi="Georgia"/>
          <w:sz w:val="24"/>
          <w:szCs w:val="24"/>
        </w:rPr>
        <w:footnoteRef/>
      </w:r>
      <w:r w:rsidRPr="00BE5F5C">
        <w:rPr>
          <w:sz w:val="24"/>
          <w:szCs w:val="24"/>
        </w:rPr>
        <w:t xml:space="preserve"> </w:t>
      </w:r>
      <w:r>
        <w:rPr>
          <w:rFonts w:ascii="Georgia" w:hAnsi="Georgia"/>
          <w:color w:val="212121"/>
          <w:sz w:val="24"/>
          <w:szCs w:val="24"/>
        </w:rPr>
        <w:t>Incumbent tenants do get a three-year grace period to retain their good-cause and rent-cap protections (three-year vacancy decontrol).</w:t>
      </w:r>
      <w:r w:rsidRPr="00BE5F5C">
        <w:rPr>
          <w:rFonts w:ascii="Georgia" w:hAnsi="Georgia"/>
          <w:color w:val="212121"/>
          <w:sz w:val="24"/>
          <w:szCs w:val="24"/>
        </w:rPr>
        <w:t xml:space="preserve"> </w:t>
      </w:r>
      <w:hyperlink r:id="rId3" w:history="1">
        <w:r w:rsidRPr="00BE5F5C">
          <w:rPr>
            <w:rStyle w:val="Hyperlink"/>
            <w:rFonts w:ascii="Georgia" w:hAnsi="Georgia"/>
            <w:sz w:val="24"/>
            <w:szCs w:val="24"/>
          </w:rPr>
          <w:t>26 U.S.C. § 42(h)(6)(E)(</w:t>
        </w:r>
        <w:r>
          <w:rPr>
            <w:rStyle w:val="Hyperlink"/>
            <w:rFonts w:ascii="Georgia" w:hAnsi="Georgia"/>
            <w:sz w:val="24"/>
            <w:szCs w:val="24"/>
          </w:rPr>
          <w:t>ii)</w:t>
        </w:r>
      </w:hyperlink>
      <w:r w:rsidR="00D30529">
        <w:rPr>
          <w:rFonts w:ascii="Georgia" w:hAnsi="Georgia"/>
          <w:color w:val="212121"/>
          <w:sz w:val="24"/>
          <w:szCs w:val="24"/>
        </w:rPr>
        <w:t>.</w:t>
      </w:r>
    </w:p>
    <w:p w14:paraId="23E59C1F" w14:textId="77777777" w:rsidR="007C7D30" w:rsidRDefault="007C7D30" w:rsidP="007C7D30">
      <w:pPr>
        <w:pStyle w:val="FootnoteText"/>
      </w:pPr>
    </w:p>
  </w:footnote>
  <w:footnote w:id="4">
    <w:p w14:paraId="60E5FAFA" w14:textId="37BC4147" w:rsidR="0017582C" w:rsidRDefault="0017582C">
      <w:pPr>
        <w:pStyle w:val="FootnoteText"/>
        <w:rPr>
          <w:rFonts w:ascii="Georgia" w:hAnsi="Georgia"/>
          <w:sz w:val="24"/>
          <w:szCs w:val="24"/>
        </w:rPr>
      </w:pPr>
      <w:r w:rsidRPr="00FA15B3">
        <w:rPr>
          <w:rStyle w:val="FootnoteReference"/>
          <w:rFonts w:ascii="Georgia" w:hAnsi="Georgia"/>
          <w:sz w:val="24"/>
          <w:szCs w:val="24"/>
        </w:rPr>
        <w:footnoteRef/>
      </w:r>
      <w:r w:rsidRPr="00FA15B3">
        <w:rPr>
          <w:rFonts w:ascii="Georgia" w:hAnsi="Georgia"/>
          <w:sz w:val="24"/>
          <w:szCs w:val="24"/>
        </w:rPr>
        <w:t xml:space="preserve"> </w:t>
      </w:r>
      <w:r w:rsidR="00162F69">
        <w:rPr>
          <w:rFonts w:ascii="Georgia" w:hAnsi="Georgia"/>
          <w:sz w:val="24"/>
          <w:szCs w:val="24"/>
        </w:rPr>
        <w:t>E</w:t>
      </w:r>
      <w:r w:rsidRPr="00FA15B3">
        <w:rPr>
          <w:rFonts w:ascii="Georgia" w:hAnsi="Georgia"/>
          <w:sz w:val="24"/>
          <w:szCs w:val="24"/>
        </w:rPr>
        <w:t>xample</w:t>
      </w:r>
      <w:r w:rsidR="007C57CC" w:rsidRPr="00FA15B3">
        <w:rPr>
          <w:rFonts w:ascii="Georgia" w:hAnsi="Georgia"/>
          <w:sz w:val="24"/>
          <w:szCs w:val="24"/>
        </w:rPr>
        <w:t>s</w:t>
      </w:r>
      <w:r w:rsidRPr="00FA15B3">
        <w:rPr>
          <w:rFonts w:ascii="Georgia" w:hAnsi="Georgia"/>
          <w:sz w:val="24"/>
          <w:szCs w:val="24"/>
        </w:rPr>
        <w:t xml:space="preserve"> of forfeiture of real estate for not paying property taxes</w:t>
      </w:r>
      <w:r w:rsidR="00162F69">
        <w:rPr>
          <w:rFonts w:ascii="Georgia" w:hAnsi="Georgia"/>
          <w:sz w:val="24"/>
          <w:szCs w:val="24"/>
        </w:rPr>
        <w:t xml:space="preserve"> include</w:t>
      </w:r>
      <w:r w:rsidRPr="00FA15B3">
        <w:rPr>
          <w:rFonts w:ascii="Georgia" w:hAnsi="Georgia"/>
          <w:sz w:val="24"/>
          <w:szCs w:val="24"/>
        </w:rPr>
        <w:t xml:space="preserve"> </w:t>
      </w:r>
      <w:hyperlink r:id="rId4" w:history="1">
        <w:r w:rsidRPr="00EA2581">
          <w:rPr>
            <w:rStyle w:val="Hyperlink"/>
            <w:rFonts w:ascii="Georgia" w:hAnsi="Georgia"/>
            <w:sz w:val="24"/>
            <w:szCs w:val="24"/>
          </w:rPr>
          <w:t>Minn. Stat. Chap</w:t>
        </w:r>
        <w:r w:rsidR="00E829C6" w:rsidRPr="00EA2581">
          <w:rPr>
            <w:rStyle w:val="Hyperlink"/>
            <w:rFonts w:ascii="Georgia" w:hAnsi="Georgia"/>
            <w:sz w:val="24"/>
            <w:szCs w:val="24"/>
          </w:rPr>
          <w:t>ters</w:t>
        </w:r>
        <w:r w:rsidRPr="00EA2581">
          <w:rPr>
            <w:rStyle w:val="Hyperlink"/>
            <w:rFonts w:ascii="Georgia" w:hAnsi="Georgia"/>
            <w:sz w:val="24"/>
            <w:szCs w:val="24"/>
          </w:rPr>
          <w:t xml:space="preserve"> 279-282</w:t>
        </w:r>
      </w:hyperlink>
      <w:r w:rsidR="007C57CC" w:rsidRPr="00FA15B3">
        <w:rPr>
          <w:rFonts w:ascii="Georgia" w:hAnsi="Georgia"/>
          <w:sz w:val="24"/>
          <w:szCs w:val="24"/>
        </w:rPr>
        <w:t xml:space="preserve"> and </w:t>
      </w:r>
      <w:hyperlink r:id="rId5" w:history="1">
        <w:r w:rsidR="007C57CC" w:rsidRPr="00FA15B3">
          <w:rPr>
            <w:rStyle w:val="Hyperlink"/>
            <w:rFonts w:ascii="Georgia" w:hAnsi="Georgia"/>
            <w:sz w:val="24"/>
            <w:szCs w:val="24"/>
          </w:rPr>
          <w:t>Code of Virginia, Title 58, Chapter 39, Article 4</w:t>
        </w:r>
      </w:hyperlink>
      <w:r w:rsidR="007C57CC" w:rsidRPr="00FA15B3">
        <w:rPr>
          <w:rFonts w:ascii="Georgia" w:hAnsi="Georgia"/>
          <w:sz w:val="24"/>
          <w:szCs w:val="24"/>
        </w:rPr>
        <w:t>.</w:t>
      </w:r>
    </w:p>
    <w:p w14:paraId="60696001" w14:textId="77777777" w:rsidR="00162F69" w:rsidRPr="00FA15B3" w:rsidRDefault="00162F69">
      <w:pPr>
        <w:pStyle w:val="FootnoteText"/>
        <w:rPr>
          <w:rFonts w:ascii="Georgia" w:hAnsi="Georgia"/>
          <w:sz w:val="24"/>
          <w:szCs w:val="24"/>
        </w:rPr>
      </w:pPr>
    </w:p>
  </w:footnote>
  <w:footnote w:id="5">
    <w:p w14:paraId="1F1EC698" w14:textId="7911E3FA" w:rsidR="00484470" w:rsidRPr="002E6A8D" w:rsidRDefault="00484470">
      <w:pPr>
        <w:pStyle w:val="FootnoteText"/>
        <w:rPr>
          <w:rFonts w:ascii="Georgia" w:hAnsi="Georgia"/>
          <w:sz w:val="24"/>
          <w:szCs w:val="24"/>
        </w:rPr>
      </w:pPr>
      <w:r>
        <w:rPr>
          <w:rStyle w:val="FootnoteReference"/>
        </w:rPr>
        <w:footnoteRef/>
      </w:r>
      <w:r w:rsidRPr="002E6A8D">
        <w:rPr>
          <w:rFonts w:ascii="Georgia" w:hAnsi="Georgia"/>
          <w:sz w:val="24"/>
          <w:szCs w:val="24"/>
        </w:rPr>
        <w:t xml:space="preserve">The website </w:t>
      </w:r>
      <w:hyperlink r:id="rId6" w:history="1">
        <w:r w:rsidRPr="002E6A8D">
          <w:rPr>
            <w:rStyle w:val="Hyperlink"/>
            <w:rFonts w:ascii="Georgia" w:hAnsi="Georgia"/>
            <w:sz w:val="24"/>
            <w:szCs w:val="24"/>
          </w:rPr>
          <w:t>https://www.novoco.com/resource-centers/affordable-housing-tax-credits/lihtc-irs-guidance</w:t>
        </w:r>
      </w:hyperlink>
      <w:r w:rsidRPr="002E6A8D">
        <w:rPr>
          <w:rFonts w:ascii="Georgia" w:hAnsi="Georgia"/>
          <w:sz w:val="24"/>
          <w:szCs w:val="24"/>
        </w:rPr>
        <w:t xml:space="preserve"> includes an excellent compilation of these documents as well as many other LIHTC resources.</w:t>
      </w:r>
    </w:p>
    <w:p w14:paraId="0CAF76E7" w14:textId="77777777" w:rsidR="00484470" w:rsidRPr="002E6A8D" w:rsidRDefault="00484470">
      <w:pPr>
        <w:pStyle w:val="FootnoteText"/>
        <w:rPr>
          <w:rFonts w:ascii="Georgia" w:hAnsi="Georgia"/>
          <w:sz w:val="24"/>
          <w:szCs w:val="24"/>
        </w:rPr>
      </w:pPr>
    </w:p>
  </w:footnote>
  <w:footnote w:id="6">
    <w:p w14:paraId="6AFC937F" w14:textId="68DEFCDD" w:rsidR="0095714C" w:rsidRDefault="0095714C" w:rsidP="00B92B3D">
      <w:r w:rsidRPr="002E6A8D">
        <w:rPr>
          <w:rStyle w:val="FootnoteReference"/>
          <w:rFonts w:ascii="Georgia" w:hAnsi="Georgia"/>
          <w:sz w:val="24"/>
          <w:szCs w:val="24"/>
        </w:rPr>
        <w:footnoteRef/>
      </w:r>
      <w:hyperlink r:id="rId7" w:history="1">
        <w:r w:rsidR="00B92B3D" w:rsidRPr="002E6A8D">
          <w:rPr>
            <w:rStyle w:val="Hyperlink"/>
            <w:rFonts w:ascii="Georgia" w:hAnsi="Georgia"/>
            <w:i/>
            <w:iCs/>
            <w:sz w:val="24"/>
            <w:szCs w:val="24"/>
          </w:rPr>
          <w:t>United States v. Rodgers,</w:t>
        </w:r>
        <w:r w:rsidR="00B92B3D" w:rsidRPr="002E6A8D">
          <w:rPr>
            <w:rStyle w:val="Hyperlink"/>
            <w:rFonts w:ascii="Georgia" w:hAnsi="Georgia"/>
            <w:sz w:val="24"/>
            <w:szCs w:val="24"/>
          </w:rPr>
          <w:t> 466 U.S. 475, 479 (1984)</w:t>
        </w:r>
      </w:hyperlink>
      <w:r w:rsidR="00B92B3D" w:rsidRPr="002E6A8D">
        <w:rPr>
          <w:rFonts w:ascii="Georgia" w:hAnsi="Georgia"/>
          <w:color w:val="212121"/>
          <w:sz w:val="24"/>
          <w:szCs w:val="24"/>
        </w:rPr>
        <w:t xml:space="preserve"> (when a word is not defined in the statute, we start with the assumption that the legislative purpose is expressed by the ordinary meaning of the words used.")</w:t>
      </w:r>
      <w:r w:rsidR="00B92B3D">
        <w:rPr>
          <w:rFonts w:ascii="Georgia" w:hAnsi="Georgia"/>
          <w:color w:val="212121"/>
          <w:sz w:val="24"/>
          <w:szCs w:val="24"/>
        </w:rPr>
        <w:t>;</w:t>
      </w:r>
      <w:r w:rsidR="00B92B3D" w:rsidRPr="002E6A8D">
        <w:rPr>
          <w:rFonts w:ascii="Georgia" w:hAnsi="Georgia"/>
          <w:color w:val="212121"/>
          <w:sz w:val="24"/>
          <w:szCs w:val="24"/>
        </w:rPr>
        <w:t xml:space="preserve"> </w:t>
      </w:r>
      <w:r w:rsidRPr="002E6A8D">
        <w:rPr>
          <w:rFonts w:ascii="Georgia" w:hAnsi="Georgia"/>
          <w:sz w:val="24"/>
          <w:szCs w:val="24"/>
        </w:rPr>
        <w:t xml:space="preserve"> </w:t>
      </w:r>
      <w:hyperlink r:id="rId8" w:history="1">
        <w:r w:rsidRPr="002E6A8D">
          <w:rPr>
            <w:rStyle w:val="Hyperlink"/>
            <w:rFonts w:ascii="Georgia" w:hAnsi="Georgia"/>
            <w:i/>
            <w:iCs/>
            <w:sz w:val="24"/>
            <w:szCs w:val="24"/>
          </w:rPr>
          <w:t>Van Buren v. United States,</w:t>
        </w:r>
        <w:r w:rsidRPr="002E6A8D">
          <w:rPr>
            <w:rStyle w:val="Hyperlink"/>
            <w:rFonts w:ascii="Georgia" w:hAnsi="Georgia"/>
            <w:sz w:val="24"/>
            <w:szCs w:val="24"/>
          </w:rPr>
          <w:t> 593 U.S. 374, 141 S. Ct. 1648, 210 L.Ed.2d 26 (2021)</w:t>
        </w:r>
      </w:hyperlink>
      <w:r w:rsidRPr="002E6A8D">
        <w:rPr>
          <w:rFonts w:ascii="Georgia" w:hAnsi="Georgia"/>
          <w:color w:val="212121"/>
          <w:sz w:val="24"/>
          <w:szCs w:val="24"/>
        </w:rPr>
        <w:t xml:space="preserve"> (</w:t>
      </w:r>
      <w:r w:rsidRPr="002E6A8D">
        <w:rPr>
          <w:rFonts w:ascii="Georgia" w:hAnsi="Georgia"/>
          <w:sz w:val="24"/>
          <w:szCs w:val="24"/>
        </w:rPr>
        <w:t>“when a statute, like this one, is addressing a technical subject, a specialized meaning is to be expected” [cleaned up]”</w:t>
      </w:r>
      <w:r w:rsidR="00B92B3D">
        <w:rPr>
          <w:rFonts w:ascii="Georgia" w:hAnsi="Georgia"/>
          <w:sz w:val="24"/>
          <w:szCs w:val="24"/>
        </w:rPr>
        <w:t>;</w:t>
      </w:r>
      <w:r w:rsidRPr="002E6A8D">
        <w:rPr>
          <w:rFonts w:ascii="Georgia" w:hAnsi="Georgia"/>
          <w:sz w:val="24"/>
          <w:szCs w:val="24"/>
        </w:rPr>
        <w:t xml:space="preserve"> </w:t>
      </w:r>
      <w:hyperlink r:id="rId9" w:history="1">
        <w:r w:rsidR="00BE6A01" w:rsidRPr="002E6A8D">
          <w:rPr>
            <w:rStyle w:val="Hyperlink"/>
            <w:rFonts w:ascii="Georgia" w:hAnsi="Georgia"/>
            <w:i/>
            <w:iCs/>
            <w:sz w:val="24"/>
            <w:szCs w:val="24"/>
          </w:rPr>
          <w:t>Cocchiarella v. Driggs,</w:t>
        </w:r>
        <w:r w:rsidR="00BE6A01" w:rsidRPr="002E6A8D">
          <w:rPr>
            <w:rStyle w:val="Hyperlink"/>
            <w:rFonts w:ascii="Georgia" w:hAnsi="Georgia"/>
            <w:sz w:val="24"/>
            <w:szCs w:val="24"/>
          </w:rPr>
          <w:t> 884 N.W.2d 621, 624 (Minn. 2016)</w:t>
        </w:r>
      </w:hyperlink>
      <w:r w:rsidR="00BE6A01" w:rsidRPr="002E6A8D">
        <w:rPr>
          <w:rFonts w:ascii="Georgia" w:hAnsi="Georgia"/>
          <w:color w:val="212121"/>
          <w:sz w:val="24"/>
          <w:szCs w:val="24"/>
        </w:rPr>
        <w:t>(“we construe technical words and phrases according to their special meaning, and other words and phrases according to their common and approved usage”)</w:t>
      </w:r>
    </w:p>
  </w:footnote>
  <w:footnote w:id="7">
    <w:p w14:paraId="31EB3AF5" w14:textId="77777777" w:rsidR="007C4A70" w:rsidRPr="002E6A8D" w:rsidRDefault="00A17200" w:rsidP="007C4A70">
      <w:pPr>
        <w:rPr>
          <w:rStyle w:val="Hyperlink"/>
          <w:rFonts w:ascii="Georgia" w:hAnsi="Georgia"/>
          <w:sz w:val="24"/>
          <w:szCs w:val="24"/>
        </w:rPr>
      </w:pPr>
      <w:r w:rsidRPr="002E6A8D">
        <w:rPr>
          <w:rStyle w:val="FootnoteReference"/>
          <w:rFonts w:ascii="Georgia" w:hAnsi="Georgia"/>
          <w:sz w:val="24"/>
          <w:szCs w:val="24"/>
        </w:rPr>
        <w:footnoteRef/>
      </w:r>
      <w:r w:rsidRPr="002E6A8D">
        <w:rPr>
          <w:rFonts w:ascii="Georgia" w:hAnsi="Georgia"/>
          <w:sz w:val="24"/>
          <w:szCs w:val="24"/>
        </w:rPr>
        <w:t xml:space="preserve"> </w:t>
      </w:r>
      <w:hyperlink r:id="rId10" w:history="1">
        <w:r w:rsidR="007C4A70" w:rsidRPr="002E6A8D">
          <w:rPr>
            <w:rStyle w:val="Hyperlink"/>
            <w:rFonts w:ascii="Georgia" w:hAnsi="Georgia"/>
            <w:sz w:val="24"/>
            <w:szCs w:val="24"/>
          </w:rPr>
          <w:t>https://dictionary.cambridge.org/us/dictionary/english/foreclosure</w:t>
        </w:r>
      </w:hyperlink>
    </w:p>
    <w:p w14:paraId="2841A83D" w14:textId="477A388A" w:rsidR="007C4A70" w:rsidRPr="002E6A8D" w:rsidRDefault="00C8417A" w:rsidP="007C4A70">
      <w:pPr>
        <w:ind w:left="720"/>
        <w:rPr>
          <w:rFonts w:ascii="Georgia" w:hAnsi="Georgia"/>
          <w:sz w:val="24"/>
          <w:szCs w:val="24"/>
        </w:rPr>
      </w:pPr>
      <w:r w:rsidRPr="002E6A8D">
        <w:rPr>
          <w:rFonts w:ascii="Georgia" w:hAnsi="Georgia"/>
          <w:sz w:val="24"/>
          <w:szCs w:val="24"/>
        </w:rPr>
        <w:t>T</w:t>
      </w:r>
      <w:r w:rsidR="007C4A70" w:rsidRPr="002E6A8D">
        <w:rPr>
          <w:rFonts w:ascii="Georgia" w:hAnsi="Georgia"/>
          <w:sz w:val="24"/>
          <w:szCs w:val="24"/>
        </w:rPr>
        <w:t>h</w:t>
      </w:r>
      <w:r>
        <w:rPr>
          <w:rFonts w:ascii="Georgia" w:hAnsi="Georgia"/>
          <w:sz w:val="24"/>
          <w:szCs w:val="24"/>
        </w:rPr>
        <w:t>e action o</w:t>
      </w:r>
      <w:r w:rsidR="007C4A70" w:rsidRPr="002E6A8D">
        <w:rPr>
          <w:rFonts w:ascii="Georgia" w:hAnsi="Georgia"/>
          <w:sz w:val="24"/>
          <w:szCs w:val="24"/>
        </w:rPr>
        <w:t xml:space="preserve">f taking back </w:t>
      </w:r>
      <w:r w:rsidR="007C4A70" w:rsidRPr="00C8417A">
        <w:rPr>
          <w:rFonts w:ascii="Georgia" w:hAnsi="Georgia"/>
          <w:sz w:val="24"/>
          <w:szCs w:val="24"/>
        </w:rPr>
        <w:t>property</w:t>
      </w:r>
      <w:r w:rsidR="007C4A70" w:rsidRPr="002E6A8D">
        <w:rPr>
          <w:rFonts w:ascii="Georgia" w:hAnsi="Georgia"/>
          <w:sz w:val="24"/>
          <w:szCs w:val="24"/>
        </w:rPr>
        <w:t xml:space="preserve"> that was </w:t>
      </w:r>
      <w:r w:rsidR="007C4A70" w:rsidRPr="00C8417A">
        <w:rPr>
          <w:rFonts w:ascii="Georgia" w:hAnsi="Georgia"/>
          <w:sz w:val="24"/>
          <w:szCs w:val="24"/>
        </w:rPr>
        <w:t>bought</w:t>
      </w:r>
      <w:r w:rsidR="007C4A70" w:rsidRPr="002E6A8D">
        <w:rPr>
          <w:rFonts w:ascii="Georgia" w:hAnsi="Georgia"/>
          <w:sz w:val="24"/>
          <w:szCs w:val="24"/>
        </w:rPr>
        <w:t xml:space="preserve"> with </w:t>
      </w:r>
      <w:r w:rsidR="007C4A70" w:rsidRPr="00C8417A">
        <w:rPr>
          <w:rFonts w:ascii="Georgia" w:hAnsi="Georgia"/>
          <w:sz w:val="24"/>
          <w:szCs w:val="24"/>
        </w:rPr>
        <w:t>borrowe</w:t>
      </w:r>
      <w:r>
        <w:rPr>
          <w:rFonts w:ascii="Georgia" w:hAnsi="Georgia"/>
          <w:sz w:val="24"/>
          <w:szCs w:val="24"/>
        </w:rPr>
        <w:t>d money b</w:t>
      </w:r>
      <w:r w:rsidR="007C4A70" w:rsidRPr="002E6A8D">
        <w:rPr>
          <w:rFonts w:ascii="Georgia" w:hAnsi="Georgia"/>
          <w:sz w:val="24"/>
          <w:szCs w:val="24"/>
        </w:rPr>
        <w:t xml:space="preserve">ecause the </w:t>
      </w:r>
      <w:r w:rsidR="007C4A70" w:rsidRPr="00C8417A">
        <w:rPr>
          <w:rFonts w:ascii="Georgia" w:hAnsi="Georgia"/>
          <w:sz w:val="24"/>
          <w:szCs w:val="24"/>
        </w:rPr>
        <w:t>money</w:t>
      </w:r>
      <w:r w:rsidR="007C4A70" w:rsidRPr="002E6A8D">
        <w:rPr>
          <w:rFonts w:ascii="Georgia" w:hAnsi="Georgia"/>
          <w:sz w:val="24"/>
          <w:szCs w:val="24"/>
        </w:rPr>
        <w:t xml:space="preserve"> was not being</w:t>
      </w:r>
      <w:r>
        <w:rPr>
          <w:rFonts w:ascii="Georgia" w:hAnsi="Georgia"/>
          <w:sz w:val="24"/>
          <w:szCs w:val="24"/>
        </w:rPr>
        <w:t xml:space="preserve"> paid </w:t>
      </w:r>
      <w:r w:rsidR="007C4A70" w:rsidRPr="002E6A8D">
        <w:rPr>
          <w:rFonts w:ascii="Georgia" w:hAnsi="Georgia"/>
          <w:sz w:val="24"/>
          <w:szCs w:val="24"/>
        </w:rPr>
        <w:t xml:space="preserve">back as </w:t>
      </w:r>
      <w:r w:rsidR="007C4A70" w:rsidRPr="00C8417A">
        <w:rPr>
          <w:rFonts w:ascii="Georgia" w:hAnsi="Georgia"/>
          <w:sz w:val="24"/>
          <w:szCs w:val="24"/>
        </w:rPr>
        <w:t>formally</w:t>
      </w:r>
      <w:r>
        <w:rPr>
          <w:rFonts w:ascii="Georgia" w:hAnsi="Georgia"/>
          <w:sz w:val="24"/>
          <w:szCs w:val="24"/>
        </w:rPr>
        <w:t xml:space="preserve"> agreed, </w:t>
      </w:r>
      <w:r w:rsidR="007C4A70" w:rsidRPr="002E6A8D">
        <w:rPr>
          <w:rFonts w:ascii="Georgia" w:hAnsi="Georgia"/>
          <w:sz w:val="24"/>
          <w:szCs w:val="24"/>
        </w:rPr>
        <w:t xml:space="preserve">or an </w:t>
      </w:r>
      <w:r w:rsidR="007C4A70" w:rsidRPr="00C8417A">
        <w:rPr>
          <w:rFonts w:ascii="Georgia" w:hAnsi="Georgia"/>
          <w:sz w:val="24"/>
          <w:szCs w:val="24"/>
        </w:rPr>
        <w:t>example</w:t>
      </w:r>
      <w:r w:rsidR="007C4A70" w:rsidRPr="002E6A8D">
        <w:rPr>
          <w:rFonts w:ascii="Georgia" w:hAnsi="Georgia"/>
          <w:sz w:val="24"/>
          <w:szCs w:val="24"/>
        </w:rPr>
        <w:t xml:space="preserve"> of this:</w:t>
      </w:r>
    </w:p>
    <w:p w14:paraId="2C2CB87F" w14:textId="77777777" w:rsidR="007C4A70" w:rsidRPr="002E6A8D" w:rsidRDefault="00000000" w:rsidP="007C4A70">
      <w:pPr>
        <w:rPr>
          <w:rStyle w:val="Hyperlink"/>
          <w:rFonts w:ascii="Georgia" w:hAnsi="Georgia"/>
          <w:sz w:val="24"/>
          <w:szCs w:val="24"/>
        </w:rPr>
      </w:pPr>
      <w:hyperlink r:id="rId11" w:history="1">
        <w:r w:rsidR="007C4A70" w:rsidRPr="002E6A8D">
          <w:rPr>
            <w:rStyle w:val="Hyperlink"/>
            <w:rFonts w:ascii="Georgia" w:hAnsi="Georgia"/>
            <w:sz w:val="24"/>
            <w:szCs w:val="24"/>
          </w:rPr>
          <w:t>https://www.collinsdictionary.com/us/dictionary/english/foreclosure</w:t>
        </w:r>
      </w:hyperlink>
    </w:p>
    <w:p w14:paraId="4AAE9B7B" w14:textId="77777777" w:rsidR="007C4A70" w:rsidRPr="002E6A8D" w:rsidRDefault="007C4A70" w:rsidP="007C4A70">
      <w:pPr>
        <w:ind w:left="720"/>
        <w:rPr>
          <w:rFonts w:ascii="Georgia" w:hAnsi="Georgia"/>
          <w:sz w:val="24"/>
          <w:szCs w:val="24"/>
        </w:rPr>
      </w:pPr>
      <w:r w:rsidRPr="002E6A8D">
        <w:rPr>
          <w:rFonts w:ascii="Georgia" w:hAnsi="Georgia"/>
          <w:sz w:val="24"/>
          <w:szCs w:val="24"/>
        </w:rPr>
        <w:t>Foreclosure s when someone who has lent money to a person or organization so that they can buy property takes possession of the property because the money has not been repaid.</w:t>
      </w:r>
    </w:p>
    <w:p w14:paraId="278F9221" w14:textId="77777777" w:rsidR="007C4A70" w:rsidRPr="002E6A8D" w:rsidRDefault="00000000" w:rsidP="007C4A70">
      <w:pPr>
        <w:rPr>
          <w:rStyle w:val="Hyperlink"/>
          <w:rFonts w:ascii="Georgia" w:hAnsi="Georgia"/>
          <w:sz w:val="24"/>
          <w:szCs w:val="24"/>
        </w:rPr>
      </w:pPr>
      <w:hyperlink r:id="rId12" w:history="1">
        <w:r w:rsidR="007C4A70" w:rsidRPr="002E6A8D">
          <w:rPr>
            <w:rStyle w:val="Hyperlink"/>
            <w:rFonts w:ascii="Georgia" w:hAnsi="Georgia"/>
            <w:sz w:val="24"/>
            <w:szCs w:val="24"/>
          </w:rPr>
          <w:t>https://corporatefinanceinstitute.com/resources/commercial-real-estate/foreclosure/</w:t>
        </w:r>
      </w:hyperlink>
    </w:p>
    <w:p w14:paraId="0FF96060" w14:textId="36D7EDE9" w:rsidR="00A17200" w:rsidRPr="00C8417A" w:rsidRDefault="007C4A70" w:rsidP="00C8417A">
      <w:pPr>
        <w:ind w:left="720"/>
        <w:rPr>
          <w:rFonts w:ascii="Georgia" w:hAnsi="Georgia"/>
          <w:sz w:val="24"/>
          <w:szCs w:val="24"/>
        </w:rPr>
      </w:pPr>
      <w:r w:rsidRPr="002E6A8D">
        <w:rPr>
          <w:rFonts w:ascii="Georgia" w:hAnsi="Georgia"/>
          <w:sz w:val="24"/>
          <w:szCs w:val="24"/>
        </w:rPr>
        <w:t>The process of transferring back the ownership of a home to the bank or lender after the borrower's failure to repay the home loan</w:t>
      </w:r>
    </w:p>
  </w:footnote>
  <w:footnote w:id="8">
    <w:p w14:paraId="1DAB8F4B" w14:textId="77777777" w:rsidR="00FB37C0" w:rsidRPr="002E6A8D" w:rsidRDefault="00FB37C0" w:rsidP="00FB37C0">
      <w:pPr>
        <w:rPr>
          <w:rStyle w:val="Hyperlink"/>
          <w:rFonts w:ascii="Georgia" w:hAnsi="Georgia"/>
          <w:sz w:val="24"/>
          <w:szCs w:val="24"/>
        </w:rPr>
      </w:pPr>
      <w:r w:rsidRPr="002E6A8D">
        <w:rPr>
          <w:rStyle w:val="FootnoteReference"/>
          <w:rFonts w:ascii="Georgia" w:hAnsi="Georgia"/>
          <w:sz w:val="24"/>
          <w:szCs w:val="24"/>
        </w:rPr>
        <w:footnoteRef/>
      </w:r>
      <w:r w:rsidRPr="002E6A8D">
        <w:rPr>
          <w:rFonts w:ascii="Georgia" w:hAnsi="Georgia"/>
          <w:sz w:val="24"/>
          <w:szCs w:val="24"/>
        </w:rPr>
        <w:t xml:space="preserve"> </w:t>
      </w:r>
      <w:hyperlink r:id="rId13" w:history="1">
        <w:r w:rsidRPr="002E6A8D">
          <w:rPr>
            <w:rStyle w:val="Hyperlink"/>
            <w:rFonts w:ascii="Georgia" w:hAnsi="Georgia"/>
            <w:sz w:val="24"/>
            <w:szCs w:val="24"/>
          </w:rPr>
          <w:t>https://www.usa.gov/foreclosure</w:t>
        </w:r>
      </w:hyperlink>
    </w:p>
    <w:p w14:paraId="267619BC" w14:textId="77777777" w:rsidR="00FB37C0" w:rsidRPr="002E6A8D" w:rsidRDefault="00FB37C0" w:rsidP="00FB37C0">
      <w:pPr>
        <w:ind w:left="720"/>
        <w:rPr>
          <w:rFonts w:ascii="Georgia" w:hAnsi="Georgia"/>
          <w:sz w:val="24"/>
          <w:szCs w:val="24"/>
        </w:rPr>
      </w:pPr>
      <w:r w:rsidRPr="002E6A8D">
        <w:rPr>
          <w:rFonts w:ascii="Georgia" w:hAnsi="Georgia"/>
          <w:sz w:val="24"/>
          <w:szCs w:val="24"/>
        </w:rPr>
        <w:t xml:space="preserve">Foreclosure happens when a lender seizes and sells a property because the homeowner has not been making the required mortgage payments. Learn how you might be able to prevent it. </w:t>
      </w:r>
    </w:p>
    <w:p w14:paraId="1BC5FD3E" w14:textId="77777777" w:rsidR="00FB37C0" w:rsidRPr="002E6A8D" w:rsidRDefault="00000000" w:rsidP="00FB37C0">
      <w:pPr>
        <w:rPr>
          <w:rStyle w:val="Hyperlink"/>
          <w:rFonts w:ascii="Georgia" w:hAnsi="Georgia"/>
          <w:sz w:val="24"/>
          <w:szCs w:val="24"/>
        </w:rPr>
      </w:pPr>
      <w:hyperlink r:id="rId14" w:history="1">
        <w:r w:rsidR="00FB37C0" w:rsidRPr="002E6A8D">
          <w:rPr>
            <w:rStyle w:val="Hyperlink"/>
            <w:rFonts w:ascii="Georgia" w:hAnsi="Georgia"/>
            <w:sz w:val="24"/>
            <w:szCs w:val="24"/>
          </w:rPr>
          <w:t>https://www.nolo.com/legal-encyclopedia/foreclosure-basics-terms-parties-steps-and-defenses.html</w:t>
        </w:r>
      </w:hyperlink>
    </w:p>
    <w:p w14:paraId="1590F2FE" w14:textId="765E8B5B" w:rsidR="00FB37C0" w:rsidRPr="002E6A8D" w:rsidRDefault="00FB37C0" w:rsidP="00FB37C0">
      <w:pPr>
        <w:ind w:left="720"/>
        <w:rPr>
          <w:rFonts w:ascii="Georgia" w:hAnsi="Georgia"/>
          <w:sz w:val="24"/>
          <w:szCs w:val="24"/>
        </w:rPr>
      </w:pPr>
      <w:r w:rsidRPr="002E6A8D">
        <w:rPr>
          <w:rFonts w:ascii="Georgia" w:hAnsi="Georgia"/>
          <w:sz w:val="24"/>
          <w:szCs w:val="24"/>
        </w:rPr>
        <w:t>"Foreclosure" is the legal process that allows a lender, or the subsequent loan owner, to sell your home to satisfy a mortgage debt.</w:t>
      </w:r>
    </w:p>
    <w:p w14:paraId="74C6A7FA" w14:textId="77777777" w:rsidR="00FB37C0" w:rsidRPr="002E6A8D" w:rsidRDefault="00000000" w:rsidP="00FB37C0">
      <w:pPr>
        <w:rPr>
          <w:rStyle w:val="Hyperlink"/>
          <w:rFonts w:ascii="Georgia" w:hAnsi="Georgia"/>
          <w:sz w:val="24"/>
          <w:szCs w:val="24"/>
        </w:rPr>
      </w:pPr>
      <w:hyperlink r:id="rId15" w:history="1">
        <w:r w:rsidR="00FB37C0" w:rsidRPr="002E6A8D">
          <w:rPr>
            <w:rStyle w:val="Hyperlink"/>
            <w:rFonts w:ascii="Georgia" w:hAnsi="Georgia"/>
            <w:sz w:val="24"/>
            <w:szCs w:val="24"/>
          </w:rPr>
          <w:t>https://legal-dictionary.thefreedictionary.com/foreclosure</w:t>
        </w:r>
      </w:hyperlink>
    </w:p>
    <w:p w14:paraId="04271A62" w14:textId="77777777" w:rsidR="00FB37C0" w:rsidRPr="002E6A8D" w:rsidRDefault="00FB37C0" w:rsidP="00FB37C0">
      <w:pPr>
        <w:ind w:left="720"/>
        <w:rPr>
          <w:rFonts w:ascii="Georgia" w:hAnsi="Georgia"/>
          <w:sz w:val="24"/>
          <w:szCs w:val="24"/>
        </w:rPr>
      </w:pPr>
      <w:r w:rsidRPr="002E6A8D">
        <w:rPr>
          <w:rFonts w:ascii="Georgia" w:hAnsi="Georgia"/>
          <w:sz w:val="24"/>
          <w:szCs w:val="24"/>
        </w:rPr>
        <w:t>Foreclosure [is] A procedure by which the holder of a mortgage—an interest in land providing security for the performance of a duty or the payment of a debt—sells the property upon the failure of the debtor to pay the mortgage debt and, thereby, terminates his or her rights in the property.</w:t>
      </w:r>
    </w:p>
    <w:p w14:paraId="6B2BDF1E" w14:textId="77777777" w:rsidR="00FB37C0" w:rsidRPr="002E6A8D" w:rsidRDefault="00000000" w:rsidP="00FB37C0">
      <w:pPr>
        <w:rPr>
          <w:rStyle w:val="Hyperlink"/>
          <w:rFonts w:ascii="Georgia" w:hAnsi="Georgia"/>
          <w:sz w:val="24"/>
          <w:szCs w:val="24"/>
        </w:rPr>
      </w:pPr>
      <w:hyperlink r:id="rId16" w:history="1">
        <w:r w:rsidR="00FB37C0" w:rsidRPr="002E6A8D">
          <w:rPr>
            <w:rStyle w:val="Hyperlink"/>
            <w:rFonts w:ascii="Georgia" w:hAnsi="Georgia"/>
            <w:sz w:val="24"/>
            <w:szCs w:val="24"/>
          </w:rPr>
          <w:t>https://dictionary.law.com/Default.aspx?selected=763</w:t>
        </w:r>
      </w:hyperlink>
    </w:p>
    <w:p w14:paraId="0D1B609C" w14:textId="77777777" w:rsidR="00FB37C0" w:rsidRPr="002E6A8D" w:rsidRDefault="00FB37C0" w:rsidP="00FB37C0">
      <w:pPr>
        <w:ind w:left="720"/>
        <w:rPr>
          <w:rFonts w:ascii="Georgia" w:hAnsi="Georgia"/>
          <w:sz w:val="24"/>
          <w:szCs w:val="24"/>
        </w:rPr>
      </w:pPr>
      <w:r w:rsidRPr="002E6A8D">
        <w:rPr>
          <w:rFonts w:ascii="Georgia" w:hAnsi="Georgia"/>
          <w:sz w:val="24"/>
          <w:szCs w:val="24"/>
        </w:rPr>
        <w:t xml:space="preserve">foreclosure [is] n. the system by which a party who has loaned money secured by a mortgage or deed of trust on real property (or has an unpaid judgment), requires sale of the real property to recover the money due, unpaid interest, plus the costs of foreclosure, when the debtor fails to make payment. </w:t>
      </w:r>
    </w:p>
  </w:footnote>
  <w:footnote w:id="9">
    <w:p w14:paraId="07FCEC8A" w14:textId="4FCD6A3F" w:rsidR="005C7ED8" w:rsidRDefault="005C7ED8">
      <w:pPr>
        <w:pStyle w:val="FootnoteText"/>
        <w:rPr>
          <w:rFonts w:ascii="Georgia" w:hAnsi="Georgia"/>
          <w:sz w:val="24"/>
          <w:szCs w:val="24"/>
        </w:rPr>
      </w:pPr>
      <w:r w:rsidRPr="002E6A8D">
        <w:rPr>
          <w:rStyle w:val="FootnoteReference"/>
          <w:rFonts w:ascii="Georgia" w:hAnsi="Georgia"/>
          <w:sz w:val="24"/>
          <w:szCs w:val="24"/>
        </w:rPr>
        <w:footnoteRef/>
      </w:r>
      <w:r w:rsidRPr="002E6A8D">
        <w:rPr>
          <w:rFonts w:ascii="Georgia" w:hAnsi="Georgia"/>
          <w:sz w:val="24"/>
          <w:szCs w:val="24"/>
        </w:rPr>
        <w:t xml:space="preserve"> </w:t>
      </w:r>
      <w:hyperlink r:id="rId17" w:history="1">
        <w:r w:rsidRPr="00ED7F1B">
          <w:rPr>
            <w:rStyle w:val="Hyperlink"/>
            <w:rFonts w:ascii="Georgia" w:hAnsi="Georgia"/>
            <w:sz w:val="24"/>
            <w:szCs w:val="24"/>
          </w:rPr>
          <w:t>2</w:t>
        </w:r>
        <w:r w:rsidR="005E1D46" w:rsidRPr="00ED7F1B">
          <w:rPr>
            <w:rStyle w:val="Hyperlink"/>
            <w:rFonts w:ascii="Georgia" w:hAnsi="Georgia"/>
            <w:sz w:val="24"/>
            <w:szCs w:val="24"/>
          </w:rPr>
          <w:t>6</w:t>
        </w:r>
        <w:r w:rsidRPr="00ED7F1B">
          <w:rPr>
            <w:rStyle w:val="Hyperlink"/>
            <w:rFonts w:ascii="Georgia" w:hAnsi="Georgia"/>
            <w:sz w:val="24"/>
            <w:szCs w:val="24"/>
          </w:rPr>
          <w:t xml:space="preserve"> U.S.C. </w:t>
        </w:r>
        <w:r w:rsidRPr="00ED7F1B">
          <w:rPr>
            <w:rStyle w:val="Hyperlink"/>
            <w:rFonts w:ascii="Georgia" w:hAnsi="Georgia" w:cstheme="minorHAnsi"/>
            <w:sz w:val="24"/>
            <w:szCs w:val="24"/>
          </w:rPr>
          <w:t>§</w:t>
        </w:r>
        <w:r w:rsidRPr="00ED7F1B">
          <w:rPr>
            <w:rStyle w:val="Hyperlink"/>
            <w:rFonts w:ascii="Georgia" w:hAnsi="Georgia"/>
            <w:sz w:val="24"/>
            <w:szCs w:val="24"/>
          </w:rPr>
          <w:t>42(d)(2)(</w:t>
        </w:r>
        <w:proofErr w:type="spellStart"/>
        <w:r w:rsidR="00DE1180" w:rsidRPr="00ED7F1B">
          <w:rPr>
            <w:rStyle w:val="Hyperlink"/>
            <w:rFonts w:ascii="Georgia" w:hAnsi="Georgia"/>
            <w:sz w:val="24"/>
            <w:szCs w:val="24"/>
          </w:rPr>
          <w:t>i</w:t>
        </w:r>
        <w:proofErr w:type="spellEnd"/>
        <w:r w:rsidR="00DE1180" w:rsidRPr="00ED7F1B">
          <w:rPr>
            <w:rStyle w:val="Hyperlink"/>
            <w:rFonts w:ascii="Georgia" w:hAnsi="Georgia"/>
            <w:sz w:val="24"/>
            <w:szCs w:val="24"/>
          </w:rPr>
          <w:t>)(IV)</w:t>
        </w:r>
      </w:hyperlink>
      <w:r w:rsidR="00DE1180" w:rsidRPr="002E6A8D">
        <w:rPr>
          <w:rFonts w:ascii="Georgia" w:hAnsi="Georgia"/>
          <w:sz w:val="24"/>
          <w:szCs w:val="24"/>
        </w:rPr>
        <w:t xml:space="preserve"> does use the word foreclosure. It </w:t>
      </w:r>
      <w:r w:rsidR="00776602" w:rsidRPr="002E6A8D">
        <w:rPr>
          <w:rFonts w:ascii="Georgia" w:hAnsi="Georgia"/>
          <w:sz w:val="24"/>
          <w:szCs w:val="24"/>
        </w:rPr>
        <w:t>reads</w:t>
      </w:r>
      <w:r w:rsidR="00DE1180" w:rsidRPr="002E6A8D">
        <w:rPr>
          <w:rFonts w:ascii="Georgia" w:hAnsi="Georgia"/>
          <w:sz w:val="24"/>
          <w:szCs w:val="24"/>
        </w:rPr>
        <w:t>:</w:t>
      </w:r>
    </w:p>
    <w:p w14:paraId="035B0FE4" w14:textId="77777777" w:rsidR="00F964B1" w:rsidRPr="002E6A8D" w:rsidRDefault="00F964B1">
      <w:pPr>
        <w:pStyle w:val="FootnoteText"/>
        <w:rPr>
          <w:rFonts w:ascii="Georgia" w:hAnsi="Georgia"/>
          <w:sz w:val="24"/>
          <w:szCs w:val="24"/>
        </w:rPr>
      </w:pPr>
    </w:p>
    <w:p w14:paraId="0F3876E8" w14:textId="77777777" w:rsidR="00DE1180" w:rsidRPr="002E6A8D" w:rsidRDefault="00DE1180" w:rsidP="00DE1180">
      <w:pPr>
        <w:pStyle w:val="FootnoteText"/>
        <w:ind w:left="720"/>
        <w:rPr>
          <w:rFonts w:ascii="Georgia" w:hAnsi="Georgia"/>
          <w:sz w:val="24"/>
          <w:szCs w:val="24"/>
        </w:rPr>
      </w:pPr>
      <w:r w:rsidRPr="002E6A8D">
        <w:rPr>
          <w:rFonts w:ascii="Georgia" w:hAnsi="Georgia"/>
          <w:sz w:val="24"/>
          <w:szCs w:val="24"/>
        </w:rPr>
        <w:t xml:space="preserve">For purposes of determining under subparagraph (B)(ii) when a building was last placed in service, there shall not be taken into account any placement in service …. </w:t>
      </w:r>
    </w:p>
    <w:p w14:paraId="345C5B73" w14:textId="77777777" w:rsidR="00DE1180" w:rsidRPr="002E6A8D" w:rsidRDefault="00DE1180" w:rsidP="00DE1180">
      <w:pPr>
        <w:pStyle w:val="FootnoteText"/>
        <w:ind w:left="720"/>
        <w:rPr>
          <w:rFonts w:ascii="Georgia" w:hAnsi="Georgia"/>
          <w:sz w:val="24"/>
          <w:szCs w:val="24"/>
        </w:rPr>
      </w:pPr>
    </w:p>
    <w:p w14:paraId="4A72BCB8" w14:textId="1C7DF799" w:rsidR="00DE1180" w:rsidRPr="00DE1180" w:rsidRDefault="00DE1180" w:rsidP="00DE1180">
      <w:pPr>
        <w:pStyle w:val="FootnoteText"/>
        <w:ind w:left="1440"/>
        <w:rPr>
          <w:rFonts w:ascii="Georgia" w:hAnsi="Georgia"/>
          <w:sz w:val="24"/>
          <w:szCs w:val="24"/>
        </w:rPr>
      </w:pPr>
      <w:r w:rsidRPr="002E6A8D">
        <w:rPr>
          <w:rFonts w:ascii="Georgia" w:hAnsi="Georgia"/>
          <w:b/>
          <w:bCs/>
          <w:sz w:val="24"/>
          <w:szCs w:val="24"/>
        </w:rPr>
        <w:t>(IV)</w:t>
      </w:r>
      <w:r w:rsidRPr="002E6A8D">
        <w:rPr>
          <w:rFonts w:ascii="Georgia" w:hAnsi="Georgia"/>
          <w:sz w:val="24"/>
          <w:szCs w:val="24"/>
        </w:rPr>
        <w:t xml:space="preserve"> </w:t>
      </w:r>
      <w:r w:rsidRPr="00DE1180">
        <w:rPr>
          <w:rFonts w:ascii="Georgia" w:hAnsi="Georgia"/>
          <w:sz w:val="24"/>
          <w:szCs w:val="24"/>
        </w:rPr>
        <w:t>by any person who acquired such building by foreclosure (or by instrument in lieu of foreclosure) of any purchase-money security interest held by such person if the requirements of subparagraph (B)(ii) are met with respect to the placement in service by such person and such building is resold within 12 months after the date such building is placed in service by such person after such foreclosure</w:t>
      </w:r>
    </w:p>
    <w:p w14:paraId="0EDEFF7E" w14:textId="2EBEB41D" w:rsidR="00DE1180" w:rsidRPr="002E6A8D" w:rsidRDefault="00DE1180">
      <w:pPr>
        <w:pStyle w:val="FootnoteText"/>
        <w:rPr>
          <w:rFonts w:ascii="Georgia" w:hAnsi="Georgia"/>
          <w:sz w:val="24"/>
          <w:szCs w:val="24"/>
        </w:rPr>
      </w:pPr>
    </w:p>
  </w:footnote>
  <w:footnote w:id="10">
    <w:p w14:paraId="3319146B" w14:textId="29055700" w:rsidR="009D3C9B" w:rsidRDefault="009D3C9B">
      <w:pPr>
        <w:pStyle w:val="FootnoteText"/>
      </w:pPr>
      <w:r w:rsidRPr="002E6A8D">
        <w:rPr>
          <w:rStyle w:val="FootnoteReference"/>
          <w:rFonts w:ascii="Georgia" w:hAnsi="Georgia"/>
          <w:sz w:val="24"/>
          <w:szCs w:val="24"/>
        </w:rPr>
        <w:footnoteRef/>
      </w:r>
      <w:r w:rsidRPr="002E6A8D">
        <w:rPr>
          <w:rFonts w:ascii="Georgia" w:hAnsi="Georgia"/>
          <w:sz w:val="24"/>
          <w:szCs w:val="24"/>
        </w:rPr>
        <w:t xml:space="preserve">“Foreclosure” appears only two other places in the huge </w:t>
      </w:r>
      <w:r w:rsidR="002E6A8D">
        <w:rPr>
          <w:rFonts w:ascii="Georgia" w:hAnsi="Georgia"/>
          <w:sz w:val="24"/>
          <w:szCs w:val="24"/>
        </w:rPr>
        <w:t>p</w:t>
      </w:r>
      <w:r w:rsidRPr="002E6A8D">
        <w:rPr>
          <w:rFonts w:ascii="Georgia" w:hAnsi="Georgia"/>
          <w:sz w:val="24"/>
          <w:szCs w:val="24"/>
        </w:rPr>
        <w:t xml:space="preserve">ublic </w:t>
      </w:r>
      <w:r w:rsidR="00D96625">
        <w:rPr>
          <w:rFonts w:ascii="Georgia" w:hAnsi="Georgia"/>
          <w:sz w:val="24"/>
          <w:szCs w:val="24"/>
        </w:rPr>
        <w:t>la</w:t>
      </w:r>
      <w:r w:rsidRPr="002E6A8D">
        <w:rPr>
          <w:rFonts w:ascii="Georgia" w:hAnsi="Georgia"/>
          <w:sz w:val="24"/>
          <w:szCs w:val="24"/>
        </w:rPr>
        <w:t>w</w:t>
      </w:r>
      <w:r w:rsidR="00DE4B8A">
        <w:rPr>
          <w:rFonts w:ascii="Georgia" w:hAnsi="Georgia"/>
          <w:sz w:val="24"/>
          <w:szCs w:val="24"/>
        </w:rPr>
        <w:t>,</w:t>
      </w:r>
      <w:r w:rsidRPr="002E6A8D">
        <w:rPr>
          <w:rFonts w:ascii="Georgia" w:hAnsi="Georgia"/>
          <w:sz w:val="24"/>
          <w:szCs w:val="24"/>
        </w:rPr>
        <w:t xml:space="preserve"> </w:t>
      </w:r>
      <w:hyperlink r:id="rId18" w:history="1">
        <w:r w:rsidR="002E6A8D" w:rsidRPr="005E1D46">
          <w:rPr>
            <w:rStyle w:val="Hyperlink"/>
            <w:rFonts w:ascii="Georgia" w:hAnsi="Georgia"/>
            <w:sz w:val="24"/>
            <w:szCs w:val="24"/>
          </w:rPr>
          <w:t xml:space="preserve">P.L. </w:t>
        </w:r>
        <w:r w:rsidRPr="005E1D46">
          <w:rPr>
            <w:rStyle w:val="Hyperlink"/>
            <w:rFonts w:ascii="Georgia" w:hAnsi="Georgia"/>
            <w:sz w:val="24"/>
            <w:szCs w:val="24"/>
          </w:rPr>
          <w:t>101-239</w:t>
        </w:r>
      </w:hyperlink>
      <w:r w:rsidR="00DE4B8A">
        <w:rPr>
          <w:rFonts w:ascii="Georgia" w:hAnsi="Georgia"/>
          <w:sz w:val="24"/>
          <w:szCs w:val="24"/>
        </w:rPr>
        <w:t>,</w:t>
      </w:r>
      <w:r w:rsidRPr="002E6A8D">
        <w:rPr>
          <w:rFonts w:ascii="Georgia" w:hAnsi="Georgia"/>
          <w:sz w:val="24"/>
          <w:szCs w:val="24"/>
        </w:rPr>
        <w:t xml:space="preserve"> and only in almost offhand and certainly irrelevant ways.</w:t>
      </w:r>
    </w:p>
  </w:footnote>
  <w:footnote w:id="11">
    <w:p w14:paraId="07D88CBD" w14:textId="2473DF98" w:rsidR="00555BD3" w:rsidRPr="008A0C08" w:rsidRDefault="00555BD3">
      <w:pPr>
        <w:pStyle w:val="FootnoteText"/>
        <w:rPr>
          <w:rFonts w:ascii="Georgia" w:hAnsi="Georgia"/>
          <w:sz w:val="24"/>
          <w:szCs w:val="24"/>
        </w:rPr>
      </w:pPr>
      <w:r w:rsidRPr="008A0C08">
        <w:rPr>
          <w:rFonts w:ascii="Georgia" w:hAnsi="Georgia"/>
          <w:sz w:val="24"/>
          <w:szCs w:val="24"/>
        </w:rPr>
        <w:t xml:space="preserve"> </w:t>
      </w:r>
      <w:r w:rsidRPr="008A0C08">
        <w:rPr>
          <w:rStyle w:val="FootnoteReference"/>
          <w:rFonts w:ascii="Georgia" w:hAnsi="Georgia"/>
          <w:sz w:val="24"/>
          <w:szCs w:val="24"/>
        </w:rPr>
        <w:footnoteRef/>
      </w:r>
      <w:hyperlink r:id="rId19" w:history="1">
        <w:r w:rsidR="00D96FD2" w:rsidRPr="00682039">
          <w:rPr>
            <w:rStyle w:val="Hyperlink"/>
            <w:rFonts w:ascii="Georgia" w:hAnsi="Georgia"/>
            <w:sz w:val="24"/>
            <w:szCs w:val="24"/>
          </w:rPr>
          <w:t xml:space="preserve">House </w:t>
        </w:r>
        <w:r w:rsidR="00622F95" w:rsidRPr="00682039">
          <w:rPr>
            <w:rStyle w:val="Hyperlink"/>
            <w:rFonts w:ascii="Georgia" w:hAnsi="Georgia"/>
            <w:sz w:val="24"/>
            <w:szCs w:val="24"/>
          </w:rPr>
          <w:t xml:space="preserve">Tax </w:t>
        </w:r>
        <w:r w:rsidR="00D96FD2" w:rsidRPr="00682039">
          <w:rPr>
            <w:rStyle w:val="Hyperlink"/>
            <w:rFonts w:ascii="Georgia" w:hAnsi="Georgia"/>
            <w:sz w:val="24"/>
            <w:szCs w:val="24"/>
          </w:rPr>
          <w:t>Bill, LIHTC part</w:t>
        </w:r>
      </w:hyperlink>
      <w:r w:rsidR="00D96FD2" w:rsidRPr="00682039">
        <w:rPr>
          <w:rFonts w:ascii="Georgia" w:hAnsi="Georgia"/>
          <w:color w:val="212121"/>
          <w:sz w:val="24"/>
          <w:szCs w:val="24"/>
        </w:rPr>
        <w:t>;</w:t>
      </w:r>
      <w:r w:rsidR="00D96FD2" w:rsidRPr="008A0C08">
        <w:rPr>
          <w:rFonts w:ascii="Georgia" w:hAnsi="Georgia"/>
          <w:color w:val="FF0000"/>
          <w:sz w:val="24"/>
          <w:szCs w:val="24"/>
        </w:rPr>
        <w:t xml:space="preserve"> </w:t>
      </w:r>
      <w:r w:rsidR="00D96FD2" w:rsidRPr="008A0C08">
        <w:rPr>
          <w:rFonts w:ascii="Georgia" w:hAnsi="Georgia"/>
          <w:sz w:val="24"/>
          <w:szCs w:val="24"/>
        </w:rPr>
        <w:t>also see</w:t>
      </w:r>
      <w:r w:rsidRPr="008A0C08">
        <w:rPr>
          <w:rFonts w:ascii="Georgia" w:hAnsi="Georgia"/>
          <w:sz w:val="24"/>
          <w:szCs w:val="24"/>
        </w:rPr>
        <w:t xml:space="preserve"> </w:t>
      </w:r>
      <w:hyperlink r:id="rId20" w:history="1">
        <w:r w:rsidRPr="00DE650A">
          <w:rPr>
            <w:rStyle w:val="Hyperlink"/>
            <w:rFonts w:ascii="Georgia" w:hAnsi="Georgia"/>
            <w:sz w:val="24"/>
            <w:szCs w:val="24"/>
          </w:rPr>
          <w:t>House Report 101-247</w:t>
        </w:r>
      </w:hyperlink>
      <w:r w:rsidRPr="008A0C08">
        <w:rPr>
          <w:rFonts w:ascii="Georgia" w:hAnsi="Georgia"/>
          <w:sz w:val="24"/>
          <w:szCs w:val="24"/>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FA0D6F"/>
    <w:multiLevelType w:val="multilevel"/>
    <w:tmpl w:val="3C74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3A462A"/>
    <w:multiLevelType w:val="multilevel"/>
    <w:tmpl w:val="FC166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3474342">
    <w:abstractNumId w:val="1"/>
  </w:num>
  <w:num w:numId="2" w16cid:durableId="1442870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BCF"/>
    <w:rsid w:val="00003C5C"/>
    <w:rsid w:val="00006E62"/>
    <w:rsid w:val="00021087"/>
    <w:rsid w:val="00022BDB"/>
    <w:rsid w:val="0003786A"/>
    <w:rsid w:val="00046502"/>
    <w:rsid w:val="00046B67"/>
    <w:rsid w:val="00056CA5"/>
    <w:rsid w:val="0006013B"/>
    <w:rsid w:val="00060AFC"/>
    <w:rsid w:val="0008512D"/>
    <w:rsid w:val="000D73CB"/>
    <w:rsid w:val="0010041C"/>
    <w:rsid w:val="00115613"/>
    <w:rsid w:val="00142C1A"/>
    <w:rsid w:val="0015061B"/>
    <w:rsid w:val="00150DBD"/>
    <w:rsid w:val="001548F2"/>
    <w:rsid w:val="00162F69"/>
    <w:rsid w:val="00166262"/>
    <w:rsid w:val="0017582C"/>
    <w:rsid w:val="00184C4B"/>
    <w:rsid w:val="001D4A66"/>
    <w:rsid w:val="001E063A"/>
    <w:rsid w:val="002351C2"/>
    <w:rsid w:val="002554EB"/>
    <w:rsid w:val="00271431"/>
    <w:rsid w:val="00275E85"/>
    <w:rsid w:val="0028665A"/>
    <w:rsid w:val="00290947"/>
    <w:rsid w:val="002A0BA5"/>
    <w:rsid w:val="002B5767"/>
    <w:rsid w:val="002C1D99"/>
    <w:rsid w:val="002C1FE5"/>
    <w:rsid w:val="002E6A8D"/>
    <w:rsid w:val="002F024A"/>
    <w:rsid w:val="00302A34"/>
    <w:rsid w:val="0034593C"/>
    <w:rsid w:val="00353039"/>
    <w:rsid w:val="00355CFD"/>
    <w:rsid w:val="00376C98"/>
    <w:rsid w:val="003845A7"/>
    <w:rsid w:val="003B10FD"/>
    <w:rsid w:val="003B5C6E"/>
    <w:rsid w:val="003D204F"/>
    <w:rsid w:val="003E3745"/>
    <w:rsid w:val="004006E1"/>
    <w:rsid w:val="00415BF4"/>
    <w:rsid w:val="004338F7"/>
    <w:rsid w:val="004401F6"/>
    <w:rsid w:val="004469EB"/>
    <w:rsid w:val="0047232A"/>
    <w:rsid w:val="00484470"/>
    <w:rsid w:val="00484DF2"/>
    <w:rsid w:val="005040B2"/>
    <w:rsid w:val="0050656C"/>
    <w:rsid w:val="005203CE"/>
    <w:rsid w:val="005223C1"/>
    <w:rsid w:val="0052593E"/>
    <w:rsid w:val="00544B7E"/>
    <w:rsid w:val="00555BD3"/>
    <w:rsid w:val="005603F5"/>
    <w:rsid w:val="005654DB"/>
    <w:rsid w:val="00572CEC"/>
    <w:rsid w:val="00585366"/>
    <w:rsid w:val="00591B63"/>
    <w:rsid w:val="00596151"/>
    <w:rsid w:val="005A61F4"/>
    <w:rsid w:val="005A62A2"/>
    <w:rsid w:val="005B4EEA"/>
    <w:rsid w:val="005B510C"/>
    <w:rsid w:val="005C7ED8"/>
    <w:rsid w:val="005E1D46"/>
    <w:rsid w:val="00605B47"/>
    <w:rsid w:val="00622F95"/>
    <w:rsid w:val="00660249"/>
    <w:rsid w:val="006769CD"/>
    <w:rsid w:val="00682039"/>
    <w:rsid w:val="006A29FE"/>
    <w:rsid w:val="006B3A4C"/>
    <w:rsid w:val="006D36C0"/>
    <w:rsid w:val="006D5A41"/>
    <w:rsid w:val="006E7422"/>
    <w:rsid w:val="006F34A8"/>
    <w:rsid w:val="00701DAC"/>
    <w:rsid w:val="00776602"/>
    <w:rsid w:val="007A7CEE"/>
    <w:rsid w:val="007C4A70"/>
    <w:rsid w:val="007C57CC"/>
    <w:rsid w:val="007C7D30"/>
    <w:rsid w:val="008211D9"/>
    <w:rsid w:val="00825729"/>
    <w:rsid w:val="00840DD4"/>
    <w:rsid w:val="008531F7"/>
    <w:rsid w:val="008553FF"/>
    <w:rsid w:val="008A0C08"/>
    <w:rsid w:val="008B533F"/>
    <w:rsid w:val="008D0246"/>
    <w:rsid w:val="008D6360"/>
    <w:rsid w:val="008F023D"/>
    <w:rsid w:val="008F3E84"/>
    <w:rsid w:val="00947FF2"/>
    <w:rsid w:val="0095714C"/>
    <w:rsid w:val="0096078E"/>
    <w:rsid w:val="009948DB"/>
    <w:rsid w:val="009950F4"/>
    <w:rsid w:val="009A5E89"/>
    <w:rsid w:val="009B2BBE"/>
    <w:rsid w:val="009C15A2"/>
    <w:rsid w:val="009D3C9B"/>
    <w:rsid w:val="009F737E"/>
    <w:rsid w:val="00A17200"/>
    <w:rsid w:val="00A33FD5"/>
    <w:rsid w:val="00A51CC5"/>
    <w:rsid w:val="00A66E2D"/>
    <w:rsid w:val="00AA4538"/>
    <w:rsid w:val="00AA521C"/>
    <w:rsid w:val="00AC2931"/>
    <w:rsid w:val="00AE0130"/>
    <w:rsid w:val="00B038F7"/>
    <w:rsid w:val="00B103FA"/>
    <w:rsid w:val="00B13CC5"/>
    <w:rsid w:val="00B14BE8"/>
    <w:rsid w:val="00B173F9"/>
    <w:rsid w:val="00B2327D"/>
    <w:rsid w:val="00B24F48"/>
    <w:rsid w:val="00B42DBD"/>
    <w:rsid w:val="00B7466B"/>
    <w:rsid w:val="00B85AA0"/>
    <w:rsid w:val="00B92B3D"/>
    <w:rsid w:val="00B95774"/>
    <w:rsid w:val="00BC30E2"/>
    <w:rsid w:val="00BC6FF7"/>
    <w:rsid w:val="00BE5F5C"/>
    <w:rsid w:val="00BE6A01"/>
    <w:rsid w:val="00C0273C"/>
    <w:rsid w:val="00C13CD7"/>
    <w:rsid w:val="00C20EF9"/>
    <w:rsid w:val="00C3514E"/>
    <w:rsid w:val="00C37822"/>
    <w:rsid w:val="00C57669"/>
    <w:rsid w:val="00C62BCF"/>
    <w:rsid w:val="00C77023"/>
    <w:rsid w:val="00C8417A"/>
    <w:rsid w:val="00CB0C79"/>
    <w:rsid w:val="00CB1989"/>
    <w:rsid w:val="00CD622E"/>
    <w:rsid w:val="00CE18F2"/>
    <w:rsid w:val="00CE1941"/>
    <w:rsid w:val="00CE5433"/>
    <w:rsid w:val="00D15AB4"/>
    <w:rsid w:val="00D30529"/>
    <w:rsid w:val="00D31603"/>
    <w:rsid w:val="00D41BDB"/>
    <w:rsid w:val="00D41D69"/>
    <w:rsid w:val="00D83B3C"/>
    <w:rsid w:val="00D96625"/>
    <w:rsid w:val="00D96FD2"/>
    <w:rsid w:val="00DA1C0E"/>
    <w:rsid w:val="00DA7077"/>
    <w:rsid w:val="00DB0143"/>
    <w:rsid w:val="00DB4BD3"/>
    <w:rsid w:val="00DC35DA"/>
    <w:rsid w:val="00DD7693"/>
    <w:rsid w:val="00DE1180"/>
    <w:rsid w:val="00DE24BB"/>
    <w:rsid w:val="00DE3F36"/>
    <w:rsid w:val="00DE4B8A"/>
    <w:rsid w:val="00DE650A"/>
    <w:rsid w:val="00E04C1C"/>
    <w:rsid w:val="00E233CB"/>
    <w:rsid w:val="00E245C5"/>
    <w:rsid w:val="00E37C8D"/>
    <w:rsid w:val="00E52DAB"/>
    <w:rsid w:val="00E829C6"/>
    <w:rsid w:val="00E9484C"/>
    <w:rsid w:val="00EA2581"/>
    <w:rsid w:val="00EA4304"/>
    <w:rsid w:val="00EA471C"/>
    <w:rsid w:val="00EA789B"/>
    <w:rsid w:val="00ED7F1B"/>
    <w:rsid w:val="00EE34A3"/>
    <w:rsid w:val="00EF22A3"/>
    <w:rsid w:val="00EF4D0D"/>
    <w:rsid w:val="00F153E4"/>
    <w:rsid w:val="00F55506"/>
    <w:rsid w:val="00F7396B"/>
    <w:rsid w:val="00F83622"/>
    <w:rsid w:val="00F8405D"/>
    <w:rsid w:val="00F9567B"/>
    <w:rsid w:val="00F964B1"/>
    <w:rsid w:val="00FA13E0"/>
    <w:rsid w:val="00FA15B3"/>
    <w:rsid w:val="00FB37C0"/>
    <w:rsid w:val="00FC1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3DD48"/>
  <w15:chartTrackingRefBased/>
  <w15:docId w15:val="{1E3C255E-E5CD-4BF1-BBAA-8EAFC1241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430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2BCF"/>
    <w:rPr>
      <w:color w:val="0563C1" w:themeColor="hyperlink"/>
      <w:u w:val="single"/>
    </w:rPr>
  </w:style>
  <w:style w:type="character" w:styleId="UnresolvedMention">
    <w:name w:val="Unresolved Mention"/>
    <w:basedOn w:val="DefaultParagraphFont"/>
    <w:uiPriority w:val="99"/>
    <w:semiHidden/>
    <w:unhideWhenUsed/>
    <w:rsid w:val="00C62BCF"/>
    <w:rPr>
      <w:color w:val="605E5C"/>
      <w:shd w:val="clear" w:color="auto" w:fill="E1DFDD"/>
    </w:rPr>
  </w:style>
  <w:style w:type="character" w:styleId="FollowedHyperlink">
    <w:name w:val="FollowedHyperlink"/>
    <w:basedOn w:val="DefaultParagraphFont"/>
    <w:uiPriority w:val="99"/>
    <w:semiHidden/>
    <w:unhideWhenUsed/>
    <w:rsid w:val="0015061B"/>
    <w:rPr>
      <w:color w:val="954F72" w:themeColor="followedHyperlink"/>
      <w:u w:val="single"/>
    </w:rPr>
  </w:style>
  <w:style w:type="character" w:customStyle="1" w:styleId="Heading1Char">
    <w:name w:val="Heading 1 Char"/>
    <w:basedOn w:val="DefaultParagraphFont"/>
    <w:link w:val="Heading1"/>
    <w:uiPriority w:val="9"/>
    <w:rsid w:val="00EA4304"/>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9571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5714C"/>
    <w:rPr>
      <w:sz w:val="20"/>
      <w:szCs w:val="20"/>
    </w:rPr>
  </w:style>
  <w:style w:type="character" w:styleId="FootnoteReference">
    <w:name w:val="footnote reference"/>
    <w:basedOn w:val="DefaultParagraphFont"/>
    <w:uiPriority w:val="99"/>
    <w:semiHidden/>
    <w:unhideWhenUsed/>
    <w:rsid w:val="0095714C"/>
    <w:rPr>
      <w:vertAlign w:val="superscript"/>
    </w:rPr>
  </w:style>
  <w:style w:type="paragraph" w:styleId="Header">
    <w:name w:val="header"/>
    <w:basedOn w:val="Normal"/>
    <w:link w:val="HeaderChar"/>
    <w:uiPriority w:val="99"/>
    <w:unhideWhenUsed/>
    <w:rsid w:val="00555B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5BD3"/>
  </w:style>
  <w:style w:type="paragraph" w:styleId="Footer">
    <w:name w:val="footer"/>
    <w:basedOn w:val="Normal"/>
    <w:link w:val="FooterChar"/>
    <w:uiPriority w:val="99"/>
    <w:unhideWhenUsed/>
    <w:rsid w:val="00555B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5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354377">
      <w:bodyDiv w:val="1"/>
      <w:marLeft w:val="0"/>
      <w:marRight w:val="0"/>
      <w:marTop w:val="0"/>
      <w:marBottom w:val="0"/>
      <w:divBdr>
        <w:top w:val="none" w:sz="0" w:space="0" w:color="auto"/>
        <w:left w:val="none" w:sz="0" w:space="0" w:color="auto"/>
        <w:bottom w:val="none" w:sz="0" w:space="0" w:color="auto"/>
        <w:right w:val="none" w:sz="0" w:space="0" w:color="auto"/>
      </w:divBdr>
    </w:div>
    <w:div w:id="275061422">
      <w:bodyDiv w:val="1"/>
      <w:marLeft w:val="0"/>
      <w:marRight w:val="0"/>
      <w:marTop w:val="0"/>
      <w:marBottom w:val="0"/>
      <w:divBdr>
        <w:top w:val="none" w:sz="0" w:space="0" w:color="auto"/>
        <w:left w:val="none" w:sz="0" w:space="0" w:color="auto"/>
        <w:bottom w:val="none" w:sz="0" w:space="0" w:color="auto"/>
        <w:right w:val="none" w:sz="0" w:space="0" w:color="auto"/>
      </w:divBdr>
    </w:div>
    <w:div w:id="500700319">
      <w:bodyDiv w:val="1"/>
      <w:marLeft w:val="0"/>
      <w:marRight w:val="0"/>
      <w:marTop w:val="0"/>
      <w:marBottom w:val="0"/>
      <w:divBdr>
        <w:top w:val="none" w:sz="0" w:space="0" w:color="auto"/>
        <w:left w:val="none" w:sz="0" w:space="0" w:color="auto"/>
        <w:bottom w:val="none" w:sz="0" w:space="0" w:color="auto"/>
        <w:right w:val="none" w:sz="0" w:space="0" w:color="auto"/>
      </w:divBdr>
      <w:divsChild>
        <w:div w:id="1385637468">
          <w:marLeft w:val="240"/>
          <w:marRight w:val="0"/>
          <w:marTop w:val="60"/>
          <w:marBottom w:val="60"/>
          <w:divBdr>
            <w:top w:val="none" w:sz="0" w:space="0" w:color="auto"/>
            <w:left w:val="none" w:sz="0" w:space="0" w:color="auto"/>
            <w:bottom w:val="none" w:sz="0" w:space="0" w:color="auto"/>
            <w:right w:val="none" w:sz="0" w:space="0" w:color="auto"/>
          </w:divBdr>
          <w:divsChild>
            <w:div w:id="57082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485871">
      <w:bodyDiv w:val="1"/>
      <w:marLeft w:val="0"/>
      <w:marRight w:val="0"/>
      <w:marTop w:val="0"/>
      <w:marBottom w:val="0"/>
      <w:divBdr>
        <w:top w:val="none" w:sz="0" w:space="0" w:color="auto"/>
        <w:left w:val="none" w:sz="0" w:space="0" w:color="auto"/>
        <w:bottom w:val="none" w:sz="0" w:space="0" w:color="auto"/>
        <w:right w:val="none" w:sz="0" w:space="0" w:color="auto"/>
      </w:divBdr>
    </w:div>
    <w:div w:id="985665706">
      <w:bodyDiv w:val="1"/>
      <w:marLeft w:val="0"/>
      <w:marRight w:val="0"/>
      <w:marTop w:val="0"/>
      <w:marBottom w:val="0"/>
      <w:divBdr>
        <w:top w:val="none" w:sz="0" w:space="0" w:color="auto"/>
        <w:left w:val="none" w:sz="0" w:space="0" w:color="auto"/>
        <w:bottom w:val="none" w:sz="0" w:space="0" w:color="auto"/>
        <w:right w:val="none" w:sz="0" w:space="0" w:color="auto"/>
      </w:divBdr>
    </w:div>
    <w:div w:id="1024944838">
      <w:bodyDiv w:val="1"/>
      <w:marLeft w:val="0"/>
      <w:marRight w:val="0"/>
      <w:marTop w:val="0"/>
      <w:marBottom w:val="0"/>
      <w:divBdr>
        <w:top w:val="none" w:sz="0" w:space="0" w:color="auto"/>
        <w:left w:val="none" w:sz="0" w:space="0" w:color="auto"/>
        <w:bottom w:val="none" w:sz="0" w:space="0" w:color="auto"/>
        <w:right w:val="none" w:sz="0" w:space="0" w:color="auto"/>
      </w:divBdr>
      <w:divsChild>
        <w:div w:id="2038651385">
          <w:marLeft w:val="0"/>
          <w:marRight w:val="0"/>
          <w:marTop w:val="0"/>
          <w:marBottom w:val="0"/>
          <w:divBdr>
            <w:top w:val="none" w:sz="0" w:space="0" w:color="auto"/>
            <w:left w:val="none" w:sz="0" w:space="0" w:color="auto"/>
            <w:bottom w:val="none" w:sz="0" w:space="0" w:color="auto"/>
            <w:right w:val="none" w:sz="0" w:space="0" w:color="auto"/>
          </w:divBdr>
        </w:div>
      </w:divsChild>
    </w:div>
    <w:div w:id="1028679408">
      <w:bodyDiv w:val="1"/>
      <w:marLeft w:val="0"/>
      <w:marRight w:val="0"/>
      <w:marTop w:val="0"/>
      <w:marBottom w:val="0"/>
      <w:divBdr>
        <w:top w:val="none" w:sz="0" w:space="0" w:color="auto"/>
        <w:left w:val="none" w:sz="0" w:space="0" w:color="auto"/>
        <w:bottom w:val="none" w:sz="0" w:space="0" w:color="auto"/>
        <w:right w:val="none" w:sz="0" w:space="0" w:color="auto"/>
      </w:divBdr>
    </w:div>
    <w:div w:id="1071660993">
      <w:bodyDiv w:val="1"/>
      <w:marLeft w:val="0"/>
      <w:marRight w:val="0"/>
      <w:marTop w:val="0"/>
      <w:marBottom w:val="0"/>
      <w:divBdr>
        <w:top w:val="none" w:sz="0" w:space="0" w:color="auto"/>
        <w:left w:val="none" w:sz="0" w:space="0" w:color="auto"/>
        <w:bottom w:val="none" w:sz="0" w:space="0" w:color="auto"/>
        <w:right w:val="none" w:sz="0" w:space="0" w:color="auto"/>
      </w:divBdr>
      <w:divsChild>
        <w:div w:id="1253782964">
          <w:marLeft w:val="240"/>
          <w:marRight w:val="0"/>
          <w:marTop w:val="60"/>
          <w:marBottom w:val="60"/>
          <w:divBdr>
            <w:top w:val="none" w:sz="0" w:space="0" w:color="auto"/>
            <w:left w:val="none" w:sz="0" w:space="0" w:color="auto"/>
            <w:bottom w:val="none" w:sz="0" w:space="0" w:color="auto"/>
            <w:right w:val="none" w:sz="0" w:space="0" w:color="auto"/>
          </w:divBdr>
          <w:divsChild>
            <w:div w:id="112808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916023">
      <w:bodyDiv w:val="1"/>
      <w:marLeft w:val="0"/>
      <w:marRight w:val="0"/>
      <w:marTop w:val="0"/>
      <w:marBottom w:val="0"/>
      <w:divBdr>
        <w:top w:val="none" w:sz="0" w:space="0" w:color="auto"/>
        <w:left w:val="none" w:sz="0" w:space="0" w:color="auto"/>
        <w:bottom w:val="none" w:sz="0" w:space="0" w:color="auto"/>
        <w:right w:val="none" w:sz="0" w:space="0" w:color="auto"/>
      </w:divBdr>
    </w:div>
    <w:div w:id="1730808005">
      <w:bodyDiv w:val="1"/>
      <w:marLeft w:val="0"/>
      <w:marRight w:val="0"/>
      <w:marTop w:val="0"/>
      <w:marBottom w:val="0"/>
      <w:divBdr>
        <w:top w:val="none" w:sz="0" w:space="0" w:color="auto"/>
        <w:left w:val="none" w:sz="0" w:space="0" w:color="auto"/>
        <w:bottom w:val="none" w:sz="0" w:space="0" w:color="auto"/>
        <w:right w:val="none" w:sz="0" w:space="0" w:color="auto"/>
      </w:divBdr>
      <w:divsChild>
        <w:div w:id="119735542">
          <w:marLeft w:val="0"/>
          <w:marRight w:val="0"/>
          <w:marTop w:val="0"/>
          <w:marBottom w:val="0"/>
          <w:divBdr>
            <w:top w:val="none" w:sz="0" w:space="0" w:color="auto"/>
            <w:left w:val="none" w:sz="0" w:space="0" w:color="auto"/>
            <w:bottom w:val="none" w:sz="0" w:space="0" w:color="auto"/>
            <w:right w:val="none" w:sz="0" w:space="0" w:color="auto"/>
          </w:divBdr>
        </w:div>
      </w:divsChild>
    </w:div>
    <w:div w:id="1811168769">
      <w:bodyDiv w:val="1"/>
      <w:marLeft w:val="0"/>
      <w:marRight w:val="0"/>
      <w:marTop w:val="0"/>
      <w:marBottom w:val="0"/>
      <w:divBdr>
        <w:top w:val="none" w:sz="0" w:space="0" w:color="auto"/>
        <w:left w:val="none" w:sz="0" w:space="0" w:color="auto"/>
        <w:bottom w:val="none" w:sz="0" w:space="0" w:color="auto"/>
        <w:right w:val="none" w:sz="0" w:space="0" w:color="auto"/>
      </w:divBdr>
    </w:div>
    <w:div w:id="1931312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code.house.gov/view.xhtml?req=(title:26%20section:42%20edition:prelim)" TargetMode="External"/><Relationship Id="rId13" Type="http://schemas.openxmlformats.org/officeDocument/2006/relationships/hyperlink" Target="https://www.merriam-webster.com/dictionary/foreclosure" TargetMode="External"/><Relationship Id="rId18" Type="http://schemas.openxmlformats.org/officeDocument/2006/relationships/hyperlink" Target="https://birnberglegalwebsite.net/wp-content/uploads/2024/08/mitchell-danforth-task-force-on-the-lihtc-january-1989-good-copy.pdf" TargetMode="External"/><Relationship Id="rId26" Type="http://schemas.openxmlformats.org/officeDocument/2006/relationships/hyperlink" Target="https://birnberglegalwebsite.net/wp-content/uploads/2024/08/mitchell-danforth-task-force-on-the-lihtc-january-1989-good-copy.pdf" TargetMode="External"/><Relationship Id="rId39" Type="http://schemas.openxmlformats.org/officeDocument/2006/relationships/hyperlink" Target="https://birnberglegalwebsite.net/wp-content/uploads/2024/08/serial-101-49.pdf" TargetMode="External"/><Relationship Id="rId3" Type="http://schemas.openxmlformats.org/officeDocument/2006/relationships/styles" Target="styles.xml"/><Relationship Id="rId21" Type="http://schemas.openxmlformats.org/officeDocument/2006/relationships/hyperlink" Target="C://Users/User/Downloads/GPO-CRECB-1989-pt7-3.pdf" TargetMode="External"/><Relationship Id="rId34" Type="http://schemas.openxmlformats.org/officeDocument/2006/relationships/hyperlink" Target="https://birnberglegalwebsite.net/wp-content/uploads/2024/08/house-report-101-247.pdf"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govinfo.gov/content/pkg/STATUTE-103/pdf/STATUTE-103-Pg2106.pdf" TargetMode="External"/><Relationship Id="rId17" Type="http://schemas.openxmlformats.org/officeDocument/2006/relationships/hyperlink" Target="https://birnberglegalwebsite.net/wp-content/uploads/2024/08/mitchell-danforth-task-force-on-the-lihtc-january-1989-good-copy.pdf" TargetMode="External"/><Relationship Id="rId25" Type="http://schemas.openxmlformats.org/officeDocument/2006/relationships/hyperlink" Target="https://digitalcommons.law.villanova.edu/vlr/vol38/iss4/1/" TargetMode="External"/><Relationship Id="rId33" Type="http://schemas.openxmlformats.org/officeDocument/2006/relationships/hyperlink" Target="https://birnberglegalwebsite.net/wp-content/uploads/2024/08/mitchell-danforth-task-force-on-the-lihtc-january-1989-good-copy.pdf" TargetMode="External"/><Relationship Id="rId38" Type="http://schemas.openxmlformats.org/officeDocument/2006/relationships/hyperlink" Target="https://birnberglegalwebsite.net/wp-content/uploads/2024/08/jcx-58-89.pdf" TargetMode="External"/><Relationship Id="rId2" Type="http://schemas.openxmlformats.org/officeDocument/2006/relationships/numbering" Target="numbering.xml"/><Relationship Id="rId16" Type="http://schemas.openxmlformats.org/officeDocument/2006/relationships/hyperlink" Target="https://digitalcommons.law.villanova.edu/vlr/vol38/iss4/1/" TargetMode="External"/><Relationship Id="rId20" Type="http://schemas.openxmlformats.org/officeDocument/2006/relationships/hyperlink" Target="https://www.congress.gov/101/crecb/1989/05/11/GPO-CRECB-1989-pt7-3-2.pdf" TargetMode="External"/><Relationship Id="rId29" Type="http://schemas.openxmlformats.org/officeDocument/2006/relationships/hyperlink" Target="https://birnberglegalwebsite.net/wp-content/uploads/2024/08/house-conference-report-101-386.pdf" TargetMode="External"/><Relationship Id="rId41" Type="http://schemas.openxmlformats.org/officeDocument/2006/relationships/hyperlink" Target="https://digitalcommons.law.villanova.edu/vlr/vol38/iss4/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code.house.gov/view.xhtml?req=(title:26%20section:42%20edition:prelim)" TargetMode="External"/><Relationship Id="rId24" Type="http://schemas.openxmlformats.org/officeDocument/2006/relationships/hyperlink" Target="https://digitalcommons.law.villanova.edu/vlr/vol38/iss4/1/" TargetMode="External"/><Relationship Id="rId32" Type="http://schemas.openxmlformats.org/officeDocument/2006/relationships/hyperlink" Target="https://uscode.house.gov/view.xhtml?req=(title:26%20section:42%20edition:prelim)" TargetMode="External"/><Relationship Id="rId37" Type="http://schemas.openxmlformats.org/officeDocument/2006/relationships/hyperlink" Target="https://birnberglegalwebsite.net/wp-content/uploads/2024/08/1989-house-tax-bill-lihtc-part.pdf" TargetMode="External"/><Relationship Id="rId40" Type="http://schemas.openxmlformats.org/officeDocument/2006/relationships/hyperlink" Target="https://homelinemn.org/wp-content/uploads/The%20Low-Income%20Housing%20Tax%20Credit%20by%20Jeanne%20Peterson.pdf" TargetMode="External"/><Relationship Id="rId5" Type="http://schemas.openxmlformats.org/officeDocument/2006/relationships/webSettings" Target="webSettings.xml"/><Relationship Id="rId15" Type="http://schemas.openxmlformats.org/officeDocument/2006/relationships/hyperlink" Target="https://www.law.cornell.edu/wex/foreclosure" TargetMode="External"/><Relationship Id="rId23" Type="http://schemas.openxmlformats.org/officeDocument/2006/relationships/hyperlink" Target="https://birnberglegalwebsite.net/wp-content/uploads/2024/08/mitchell-danforth-task-force-on-the-lihtc-january-1989-good-copy.pdf" TargetMode="External"/><Relationship Id="rId28" Type="http://schemas.openxmlformats.org/officeDocument/2006/relationships/hyperlink" Target="https://www.govinfo.gov/content/pkg/STATUTE-103/pdf/STATUTE-103-Pg2106.pdf" TargetMode="External"/><Relationship Id="rId36" Type="http://schemas.openxmlformats.org/officeDocument/2006/relationships/hyperlink" Target="https://birnberglegalwebsite.net/wp-content/uploads/2024/08/house-conference-report-101-386.pdf" TargetMode="External"/><Relationship Id="rId10" Type="http://schemas.openxmlformats.org/officeDocument/2006/relationships/hyperlink" Target="https://www.novoco.com/public-media/documents/rr_2004_82.pdf" TargetMode="External"/><Relationship Id="rId19" Type="http://schemas.openxmlformats.org/officeDocument/2006/relationships/hyperlink" Target="https://digitalcommons.law.villanova.edu/vlr/vol38/iss4/1/" TargetMode="External"/><Relationship Id="rId31" Type="http://schemas.openxmlformats.org/officeDocument/2006/relationships/hyperlink" Target="https://www.congress.gov/101/crecb/1989/05/11/GPO-CRECB-1989-pt7-3-2.pdf"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scode.house.gov/view.xhtml?req=(title:26%20section:42%20edition:prelim)" TargetMode="External"/><Relationship Id="rId14" Type="http://schemas.openxmlformats.org/officeDocument/2006/relationships/hyperlink" Target="https://www.irs.gov/pub/irs-pdf/p5550.pdf" TargetMode="External"/><Relationship Id="rId22" Type="http://schemas.openxmlformats.org/officeDocument/2006/relationships/hyperlink" Target="https://www.congress.gov/101/crecb/1989/05/11/GPO-CRECB-1989-pt7-3-2.pdf" TargetMode="External"/><Relationship Id="rId27" Type="http://schemas.openxmlformats.org/officeDocument/2006/relationships/hyperlink" Target="https://www.congress.gov/bill/101st-congress/senate-bill/980" TargetMode="External"/><Relationship Id="rId30" Type="http://schemas.openxmlformats.org/officeDocument/2006/relationships/hyperlink" Target="https://birnberglegalwebsite.net/wp-content/uploads/2024/08/senate-print-101-56-1.pdf" TargetMode="External"/><Relationship Id="rId35" Type="http://schemas.openxmlformats.org/officeDocument/2006/relationships/hyperlink" Target="https://birnberglegalwebsite.net/wp-content/uploads/2024/08/senate-print-101-56-1.pdf"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scholar.google.com/scholar_case?case=11412590121623247795&amp;q=%22technical+meaning%22+black%27s+law+dictionary&amp;hl=en&amp;as_sdt=4,60" TargetMode="External"/><Relationship Id="rId13" Type="http://schemas.openxmlformats.org/officeDocument/2006/relationships/hyperlink" Target="https://www.usa.gov/foreclosure" TargetMode="External"/><Relationship Id="rId18" Type="http://schemas.openxmlformats.org/officeDocument/2006/relationships/hyperlink" Target="https://www.govinfo.gov/content/pkg/STATUTE-103/pdf/STATUTE-103-Pg2106.pdf" TargetMode="External"/><Relationship Id="rId3" Type="http://schemas.openxmlformats.org/officeDocument/2006/relationships/hyperlink" Target="https://uscode.house.gov/view.xhtml?req=(title:26%20section:42%20edition:prelim)" TargetMode="External"/><Relationship Id="rId7" Type="http://schemas.openxmlformats.org/officeDocument/2006/relationships/hyperlink" Target="https://scholar.google.com/scholar_case?case=13140444967899181512&amp;q=%22technical+meaning%22+black%27s+law+dictionary&amp;hl=en&amp;as_sdt=4,60" TargetMode="External"/><Relationship Id="rId12" Type="http://schemas.openxmlformats.org/officeDocument/2006/relationships/hyperlink" Target="https://corporatefinanceinstitute.com/resources/commercial-real-estate/foreclosure/" TargetMode="External"/><Relationship Id="rId17" Type="http://schemas.openxmlformats.org/officeDocument/2006/relationships/hyperlink" Target="https://uscode.house.gov/view.xhtml?req=(title:26%20section:42%20edition:prelim)" TargetMode="External"/><Relationship Id="rId2" Type="http://schemas.openxmlformats.org/officeDocument/2006/relationships/hyperlink" Target="https://uscode.house.gov/view.xhtml?req=(title:26%20section:42%20edition:prelim)" TargetMode="External"/><Relationship Id="rId16" Type="http://schemas.openxmlformats.org/officeDocument/2006/relationships/hyperlink" Target="https://dictionary.law.com/Default.aspx?selected=763" TargetMode="External"/><Relationship Id="rId20" Type="http://schemas.openxmlformats.org/officeDocument/2006/relationships/hyperlink" Target="https://birnberglegalwebsite.net/wp-content/uploads/2024/08/house-report-101-247.pdf" TargetMode="External"/><Relationship Id="rId1" Type="http://schemas.openxmlformats.org/officeDocument/2006/relationships/hyperlink" Target="https://homelinemn.org/wp-content/uploads/The%20Low-Income%20Housing%20Tax%20Credit%20by%20Jeanne%20Peterson.pdf" TargetMode="External"/><Relationship Id="rId6" Type="http://schemas.openxmlformats.org/officeDocument/2006/relationships/hyperlink" Target="https://www.novoco.com/resource-centers/affordable-housing-tax-credits/lihtc-irs-guidance" TargetMode="External"/><Relationship Id="rId11" Type="http://schemas.openxmlformats.org/officeDocument/2006/relationships/hyperlink" Target="https://www.collinsdictionary.com/us/dictionary/english/foreclosure" TargetMode="External"/><Relationship Id="rId5" Type="http://schemas.openxmlformats.org/officeDocument/2006/relationships/hyperlink" Target="https://law.lis.virginia.gov/vacode/title58.1/chapter39/" TargetMode="External"/><Relationship Id="rId15" Type="http://schemas.openxmlformats.org/officeDocument/2006/relationships/hyperlink" Target="https://legal-dictionary.thefreedictionary.com/foreclosure" TargetMode="External"/><Relationship Id="rId10" Type="http://schemas.openxmlformats.org/officeDocument/2006/relationships/hyperlink" Target="https://dictionary.cambridge.org/us/dictionary/english/foreclosure" TargetMode="External"/><Relationship Id="rId19" Type="http://schemas.openxmlformats.org/officeDocument/2006/relationships/hyperlink" Target="https://birnberglegalwebsite.net/wp-content/uploads/2024/08/1989-house-tax-bill-lihtc-part.pdf" TargetMode="External"/><Relationship Id="rId4" Type="http://schemas.openxmlformats.org/officeDocument/2006/relationships/hyperlink" Target="https://www.revisor.mn.gov/statutes/cite/504B.291" TargetMode="External"/><Relationship Id="rId9" Type="http://schemas.openxmlformats.org/officeDocument/2006/relationships/hyperlink" Target="https://scholar.google.com/scholar_case?case=17531294086458527640&amp;q=legal+dictionary+technical&amp;hl=en&amp;as_sdt=4,24" TargetMode="External"/><Relationship Id="rId14" Type="http://schemas.openxmlformats.org/officeDocument/2006/relationships/hyperlink" Target="https://www.nolo.com/legal-encyclopedia/foreclosure-basics-terms-parties-steps-and-defens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AA00C-845D-4CE8-B9CE-AC7F2771F1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894</TotalTime>
  <Pages>11</Pages>
  <Words>2611</Words>
  <Characters>14885</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cp:revision>
  <dcterms:created xsi:type="dcterms:W3CDTF">2024-08-06T12:44:00Z</dcterms:created>
  <dcterms:modified xsi:type="dcterms:W3CDTF">2024-08-09T20:15:00Z</dcterms:modified>
</cp:coreProperties>
</file>