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33EEE" w14:textId="3F405258" w:rsidR="00C22419" w:rsidRPr="008613E4" w:rsidRDefault="00C22419" w:rsidP="008613E4">
      <w:pPr>
        <w:jc w:val="center"/>
        <w:rPr>
          <w:rFonts w:ascii="Times New Roman" w:hAnsi="Times New Roman"/>
          <w:b/>
          <w:bCs/>
          <w:sz w:val="28"/>
          <w:szCs w:val="28"/>
        </w:rPr>
      </w:pPr>
      <w:r w:rsidRPr="008613E4">
        <w:rPr>
          <w:rFonts w:ascii="Times New Roman" w:hAnsi="Times New Roman"/>
          <w:b/>
          <w:bCs/>
          <w:sz w:val="28"/>
          <w:szCs w:val="28"/>
        </w:rPr>
        <w:t>MINN. STAT</w:t>
      </w:r>
      <w:r w:rsidRPr="00C22419">
        <w:rPr>
          <w:rFonts w:ascii="Times New Roman" w:hAnsi="Times New Roman"/>
          <w:b/>
          <w:bCs/>
          <w:sz w:val="28"/>
          <w:szCs w:val="28"/>
        </w:rPr>
        <w:t xml:space="preserve"> </w:t>
      </w:r>
      <w:r w:rsidR="008613E4" w:rsidRPr="008613E4">
        <w:rPr>
          <w:rFonts w:ascii="Times New Roman" w:hAnsi="Times New Roman" w:cs="Times New Roman"/>
          <w:b/>
          <w:bCs/>
          <w:sz w:val="28"/>
          <w:szCs w:val="28"/>
        </w:rPr>
        <w:t>§</w:t>
      </w:r>
      <w:r w:rsidR="008613E4">
        <w:rPr>
          <w:rFonts w:ascii="Times New Roman" w:hAnsi="Times New Roman" w:cs="Times New Roman"/>
          <w:b/>
          <w:bCs/>
          <w:sz w:val="28"/>
          <w:szCs w:val="28"/>
        </w:rPr>
        <w:t xml:space="preserve"> </w:t>
      </w:r>
      <w:r w:rsidRPr="00C22419">
        <w:rPr>
          <w:rFonts w:ascii="Times New Roman" w:hAnsi="Times New Roman"/>
          <w:b/>
          <w:bCs/>
          <w:sz w:val="28"/>
          <w:szCs w:val="28"/>
        </w:rPr>
        <w:t xml:space="preserve">504B.301 </w:t>
      </w:r>
      <w:r w:rsidRPr="008613E4">
        <w:rPr>
          <w:rFonts w:ascii="Times New Roman" w:hAnsi="Times New Roman"/>
          <w:b/>
          <w:bCs/>
          <w:sz w:val="28"/>
          <w:szCs w:val="28"/>
        </w:rPr>
        <w:t>IS AIMED AT INVADERS AND SQUATTER</w:t>
      </w:r>
      <w:r w:rsidR="008613E4">
        <w:rPr>
          <w:rFonts w:ascii="Times New Roman" w:hAnsi="Times New Roman"/>
          <w:b/>
          <w:bCs/>
          <w:sz w:val="28"/>
          <w:szCs w:val="28"/>
        </w:rPr>
        <w:t>S</w:t>
      </w:r>
      <w:r w:rsidRPr="008613E4">
        <w:rPr>
          <w:rFonts w:ascii="Times New Roman" w:hAnsi="Times New Roman"/>
          <w:b/>
          <w:bCs/>
          <w:sz w:val="28"/>
          <w:szCs w:val="28"/>
        </w:rPr>
        <w:t>,</w:t>
      </w:r>
      <w:r w:rsidR="008613E4">
        <w:rPr>
          <w:rFonts w:ascii="Times New Roman" w:hAnsi="Times New Roman"/>
          <w:b/>
          <w:bCs/>
          <w:sz w:val="28"/>
          <w:szCs w:val="28"/>
        </w:rPr>
        <w:t xml:space="preserve"> </w:t>
      </w:r>
      <w:r w:rsidRPr="008613E4">
        <w:rPr>
          <w:rFonts w:ascii="Times New Roman" w:hAnsi="Times New Roman"/>
          <w:b/>
          <w:bCs/>
          <w:sz w:val="28"/>
          <w:szCs w:val="28"/>
        </w:rPr>
        <w:t>NOT TENANTS</w:t>
      </w:r>
      <w:r w:rsidRPr="00C22419">
        <w:rPr>
          <w:rFonts w:ascii="Times New Roman" w:hAnsi="Times New Roman"/>
          <w:b/>
          <w:bCs/>
          <w:sz w:val="28"/>
          <w:szCs w:val="28"/>
        </w:rPr>
        <w:t>.</w:t>
      </w:r>
    </w:p>
    <w:p w14:paraId="3750A3C0" w14:textId="7FF206FE" w:rsidR="00CB3ABA" w:rsidRPr="008613E4" w:rsidRDefault="00CB3ABA" w:rsidP="00CB3ABA">
      <w:pPr>
        <w:rPr>
          <w:rFonts w:ascii="Times New Roman" w:hAnsi="Times New Roman"/>
          <w:b/>
          <w:bCs/>
          <w:sz w:val="24"/>
          <w:u w:val="single"/>
        </w:rPr>
      </w:pPr>
      <w:r w:rsidRPr="008613E4">
        <w:rPr>
          <w:rFonts w:ascii="Times New Roman" w:hAnsi="Times New Roman"/>
          <w:sz w:val="24"/>
          <w:lang w:val="en-CA"/>
        </w:rPr>
        <w:fldChar w:fldCharType="begin"/>
      </w:r>
      <w:r w:rsidRPr="008613E4">
        <w:rPr>
          <w:rFonts w:ascii="Times New Roman" w:hAnsi="Times New Roman"/>
          <w:sz w:val="24"/>
          <w:lang w:val="en-CA"/>
        </w:rPr>
        <w:instrText xml:space="preserve"> SEQ CHAPTER \h \r 1</w:instrText>
      </w:r>
      <w:r w:rsidRPr="008613E4">
        <w:rPr>
          <w:rFonts w:ascii="Times New Roman" w:hAnsi="Times New Roman"/>
          <w:sz w:val="24"/>
        </w:rPr>
        <w:fldChar w:fldCharType="end"/>
      </w:r>
      <w:r w:rsidRPr="008613E4">
        <w:rPr>
          <w:rFonts w:ascii="Times New Roman" w:hAnsi="Times New Roman"/>
          <w:b/>
          <w:bCs/>
          <w:sz w:val="24"/>
          <w:u w:val="single"/>
        </w:rPr>
        <w:t>INTRODUCTION</w:t>
      </w:r>
    </w:p>
    <w:p w14:paraId="38A8E5DE" w14:textId="029426DB" w:rsidR="00CB3ABA" w:rsidRPr="008613E4" w:rsidRDefault="00CB3ABA" w:rsidP="00CB3ABA">
      <w:pPr>
        <w:rPr>
          <w:rFonts w:ascii="Times New Roman" w:hAnsi="Times New Roman"/>
          <w:sz w:val="24"/>
        </w:rPr>
      </w:pPr>
      <w:r w:rsidRPr="008613E4">
        <w:rPr>
          <w:rFonts w:ascii="Times New Roman" w:hAnsi="Times New Roman"/>
          <w:sz w:val="24"/>
        </w:rPr>
        <w:t>While there are several types of lawsuits available to oust an occupant of real estate</w:t>
      </w:r>
      <w:r w:rsidRPr="008613E4">
        <w:rPr>
          <w:rFonts w:ascii="Times New Roman" w:hAnsi="Times New Roman"/>
          <w:sz w:val="24"/>
          <w:vertAlign w:val="superscript"/>
        </w:rPr>
        <w:footnoteReference w:customMarkFollows="1" w:id="1"/>
        <w:t>1</w:t>
      </w:r>
      <w:r w:rsidRPr="008613E4">
        <w:rPr>
          <w:rFonts w:ascii="Times New Roman" w:hAnsi="Times New Roman"/>
          <w:sz w:val="24"/>
        </w:rPr>
        <w:t>, the fastest, simplest and most commonly used lawsuit is the eviction action, what used to be called an unlawful-detainer action. Eviction actions are governed by statute. Since 1999 the eviction statutes have been codified in Minn. Stat. §§ 504B.281-504B.371. Prior to 1999, the eviction statutes were codified in their own chapter, with the chapter number changing over time as new codifications were made.</w:t>
      </w:r>
      <w:r w:rsidRPr="008613E4">
        <w:rPr>
          <w:rFonts w:ascii="Times New Roman" w:hAnsi="Times New Roman"/>
          <w:sz w:val="24"/>
          <w:vertAlign w:val="superscript"/>
        </w:rPr>
        <w:footnoteReference w:customMarkFollows="1" w:id="2"/>
        <w:t>2</w:t>
      </w:r>
    </w:p>
    <w:p w14:paraId="5A5AB317" w14:textId="08A362EC" w:rsidR="00CB3ABA" w:rsidRPr="008613E4" w:rsidRDefault="00CB3ABA" w:rsidP="00CB3ABA">
      <w:pPr>
        <w:rPr>
          <w:rFonts w:ascii="Times New Roman" w:hAnsi="Times New Roman"/>
          <w:b/>
          <w:bCs/>
          <w:sz w:val="24"/>
          <w:u w:val="single"/>
        </w:rPr>
      </w:pPr>
      <w:r w:rsidRPr="008613E4">
        <w:rPr>
          <w:rFonts w:ascii="Times New Roman" w:hAnsi="Times New Roman"/>
          <w:b/>
          <w:bCs/>
          <w:sz w:val="24"/>
          <w:u w:val="single"/>
        </w:rPr>
        <w:t xml:space="preserve">IS MINN. STAT. § 504B.301 A CATCHALL PROVISION THAT RENDERS MINN. STAT. § 504B.285, SUBDIVISION 1(a) SUPERFLUOUS? </w:t>
      </w:r>
    </w:p>
    <w:p w14:paraId="5420633C" w14:textId="7F16B686" w:rsidR="00CB3ABA" w:rsidRPr="008613E4" w:rsidRDefault="00CB3ABA" w:rsidP="00CB3ABA">
      <w:pPr>
        <w:rPr>
          <w:rFonts w:ascii="Times New Roman" w:hAnsi="Times New Roman"/>
          <w:sz w:val="24"/>
        </w:rPr>
      </w:pPr>
      <w:r w:rsidRPr="008613E4">
        <w:rPr>
          <w:rFonts w:ascii="Times New Roman" w:hAnsi="Times New Roman"/>
          <w:sz w:val="24"/>
        </w:rPr>
        <w:t>Most of the eviction statutes govern the court procedure. Two statutes provide bases to file an eviction action, Minn. Stat. § 504B.285, subd. 1(a) and Minn. Stat. § 504B.301. They read as follows:</w:t>
      </w:r>
    </w:p>
    <w:p w14:paraId="798BD381" w14:textId="77777777" w:rsidR="00CB3ABA" w:rsidRPr="008613E4" w:rsidRDefault="00CB3ABA" w:rsidP="00CB3ABA">
      <w:pPr>
        <w:ind w:left="720"/>
        <w:rPr>
          <w:rFonts w:ascii="Times New Roman" w:hAnsi="Times New Roman"/>
          <w:b/>
          <w:bCs/>
          <w:sz w:val="24"/>
        </w:rPr>
      </w:pPr>
      <w:r w:rsidRPr="008613E4">
        <w:rPr>
          <w:rFonts w:ascii="Times New Roman" w:hAnsi="Times New Roman"/>
          <w:b/>
          <w:bCs/>
          <w:sz w:val="24"/>
        </w:rPr>
        <w:t>504B.285 EVICTION ACTIONS; GROUNDS; RETALIATION DEFENSE; COMBINED ALLEGATIONS.</w:t>
      </w:r>
    </w:p>
    <w:p w14:paraId="56A604D2" w14:textId="3478216A" w:rsidR="00CB3ABA" w:rsidRPr="008613E4" w:rsidRDefault="00CB3ABA" w:rsidP="00CB3ABA">
      <w:pPr>
        <w:ind w:left="720"/>
        <w:rPr>
          <w:rFonts w:ascii="Times New Roman" w:hAnsi="Times New Roman"/>
          <w:sz w:val="24"/>
        </w:rPr>
      </w:pPr>
      <w:r w:rsidRPr="008613E4">
        <w:rPr>
          <w:rFonts w:ascii="Times New Roman" w:hAnsi="Times New Roman"/>
          <w:b/>
          <w:bCs/>
          <w:sz w:val="24"/>
        </w:rPr>
        <w:t xml:space="preserve">Subdivision 1. Grounds. </w:t>
      </w:r>
      <w:r w:rsidRPr="008613E4">
        <w:rPr>
          <w:rFonts w:ascii="Times New Roman" w:hAnsi="Times New Roman"/>
          <w:sz w:val="24"/>
        </w:rPr>
        <w:t>(a) The person entitled to the premises may recover possession by eviction when:</w:t>
      </w:r>
    </w:p>
    <w:p w14:paraId="3A13D9D6" w14:textId="77777777" w:rsidR="00CB3ABA" w:rsidRPr="008613E4" w:rsidRDefault="00CB3ABA" w:rsidP="00CB3ABA">
      <w:pPr>
        <w:ind w:left="720"/>
        <w:rPr>
          <w:rFonts w:ascii="Times New Roman" w:hAnsi="Times New Roman"/>
          <w:sz w:val="24"/>
        </w:rPr>
      </w:pPr>
      <w:r w:rsidRPr="008613E4">
        <w:rPr>
          <w:rFonts w:ascii="Times New Roman" w:hAnsi="Times New Roman"/>
          <w:sz w:val="24"/>
        </w:rPr>
        <w:t>(1) any person holds over real property:</w:t>
      </w:r>
    </w:p>
    <w:p w14:paraId="2698AFA6" w14:textId="77777777" w:rsidR="00CB3ABA" w:rsidRPr="008613E4" w:rsidRDefault="00CB3ABA" w:rsidP="00CB3ABA">
      <w:pPr>
        <w:ind w:left="1440"/>
        <w:rPr>
          <w:rFonts w:ascii="Times New Roman" w:hAnsi="Times New Roman"/>
          <w:sz w:val="24"/>
        </w:rPr>
      </w:pPr>
      <w:r w:rsidRPr="008613E4">
        <w:rPr>
          <w:rFonts w:ascii="Times New Roman" w:hAnsi="Times New Roman"/>
          <w:sz w:val="24"/>
        </w:rPr>
        <w:t>(i) after a sale of the property on an execution or judgment*;</w:t>
      </w:r>
    </w:p>
    <w:p w14:paraId="4A974307" w14:textId="77777777" w:rsidR="00CB3ABA" w:rsidRPr="008613E4" w:rsidRDefault="00CB3ABA" w:rsidP="00CB3ABA">
      <w:pPr>
        <w:ind w:left="1440"/>
        <w:rPr>
          <w:rFonts w:ascii="Times New Roman" w:hAnsi="Times New Roman"/>
          <w:sz w:val="24"/>
        </w:rPr>
      </w:pPr>
      <w:r w:rsidRPr="008613E4">
        <w:rPr>
          <w:rFonts w:ascii="Times New Roman" w:hAnsi="Times New Roman"/>
          <w:sz w:val="24"/>
        </w:rPr>
        <w:t>(ii) after the expiration of the time for redemption on foreclosure of a mortgage*, or after termination of contract to convey the property*; or</w:t>
      </w:r>
    </w:p>
    <w:p w14:paraId="3B0D98B0" w14:textId="25652BC2" w:rsidR="00CB3ABA" w:rsidRPr="008613E4" w:rsidRDefault="00CB3ABA" w:rsidP="00CB3ABA">
      <w:pPr>
        <w:ind w:left="1440"/>
        <w:rPr>
          <w:rFonts w:ascii="Times New Roman" w:hAnsi="Times New Roman"/>
          <w:sz w:val="24"/>
        </w:rPr>
      </w:pPr>
      <w:r w:rsidRPr="008613E4">
        <w:rPr>
          <w:rFonts w:ascii="Times New Roman" w:hAnsi="Times New Roman"/>
          <w:sz w:val="24"/>
        </w:rPr>
        <w:t>(iii) after the expiration of the time for redemption on a real estate tax judgment sale*;</w:t>
      </w:r>
    </w:p>
    <w:p w14:paraId="16329A18" w14:textId="354C6A33" w:rsidR="00CB3ABA" w:rsidRPr="008613E4" w:rsidRDefault="00CB3ABA" w:rsidP="00CB3ABA">
      <w:pPr>
        <w:ind w:left="720"/>
        <w:rPr>
          <w:rFonts w:ascii="Times New Roman" w:hAnsi="Times New Roman"/>
          <w:sz w:val="24"/>
        </w:rPr>
      </w:pPr>
      <w:r w:rsidRPr="008613E4">
        <w:rPr>
          <w:rFonts w:ascii="Times New Roman" w:hAnsi="Times New Roman"/>
          <w:sz w:val="24"/>
        </w:rPr>
        <w:t>(2) any person holds over real property after termination of the time for which it is demised or leased* to that person or to the persons under whom that person holds possession, contrary to the conditions or covenants of the lease or agreement under which that person holds*, or after any rent becomes due according to the terms of such lease or agreement*; or</w:t>
      </w:r>
    </w:p>
    <w:p w14:paraId="2E4E43E4" w14:textId="77777777" w:rsidR="00CB3ABA" w:rsidRPr="008613E4" w:rsidRDefault="00CB3ABA" w:rsidP="00CB3ABA">
      <w:pPr>
        <w:ind w:left="720"/>
        <w:rPr>
          <w:rFonts w:ascii="Times New Roman" w:hAnsi="Times New Roman"/>
          <w:sz w:val="24"/>
        </w:rPr>
      </w:pPr>
      <w:r w:rsidRPr="008613E4">
        <w:rPr>
          <w:rFonts w:ascii="Times New Roman" w:hAnsi="Times New Roman"/>
          <w:sz w:val="24"/>
        </w:rPr>
        <w:lastRenderedPageBreak/>
        <w:t>(3) any tenant at will holds over after the termination of the tenancy by notice to quit*.</w:t>
      </w:r>
    </w:p>
    <w:p w14:paraId="1363BBD3" w14:textId="1B83C290" w:rsidR="00CB3ABA" w:rsidRPr="008613E4" w:rsidRDefault="00CB3ABA" w:rsidP="00CB3ABA">
      <w:pPr>
        <w:rPr>
          <w:rFonts w:ascii="Times New Roman" w:hAnsi="Times New Roman"/>
          <w:sz w:val="24"/>
        </w:rPr>
      </w:pPr>
      <w:r w:rsidRPr="008613E4">
        <w:rPr>
          <w:rFonts w:ascii="Times New Roman" w:hAnsi="Times New Roman"/>
          <w:sz w:val="24"/>
        </w:rPr>
        <w:t>and</w:t>
      </w:r>
    </w:p>
    <w:p w14:paraId="742951FC" w14:textId="77777777" w:rsidR="00CB3ABA" w:rsidRPr="008613E4" w:rsidRDefault="00CB3ABA" w:rsidP="00CB3ABA">
      <w:pPr>
        <w:ind w:left="720"/>
        <w:rPr>
          <w:rFonts w:ascii="Times New Roman" w:hAnsi="Times New Roman"/>
          <w:sz w:val="24"/>
        </w:rPr>
      </w:pPr>
      <w:r w:rsidRPr="008613E4">
        <w:rPr>
          <w:rFonts w:ascii="Times New Roman" w:hAnsi="Times New Roman"/>
          <w:b/>
          <w:bCs/>
          <w:sz w:val="24"/>
        </w:rPr>
        <w:t>504B.301 EVICTION ACTION FOR UNLAWFUL DETENTION.</w:t>
      </w:r>
    </w:p>
    <w:p w14:paraId="27D01E43" w14:textId="60A50A09" w:rsidR="00CB3ABA" w:rsidRPr="008613E4" w:rsidRDefault="00CB3ABA" w:rsidP="00CB3ABA">
      <w:pPr>
        <w:ind w:left="720"/>
        <w:rPr>
          <w:rFonts w:ascii="Times New Roman" w:hAnsi="Times New Roman"/>
          <w:sz w:val="24"/>
        </w:rPr>
      </w:pPr>
      <w:r w:rsidRPr="008613E4">
        <w:rPr>
          <w:rFonts w:ascii="Times New Roman" w:hAnsi="Times New Roman"/>
          <w:sz w:val="24"/>
        </w:rPr>
        <w:t xml:space="preserve">A person may be evicted if the person has unlawfully or forcibly occupied or taken possession of real property </w:t>
      </w:r>
      <w:r w:rsidRPr="008613E4">
        <w:rPr>
          <w:rFonts w:ascii="Times New Roman" w:hAnsi="Times New Roman"/>
          <w:sz w:val="24"/>
          <w:u w:val="single"/>
        </w:rPr>
        <w:t>or unlawfully detains or retains possession of real property</w:t>
      </w:r>
      <w:r w:rsidRPr="008613E4">
        <w:rPr>
          <w:rFonts w:ascii="Times New Roman" w:hAnsi="Times New Roman"/>
          <w:sz w:val="24"/>
        </w:rPr>
        <w:t>.</w:t>
      </w:r>
    </w:p>
    <w:p w14:paraId="1D7D556D" w14:textId="367EF7E0" w:rsidR="00CB3ABA" w:rsidRPr="008613E4" w:rsidRDefault="00CB3ABA" w:rsidP="00CB3ABA">
      <w:pPr>
        <w:rPr>
          <w:rFonts w:ascii="Times New Roman" w:hAnsi="Times New Roman"/>
          <w:sz w:val="24"/>
        </w:rPr>
      </w:pPr>
      <w:r w:rsidRPr="008613E4">
        <w:rPr>
          <w:rFonts w:ascii="Times New Roman" w:hAnsi="Times New Roman"/>
          <w:sz w:val="24"/>
        </w:rPr>
        <w:t>At first glance, the underlined clause in § 504B.301 seems to be a catchall that allows eviction of an occupant who lost his right to occupy the property in any manner. The problem with this interpretation is that it renders § 504B.285, subd. 1(a) superfluous. Minn. Stat. § 504B.285, subd. 1(a) lists eight specific bases to evict, which I’ve marked with asterisks above, so this interpretation cannot be right because no statute is superfluous.</w:t>
      </w:r>
      <w:r w:rsidRPr="008613E4">
        <w:rPr>
          <w:rFonts w:ascii="Times New Roman" w:hAnsi="Times New Roman"/>
          <w:sz w:val="24"/>
          <w:vertAlign w:val="superscript"/>
        </w:rPr>
        <w:footnoteReference w:customMarkFollows="1" w:id="3"/>
        <w:t>3</w:t>
      </w:r>
    </w:p>
    <w:p w14:paraId="6219FE88" w14:textId="3FF828D6" w:rsidR="00CB3ABA" w:rsidRPr="008613E4" w:rsidRDefault="00CB3ABA" w:rsidP="00CB3ABA">
      <w:pPr>
        <w:rPr>
          <w:rFonts w:ascii="Times New Roman" w:hAnsi="Times New Roman"/>
          <w:b/>
          <w:bCs/>
          <w:sz w:val="24"/>
          <w:u w:val="single"/>
        </w:rPr>
      </w:pPr>
      <w:r w:rsidRPr="008613E4">
        <w:rPr>
          <w:rFonts w:ascii="Times New Roman" w:hAnsi="Times New Roman"/>
          <w:b/>
          <w:bCs/>
          <w:sz w:val="24"/>
          <w:u w:val="single"/>
        </w:rPr>
        <w:t xml:space="preserve">CASE LAW MAKES CLEAR THAT MINN. STAT. § 504B.301 ONLY APPLIES TO OCCUPANTS WHO MOVED IN ILLEGALLY ON DAY ONE. </w:t>
      </w:r>
    </w:p>
    <w:p w14:paraId="2228EDE6" w14:textId="2E437921" w:rsidR="00CB3ABA" w:rsidRPr="008613E4" w:rsidRDefault="00CB3ABA" w:rsidP="00CB3ABA">
      <w:pPr>
        <w:ind w:left="720"/>
        <w:rPr>
          <w:rFonts w:ascii="Times New Roman" w:hAnsi="Times New Roman"/>
          <w:sz w:val="24"/>
          <w:u w:val="single"/>
        </w:rPr>
      </w:pPr>
      <w:r w:rsidRPr="008613E4">
        <w:rPr>
          <w:rFonts w:ascii="Times New Roman" w:hAnsi="Times New Roman"/>
          <w:sz w:val="24"/>
          <w:u w:val="single"/>
        </w:rPr>
        <w:t>Case law from 1853 thru 1932</w:t>
      </w:r>
    </w:p>
    <w:p w14:paraId="5BEC47B1" w14:textId="6D8AA33A" w:rsidR="00CB3ABA" w:rsidRPr="008613E4" w:rsidRDefault="00CB3ABA" w:rsidP="00CB3ABA">
      <w:pPr>
        <w:rPr>
          <w:rFonts w:ascii="Times New Roman" w:hAnsi="Times New Roman"/>
          <w:sz w:val="24"/>
        </w:rPr>
      </w:pPr>
      <w:r w:rsidRPr="008613E4">
        <w:rPr>
          <w:rFonts w:ascii="Times New Roman" w:hAnsi="Times New Roman"/>
          <w:sz w:val="24"/>
        </w:rPr>
        <w:t>What is the solution to this conundrum? The answer is that the “first glance” interpretation of section 504B.301 is wrong. To fully understand what sort of bad acts § 504B.301 really covers, one must start at the literal beginning – the original versions of these statutes.</w:t>
      </w:r>
    </w:p>
    <w:p w14:paraId="68C23C66" w14:textId="45B34FA0" w:rsidR="00CB3ABA" w:rsidRPr="008613E4" w:rsidRDefault="009A0876" w:rsidP="00CB3ABA">
      <w:pPr>
        <w:rPr>
          <w:rFonts w:ascii="Times New Roman" w:hAnsi="Times New Roman"/>
          <w:sz w:val="24"/>
        </w:rPr>
      </w:pPr>
      <w:hyperlink r:id="rId6" w:history="1">
        <w:r w:rsidRPr="009A0876">
          <w:rPr>
            <w:rStyle w:val="Hyperlink"/>
            <w:rFonts w:ascii="Times New Roman" w:hAnsi="Times New Roman"/>
            <w:sz w:val="24"/>
          </w:rPr>
          <w:t>Appendix 1a</w:t>
        </w:r>
      </w:hyperlink>
      <w:r>
        <w:rPr>
          <w:rFonts w:ascii="Times New Roman" w:hAnsi="Times New Roman"/>
          <w:sz w:val="24"/>
        </w:rPr>
        <w:t xml:space="preserve"> i</w:t>
      </w:r>
      <w:r w:rsidR="00CB3ABA" w:rsidRPr="008613E4">
        <w:rPr>
          <w:rFonts w:ascii="Times New Roman" w:hAnsi="Times New Roman"/>
          <w:sz w:val="24"/>
        </w:rPr>
        <w:t>ncludes the language in every version of these statutes since the beginning of statehood. The appendix shows that with a few exceptions the original language of these statutes is reflected in the current statutes. These exceptions include:</w:t>
      </w:r>
    </w:p>
    <w:p w14:paraId="119E9B0C" w14:textId="23A91498" w:rsidR="00CB3ABA" w:rsidRPr="008613E4" w:rsidRDefault="00CB3ABA" w:rsidP="00CB3ABA">
      <w:pPr>
        <w:ind w:left="720"/>
        <w:rPr>
          <w:rFonts w:ascii="Times New Roman" w:hAnsi="Times New Roman"/>
          <w:sz w:val="24"/>
        </w:rPr>
      </w:pPr>
      <w:r w:rsidRPr="008613E4">
        <w:rPr>
          <w:rFonts w:ascii="Times New Roman" w:hAnsi="Times New Roman"/>
          <w:sz w:val="24"/>
        </w:rPr>
        <w:t>[i] Under the 1858 statutes, unlawful detainer actions were heard by a justice of the peace. They are now heard in district court.</w:t>
      </w:r>
    </w:p>
    <w:p w14:paraId="2CF08EFF" w14:textId="2887BF98" w:rsidR="00CB3ABA" w:rsidRPr="008613E4" w:rsidRDefault="00CB3ABA" w:rsidP="00CB3ABA">
      <w:pPr>
        <w:ind w:left="720"/>
        <w:rPr>
          <w:rFonts w:ascii="Times New Roman" w:hAnsi="Times New Roman"/>
          <w:sz w:val="24"/>
        </w:rPr>
      </w:pPr>
      <w:r w:rsidRPr="008613E4">
        <w:rPr>
          <w:rFonts w:ascii="Times New Roman" w:hAnsi="Times New Roman"/>
          <w:sz w:val="24"/>
        </w:rPr>
        <w:t>[ii] Until a 1971 amendment, what is now section 504B.301 included a fine as well as ouster as a punishment.</w:t>
      </w:r>
    </w:p>
    <w:p w14:paraId="63573849" w14:textId="7ACE02C8" w:rsidR="00CB3ABA" w:rsidRPr="008613E4" w:rsidRDefault="00CB3ABA" w:rsidP="00CB3ABA">
      <w:pPr>
        <w:ind w:left="720"/>
        <w:rPr>
          <w:rFonts w:ascii="Times New Roman" w:hAnsi="Times New Roman"/>
          <w:sz w:val="24"/>
        </w:rPr>
      </w:pPr>
      <w:r w:rsidRPr="008613E4">
        <w:rPr>
          <w:rFonts w:ascii="Times New Roman" w:hAnsi="Times New Roman"/>
          <w:sz w:val="24"/>
        </w:rPr>
        <w:t>[iii] A 1917 amendment added holding over past a cancellation of a contract for deed to what is now section 504B.285, subd. 1(a).</w:t>
      </w:r>
    </w:p>
    <w:p w14:paraId="29905270" w14:textId="7AB8352C" w:rsidR="00CB3ABA" w:rsidRPr="008613E4" w:rsidRDefault="00CB3ABA" w:rsidP="00CB3ABA">
      <w:pPr>
        <w:ind w:left="720"/>
        <w:rPr>
          <w:rFonts w:ascii="Times New Roman" w:hAnsi="Times New Roman"/>
          <w:sz w:val="24"/>
        </w:rPr>
      </w:pPr>
      <w:r w:rsidRPr="008613E4">
        <w:rPr>
          <w:rFonts w:ascii="Times New Roman" w:hAnsi="Times New Roman"/>
          <w:sz w:val="24"/>
        </w:rPr>
        <w:t>[iv] A 1989 amendment added a second sentence to section 504B.301. This amendment is discussed on page</w:t>
      </w:r>
      <w:r w:rsidR="00C639D5">
        <w:rPr>
          <w:rFonts w:ascii="Times New Roman" w:hAnsi="Times New Roman"/>
          <w:sz w:val="24"/>
        </w:rPr>
        <w:t>s</w:t>
      </w:r>
      <w:r w:rsidR="00BE77AC">
        <w:rPr>
          <w:rFonts w:ascii="Times New Roman" w:hAnsi="Times New Roman"/>
          <w:sz w:val="24"/>
        </w:rPr>
        <w:t xml:space="preserve"> 5-7</w:t>
      </w:r>
      <w:r w:rsidRPr="008613E4">
        <w:rPr>
          <w:rFonts w:ascii="Times New Roman" w:hAnsi="Times New Roman"/>
          <w:color w:val="FF0000"/>
          <w:sz w:val="24"/>
        </w:rPr>
        <w:t>.</w:t>
      </w:r>
    </w:p>
    <w:p w14:paraId="3330BDBD" w14:textId="5A18C795" w:rsidR="00CB3ABA" w:rsidRPr="008613E4" w:rsidRDefault="00CB3ABA" w:rsidP="00CB3ABA">
      <w:pPr>
        <w:ind w:left="720"/>
        <w:rPr>
          <w:rFonts w:ascii="Times New Roman" w:hAnsi="Times New Roman"/>
          <w:sz w:val="24"/>
        </w:rPr>
      </w:pPr>
      <w:r w:rsidRPr="008613E4">
        <w:rPr>
          <w:rFonts w:ascii="Times New Roman" w:hAnsi="Times New Roman"/>
          <w:sz w:val="24"/>
        </w:rPr>
        <w:t>[v] A 2017 amendment added holding over past expiration of the time for redemption on a real estate tax judgment sale to what is now section 504B.285, subd. 1(a).</w:t>
      </w:r>
    </w:p>
    <w:p w14:paraId="45985F1A" w14:textId="03AD9452" w:rsidR="00CB3ABA" w:rsidRPr="008613E4" w:rsidRDefault="00CB3ABA" w:rsidP="00CB3ABA">
      <w:pPr>
        <w:ind w:left="720"/>
        <w:rPr>
          <w:rFonts w:ascii="Times New Roman" w:hAnsi="Times New Roman"/>
          <w:sz w:val="24"/>
        </w:rPr>
      </w:pPr>
      <w:r w:rsidRPr="008613E4">
        <w:rPr>
          <w:rFonts w:ascii="Times New Roman" w:hAnsi="Times New Roman"/>
          <w:sz w:val="24"/>
        </w:rPr>
        <w:t>[vi] A 2023 amendment removed the sentence added in 1989.</w:t>
      </w:r>
    </w:p>
    <w:p w14:paraId="01854CC7" w14:textId="77777777" w:rsidR="00CB3ABA" w:rsidRPr="008613E4" w:rsidRDefault="00CB3ABA" w:rsidP="00CB3ABA">
      <w:pPr>
        <w:rPr>
          <w:rFonts w:ascii="Times New Roman" w:hAnsi="Times New Roman"/>
          <w:sz w:val="24"/>
        </w:rPr>
      </w:pPr>
      <w:r w:rsidRPr="008613E4">
        <w:rPr>
          <w:rFonts w:ascii="Times New Roman" w:hAnsi="Times New Roman"/>
          <w:sz w:val="24"/>
        </w:rPr>
        <w:lastRenderedPageBreak/>
        <w:t>To put it charitably, the original, 1858, version of section 504B.301 was wordy but the comparable language in the 1858 statute was:</w:t>
      </w:r>
    </w:p>
    <w:p w14:paraId="55777707" w14:textId="60992E1D" w:rsidR="00CB3ABA" w:rsidRPr="008613E4" w:rsidRDefault="00CB3ABA" w:rsidP="00701AA5">
      <w:pPr>
        <w:ind w:left="720"/>
        <w:rPr>
          <w:rFonts w:ascii="Times New Roman" w:hAnsi="Times New Roman"/>
          <w:sz w:val="24"/>
        </w:rPr>
      </w:pPr>
      <w:r w:rsidRPr="008613E4">
        <w:rPr>
          <w:rFonts w:ascii="Times New Roman" w:hAnsi="Times New Roman"/>
          <w:b/>
          <w:bCs/>
          <w:sz w:val="24"/>
        </w:rPr>
        <w:t>Minn. Pub. Stat. 1858, Chapter 77, Section 2</w:t>
      </w:r>
      <w:r w:rsidRPr="008613E4">
        <w:rPr>
          <w:rFonts w:ascii="Times New Roman" w:hAnsi="Times New Roman"/>
          <w:sz w:val="24"/>
        </w:rPr>
        <w:t>: …  [I]f …[i] an unlawful or forcible entry hath been made, and said lands, tenements or other possessions are unlawfully detained by force and strong hand, or [ii] that the same, after a lawful entry, are so held or detained unlawfully, then such justice shall cause the party complaining to have restitution thereof.</w:t>
      </w:r>
    </w:p>
    <w:p w14:paraId="1594A28B" w14:textId="06C14459" w:rsidR="00CB3ABA" w:rsidRPr="008613E4" w:rsidRDefault="00CB3ABA" w:rsidP="00CB3ABA">
      <w:pPr>
        <w:rPr>
          <w:rFonts w:ascii="Times New Roman" w:hAnsi="Times New Roman"/>
          <w:sz w:val="24"/>
        </w:rPr>
      </w:pPr>
      <w:r w:rsidRPr="008613E4">
        <w:rPr>
          <w:rFonts w:ascii="Times New Roman" w:hAnsi="Times New Roman"/>
          <w:sz w:val="24"/>
        </w:rPr>
        <w:t>The current language is:</w:t>
      </w:r>
    </w:p>
    <w:p w14:paraId="7EC81BD2" w14:textId="3F67C227" w:rsidR="00CB3ABA" w:rsidRPr="008613E4" w:rsidRDefault="00CB3ABA" w:rsidP="00841ECE">
      <w:pPr>
        <w:ind w:left="720"/>
        <w:rPr>
          <w:rFonts w:ascii="Times New Roman" w:hAnsi="Times New Roman"/>
          <w:sz w:val="24"/>
        </w:rPr>
      </w:pPr>
      <w:r w:rsidRPr="008613E4">
        <w:rPr>
          <w:rFonts w:ascii="Times New Roman" w:hAnsi="Times New Roman"/>
          <w:b/>
          <w:bCs/>
          <w:sz w:val="24"/>
        </w:rPr>
        <w:t>Minn. Stat. § 504B.301 (2020</w:t>
      </w:r>
      <w:r w:rsidRPr="008613E4">
        <w:rPr>
          <w:rFonts w:ascii="Times New Roman" w:hAnsi="Times New Roman"/>
          <w:sz w:val="24"/>
        </w:rPr>
        <w:t>) A person may be evicted if the person has [i] unlawfully or forcibly occupied or taken possession of real property or [ii] unlawfully detains or retains possession of real property.</w:t>
      </w:r>
    </w:p>
    <w:p w14:paraId="7E324BE5" w14:textId="0A903860" w:rsidR="00CB3ABA" w:rsidRPr="008613E4" w:rsidRDefault="00CB3ABA" w:rsidP="00CB3ABA">
      <w:pPr>
        <w:rPr>
          <w:rFonts w:ascii="Times New Roman" w:hAnsi="Times New Roman"/>
          <w:sz w:val="24"/>
        </w:rPr>
      </w:pPr>
      <w:r w:rsidRPr="008613E4">
        <w:rPr>
          <w:rFonts w:ascii="Times New Roman" w:hAnsi="Times New Roman"/>
          <w:sz w:val="24"/>
        </w:rPr>
        <w:t>Both versions allow eviction (“restitution thereof”) if [i] the defendant used force to enter unlawfully or [ii] didn’t use force but detained the property unlawfully. Thus, the meaning of the 1858 statute as construed by the courts tells us the meaning of the current statute.</w:t>
      </w:r>
    </w:p>
    <w:p w14:paraId="2A68444F" w14:textId="4510FC37" w:rsidR="00CB3ABA" w:rsidRPr="008613E4" w:rsidRDefault="00CB3ABA" w:rsidP="00CB3ABA">
      <w:pPr>
        <w:rPr>
          <w:rFonts w:ascii="Times New Roman" w:hAnsi="Times New Roman"/>
          <w:sz w:val="24"/>
        </w:rPr>
      </w:pPr>
      <w:r w:rsidRPr="008613E4">
        <w:rPr>
          <w:rFonts w:ascii="Times New Roman" w:hAnsi="Times New Roman"/>
          <w:sz w:val="24"/>
        </w:rPr>
        <w:t xml:space="preserve">The 1858 statute was not actually drafted by the Minnesota legislature. The entire 1858 eviction-action chapter, </w:t>
      </w:r>
      <w:hyperlink r:id="rId7" w:history="1">
        <w:r w:rsidRPr="008613E4">
          <w:rPr>
            <w:rStyle w:val="Hyperlink"/>
            <w:rFonts w:ascii="Times New Roman" w:hAnsi="Times New Roman"/>
            <w:sz w:val="24"/>
          </w:rPr>
          <w:t>Minn. Pub. Stat. 1858, Chapter 77</w:t>
        </w:r>
      </w:hyperlink>
      <w:r w:rsidRPr="008613E4">
        <w:rPr>
          <w:rFonts w:ascii="Times New Roman" w:hAnsi="Times New Roman"/>
          <w:sz w:val="24"/>
        </w:rPr>
        <w:t xml:space="preserve">, was copied word-for-word from </w:t>
      </w:r>
      <w:hyperlink r:id="rId8" w:history="1">
        <w:r w:rsidRPr="008613E4">
          <w:rPr>
            <w:rStyle w:val="Hyperlink"/>
            <w:rFonts w:ascii="Times New Roman" w:hAnsi="Times New Roman"/>
            <w:sz w:val="24"/>
          </w:rPr>
          <w:t>Wisconsin Revi</w:t>
        </w:r>
        <w:bookmarkStart w:id="0" w:name="_Hlt48926493"/>
        <w:bookmarkEnd w:id="0"/>
        <w:r w:rsidRPr="008613E4">
          <w:rPr>
            <w:rStyle w:val="Hyperlink"/>
            <w:rFonts w:ascii="Times New Roman" w:hAnsi="Times New Roman"/>
            <w:sz w:val="24"/>
          </w:rPr>
          <w:t>sed Statutes 1849, Chap</w:t>
        </w:r>
        <w:bookmarkStart w:id="1" w:name="_Hlt48927802"/>
        <w:bookmarkEnd w:id="1"/>
        <w:r w:rsidRPr="008613E4">
          <w:rPr>
            <w:rStyle w:val="Hyperlink"/>
            <w:rFonts w:ascii="Times New Roman" w:hAnsi="Times New Roman"/>
            <w:sz w:val="24"/>
          </w:rPr>
          <w:t>ter 117</w:t>
        </w:r>
      </w:hyperlink>
      <w:r w:rsidRPr="008613E4">
        <w:rPr>
          <w:rFonts w:ascii="Times New Roman" w:hAnsi="Times New Roman"/>
          <w:sz w:val="24"/>
        </w:rPr>
        <w:t xml:space="preserve">. Thus, the construction of its statute made by the Wisconsin supreme court in two 1853 cases – </w:t>
      </w:r>
      <w:hyperlink r:id="rId9" w:history="1">
        <w:r w:rsidRPr="008613E4">
          <w:rPr>
            <w:rStyle w:val="Hyperlink"/>
            <w:rFonts w:ascii="Times New Roman" w:hAnsi="Times New Roman"/>
            <w:i/>
            <w:iCs/>
            <w:sz w:val="24"/>
          </w:rPr>
          <w:t>Gate</w:t>
        </w:r>
        <w:bookmarkStart w:id="2" w:name="_Hlt49069105"/>
        <w:bookmarkEnd w:id="2"/>
        <w:r w:rsidRPr="008613E4">
          <w:rPr>
            <w:rStyle w:val="Hyperlink"/>
            <w:rFonts w:ascii="Times New Roman" w:hAnsi="Times New Roman"/>
            <w:i/>
            <w:iCs/>
            <w:sz w:val="24"/>
          </w:rPr>
          <w:t xml:space="preserve">s v. </w:t>
        </w:r>
        <w:bookmarkStart w:id="3" w:name="_Hlt49067716"/>
        <w:bookmarkEnd w:id="3"/>
        <w:r w:rsidRPr="008613E4">
          <w:rPr>
            <w:rStyle w:val="Hyperlink"/>
            <w:rFonts w:ascii="Times New Roman" w:hAnsi="Times New Roman"/>
            <w:i/>
            <w:iCs/>
            <w:sz w:val="24"/>
          </w:rPr>
          <w:t>Winslow</w:t>
        </w:r>
        <w:r w:rsidRPr="008613E4">
          <w:rPr>
            <w:rStyle w:val="Hyperlink"/>
            <w:rFonts w:ascii="Times New Roman" w:hAnsi="Times New Roman"/>
            <w:sz w:val="24"/>
          </w:rPr>
          <w:t>, 1 Wisc. 650 (Smith 555) (1853)</w:t>
        </w:r>
      </w:hyperlink>
      <w:r w:rsidRPr="008613E4">
        <w:rPr>
          <w:rFonts w:ascii="Times New Roman" w:hAnsi="Times New Roman"/>
          <w:sz w:val="24"/>
          <w:u w:val="single"/>
        </w:rPr>
        <w:t xml:space="preserve"> and </w:t>
      </w:r>
      <w:hyperlink r:id="rId10" w:history="1">
        <w:r w:rsidRPr="008613E4">
          <w:rPr>
            <w:rStyle w:val="Hyperlink"/>
            <w:rFonts w:ascii="Times New Roman" w:hAnsi="Times New Roman"/>
            <w:i/>
            <w:iCs/>
            <w:sz w:val="24"/>
          </w:rPr>
          <w:t>F</w:t>
        </w:r>
        <w:bookmarkStart w:id="4" w:name="_Hlt49067540"/>
        <w:bookmarkEnd w:id="4"/>
        <w:r w:rsidRPr="008613E4">
          <w:rPr>
            <w:rStyle w:val="Hyperlink"/>
            <w:rFonts w:ascii="Times New Roman" w:hAnsi="Times New Roman"/>
            <w:i/>
            <w:iCs/>
            <w:sz w:val="24"/>
          </w:rPr>
          <w:t>er</w:t>
        </w:r>
        <w:bookmarkStart w:id="5" w:name="_Hlt49067701"/>
        <w:bookmarkEnd w:id="5"/>
        <w:r w:rsidRPr="008613E4">
          <w:rPr>
            <w:rStyle w:val="Hyperlink"/>
            <w:rFonts w:ascii="Times New Roman" w:hAnsi="Times New Roman"/>
            <w:i/>
            <w:iCs/>
            <w:sz w:val="24"/>
          </w:rPr>
          <w:t>rell v. Lamar</w:t>
        </w:r>
        <w:r w:rsidRPr="008613E4">
          <w:rPr>
            <w:rStyle w:val="Hyperlink"/>
            <w:rFonts w:ascii="Times New Roman" w:hAnsi="Times New Roman"/>
            <w:sz w:val="24"/>
          </w:rPr>
          <w:t>, 1 Wisc. 8 (1853)</w:t>
        </w:r>
      </w:hyperlink>
      <w:r w:rsidR="00EA2EAA">
        <w:rPr>
          <w:rFonts w:ascii="Times New Roman" w:hAnsi="Times New Roman"/>
          <w:sz w:val="24"/>
        </w:rPr>
        <w:t xml:space="preserve"> -- a</w:t>
      </w:r>
      <w:r w:rsidRPr="008613E4">
        <w:rPr>
          <w:rFonts w:ascii="Times New Roman" w:hAnsi="Times New Roman"/>
          <w:sz w:val="24"/>
        </w:rPr>
        <w:t>pplies to Minnesota’s identical statute enacted in 1858.</w:t>
      </w:r>
      <w:r w:rsidRPr="008613E4">
        <w:rPr>
          <w:rFonts w:ascii="Times New Roman" w:hAnsi="Times New Roman"/>
          <w:sz w:val="24"/>
          <w:vertAlign w:val="superscript"/>
        </w:rPr>
        <w:footnoteReference w:customMarkFollows="1" w:id="4"/>
        <w:t>4</w:t>
      </w:r>
    </w:p>
    <w:p w14:paraId="1C8A937E" w14:textId="04EAB477" w:rsidR="00CB3ABA" w:rsidRPr="008613E4" w:rsidRDefault="00CB3ABA" w:rsidP="00CB3ABA">
      <w:pPr>
        <w:rPr>
          <w:rFonts w:ascii="Times New Roman" w:hAnsi="Times New Roman"/>
          <w:i/>
          <w:iCs/>
          <w:sz w:val="24"/>
          <w:u w:val="single"/>
        </w:rPr>
      </w:pPr>
      <w:r w:rsidRPr="008613E4">
        <w:rPr>
          <w:rFonts w:ascii="Times New Roman" w:hAnsi="Times New Roman"/>
          <w:sz w:val="24"/>
        </w:rPr>
        <w:t xml:space="preserve">The reason the Wisconsin statutes, and thus the Minnesota statutes, included the pair of statutes at issue – one that seems like a catchall statute and one that provides specific bases to evict – is that the two statutes had two very different purposes. As a leading 19th century treatise explained, Section 2 (now section 504B.301) was directed at criminal behavior while section 12 (now 504B.285, subd. 1(a)) was directed at non-criminal, civil-law issues. </w:t>
      </w:r>
      <w:r w:rsidRPr="008613E4">
        <w:rPr>
          <w:rFonts w:ascii="Times New Roman" w:hAnsi="Times New Roman"/>
          <w:sz w:val="24"/>
          <w:vertAlign w:val="superscript"/>
        </w:rPr>
        <w:footnoteReference w:customMarkFollows="1" w:id="5"/>
        <w:t>5</w:t>
      </w:r>
      <w:r w:rsidRPr="008613E4">
        <w:rPr>
          <w:rFonts w:ascii="Times New Roman" w:hAnsi="Times New Roman"/>
          <w:sz w:val="24"/>
        </w:rPr>
        <w:t xml:space="preserve"> Section 2 of the </w:t>
      </w:r>
      <w:r w:rsidRPr="008613E4">
        <w:rPr>
          <w:rFonts w:ascii="Times New Roman" w:hAnsi="Times New Roman"/>
          <w:sz w:val="24"/>
        </w:rPr>
        <w:lastRenderedPageBreak/>
        <w:t>Wisconsin statute (now Minn. Stat. § 504B.301) and statutes like it “exclude recovery by landlords for merely unlawful detainer after</w:t>
      </w:r>
      <w:r w:rsidRPr="008613E4">
        <w:rPr>
          <w:rFonts w:ascii="Times New Roman" w:hAnsi="Times New Roman"/>
          <w:sz w:val="24"/>
          <w:u w:val="single"/>
        </w:rPr>
        <w:t xml:space="preserve"> </w:t>
      </w:r>
      <w:r w:rsidRPr="008613E4">
        <w:rPr>
          <w:rFonts w:ascii="Times New Roman" w:hAnsi="Times New Roman"/>
          <w:sz w:val="24"/>
        </w:rPr>
        <w:t>peaceable entry, and … allow process only where actual force has been used by the lessee”;</w:t>
      </w:r>
      <w:r w:rsidRPr="008613E4">
        <w:rPr>
          <w:rFonts w:ascii="Times New Roman" w:hAnsi="Times New Roman"/>
          <w:sz w:val="24"/>
          <w:vertAlign w:val="superscript"/>
        </w:rPr>
        <w:footnoteReference w:customMarkFollows="1" w:id="6"/>
        <w:t>6</w:t>
      </w:r>
      <w:r w:rsidRPr="008613E4">
        <w:rPr>
          <w:rFonts w:ascii="Times New Roman" w:hAnsi="Times New Roman"/>
          <w:sz w:val="24"/>
        </w:rPr>
        <w:t xml:space="preserve"> </w:t>
      </w:r>
      <w:hyperlink r:id="rId11" w:history="1">
        <w:r w:rsidRPr="008613E4">
          <w:rPr>
            <w:rStyle w:val="Hyperlink"/>
            <w:rFonts w:ascii="Times New Roman" w:hAnsi="Times New Roman"/>
            <w:i/>
            <w:iCs/>
            <w:sz w:val="24"/>
          </w:rPr>
          <w:t>Gates v. Winslow, supra</w:t>
        </w:r>
      </w:hyperlink>
      <w:r w:rsidR="00AB4D04">
        <w:rPr>
          <w:rFonts w:ascii="Times New Roman" w:hAnsi="Times New Roman"/>
          <w:sz w:val="24"/>
        </w:rPr>
        <w:t xml:space="preserve">  and</w:t>
      </w:r>
      <w:r w:rsidRPr="008613E4">
        <w:rPr>
          <w:rFonts w:ascii="Times New Roman" w:hAnsi="Times New Roman"/>
          <w:i/>
          <w:iCs/>
          <w:sz w:val="24"/>
          <w:u w:val="single"/>
        </w:rPr>
        <w:t xml:space="preserve"> </w:t>
      </w:r>
      <w:hyperlink r:id="rId12" w:history="1">
        <w:r w:rsidRPr="008613E4">
          <w:rPr>
            <w:rStyle w:val="Hyperlink"/>
            <w:rFonts w:ascii="Times New Roman" w:hAnsi="Times New Roman"/>
            <w:i/>
            <w:iCs/>
            <w:sz w:val="24"/>
          </w:rPr>
          <w:t>Ferrell v. Lamar, supra</w:t>
        </w:r>
      </w:hyperlink>
      <w:r w:rsidR="00A242D3">
        <w:t>.</w:t>
      </w:r>
      <w:r w:rsidRPr="008613E4">
        <w:rPr>
          <w:rFonts w:ascii="Times New Roman" w:hAnsi="Times New Roman"/>
          <w:i/>
          <w:iCs/>
          <w:sz w:val="24"/>
          <w:u w:val="single"/>
        </w:rPr>
        <w:t xml:space="preserve"> </w:t>
      </w:r>
    </w:p>
    <w:p w14:paraId="0BC8207E" w14:textId="458175CE" w:rsidR="00CB3ABA" w:rsidRPr="008613E4" w:rsidRDefault="00CB3ABA" w:rsidP="00CB3ABA">
      <w:pPr>
        <w:rPr>
          <w:rFonts w:ascii="Times New Roman" w:hAnsi="Times New Roman"/>
          <w:sz w:val="24"/>
        </w:rPr>
      </w:pPr>
      <w:r w:rsidRPr="008613E4">
        <w:rPr>
          <w:rFonts w:ascii="Times New Roman" w:hAnsi="Times New Roman"/>
          <w:sz w:val="24"/>
        </w:rPr>
        <w:t xml:space="preserve">The Wisconsin Supreme Court did take an expansive view of “actual force” to include other criminal behavior. In </w:t>
      </w:r>
      <w:hyperlink r:id="rId13" w:history="1">
        <w:r w:rsidRPr="00A242D3">
          <w:rPr>
            <w:rStyle w:val="Hyperlink"/>
            <w:rFonts w:ascii="Times New Roman" w:hAnsi="Times New Roman"/>
            <w:i/>
            <w:iCs/>
            <w:sz w:val="24"/>
          </w:rPr>
          <w:t>Winte</w:t>
        </w:r>
        <w:bookmarkStart w:id="16" w:name="_Hlt48728468"/>
        <w:bookmarkEnd w:id="16"/>
        <w:r w:rsidRPr="00A242D3">
          <w:rPr>
            <w:rStyle w:val="Hyperlink"/>
            <w:rFonts w:ascii="Times New Roman" w:hAnsi="Times New Roman"/>
            <w:i/>
            <w:iCs/>
            <w:sz w:val="24"/>
          </w:rPr>
          <w:t>rfield v. Sta</w:t>
        </w:r>
        <w:bookmarkStart w:id="17" w:name="_Hlt49069188"/>
        <w:bookmarkEnd w:id="17"/>
        <w:r w:rsidRPr="00A242D3">
          <w:rPr>
            <w:rStyle w:val="Hyperlink"/>
            <w:rFonts w:ascii="Times New Roman" w:hAnsi="Times New Roman"/>
            <w:i/>
            <w:iCs/>
            <w:sz w:val="24"/>
          </w:rPr>
          <w:t>uss</w:t>
        </w:r>
        <w:r w:rsidRPr="008613E4">
          <w:rPr>
            <w:rStyle w:val="Hyperlink"/>
            <w:rFonts w:ascii="Times New Roman" w:hAnsi="Times New Roman"/>
            <w:sz w:val="24"/>
          </w:rPr>
          <w:t>, 24 Wis. 394 (1869)</w:t>
        </w:r>
      </w:hyperlink>
      <w:r w:rsidRPr="008613E4">
        <w:rPr>
          <w:rFonts w:ascii="Times New Roman" w:hAnsi="Times New Roman"/>
          <w:sz w:val="24"/>
          <w:u w:val="single"/>
        </w:rPr>
        <w:t xml:space="preserve"> </w:t>
      </w:r>
      <w:r w:rsidRPr="008613E4">
        <w:rPr>
          <w:rFonts w:ascii="Times New Roman" w:hAnsi="Times New Roman"/>
          <w:sz w:val="24"/>
        </w:rPr>
        <w:t>it held that entry by “stealth or stratagem” brought the entry within the statute even if the entry was not actually forcible.</w:t>
      </w:r>
    </w:p>
    <w:p w14:paraId="179335DA" w14:textId="6609A97D" w:rsidR="00CB3ABA" w:rsidRPr="008613E4" w:rsidRDefault="00CB3ABA" w:rsidP="00CB3ABA">
      <w:pPr>
        <w:rPr>
          <w:rFonts w:ascii="Times New Roman" w:hAnsi="Times New Roman"/>
          <w:sz w:val="24"/>
        </w:rPr>
      </w:pPr>
      <w:r w:rsidRPr="008613E4">
        <w:rPr>
          <w:rFonts w:ascii="Times New Roman" w:hAnsi="Times New Roman"/>
          <w:sz w:val="24"/>
        </w:rPr>
        <w:t xml:space="preserve">Minnesota’s courts followed the Wisconsin courts. In both </w:t>
      </w:r>
      <w:hyperlink r:id="rId14" w:history="1">
        <w:r w:rsidRPr="008613E4">
          <w:rPr>
            <w:rStyle w:val="Hyperlink"/>
            <w:rFonts w:ascii="Times New Roman" w:hAnsi="Times New Roman"/>
            <w:i/>
            <w:iCs/>
            <w:sz w:val="24"/>
          </w:rPr>
          <w:t>Davis</w:t>
        </w:r>
        <w:bookmarkStart w:id="18" w:name="_Hlt49069404"/>
        <w:bookmarkEnd w:id="18"/>
        <w:r w:rsidRPr="008613E4">
          <w:rPr>
            <w:rStyle w:val="Hyperlink"/>
            <w:rFonts w:ascii="Times New Roman" w:hAnsi="Times New Roman"/>
            <w:i/>
            <w:iCs/>
            <w:sz w:val="24"/>
          </w:rPr>
          <w:t xml:space="preserve"> v. Woodward</w:t>
        </w:r>
        <w:r w:rsidRPr="008613E4">
          <w:rPr>
            <w:rStyle w:val="Hyperlink"/>
            <w:rFonts w:ascii="Times New Roman" w:hAnsi="Times New Roman"/>
            <w:sz w:val="24"/>
          </w:rPr>
          <w:t>, 19 Minn. 174 (1872)</w:t>
        </w:r>
      </w:hyperlink>
      <w:r w:rsidRPr="008613E4">
        <w:rPr>
          <w:rFonts w:ascii="Times New Roman" w:hAnsi="Times New Roman"/>
          <w:sz w:val="24"/>
        </w:rPr>
        <w:t xml:space="preserve"> and </w:t>
      </w:r>
      <w:hyperlink r:id="rId15" w:history="1">
        <w:r w:rsidRPr="008613E4">
          <w:rPr>
            <w:rStyle w:val="Hyperlink"/>
            <w:rFonts w:ascii="Times New Roman" w:hAnsi="Times New Roman"/>
            <w:i/>
            <w:iCs/>
            <w:sz w:val="24"/>
          </w:rPr>
          <w:t>Mastin</w:t>
        </w:r>
        <w:bookmarkStart w:id="19" w:name="_Hlt49069423"/>
        <w:bookmarkEnd w:id="19"/>
        <w:r w:rsidRPr="008613E4">
          <w:rPr>
            <w:rStyle w:val="Hyperlink"/>
            <w:rFonts w:ascii="Times New Roman" w:hAnsi="Times New Roman"/>
            <w:i/>
            <w:iCs/>
            <w:sz w:val="24"/>
          </w:rPr>
          <w:t xml:space="preserve"> v. May</w:t>
        </w:r>
        <w:r w:rsidRPr="008613E4">
          <w:rPr>
            <w:rStyle w:val="Hyperlink"/>
            <w:rFonts w:ascii="Times New Roman" w:hAnsi="Times New Roman"/>
            <w:sz w:val="24"/>
          </w:rPr>
          <w:t>, 127 Minn. 93, 148 N.W. 893 (1914)</w:t>
        </w:r>
      </w:hyperlink>
      <w:r w:rsidRPr="008613E4">
        <w:rPr>
          <w:rFonts w:ascii="Times New Roman" w:hAnsi="Times New Roman"/>
          <w:sz w:val="24"/>
        </w:rPr>
        <w:t xml:space="preserve"> the Minnesota Supreme Court construed the statute even more strictly than in the Wisconsin cases, holding that it only covered situations where the occupant used force both to enter and to detain the property. Subsequently, based on the legislature adding “and forcibly” to “unlawfully” in 1905 and then removing “and forcibly” in 1917 (thereby returning the statute to its original form)</w:t>
      </w:r>
      <w:r w:rsidRPr="008613E4">
        <w:rPr>
          <w:rFonts w:ascii="Times New Roman" w:hAnsi="Times New Roman"/>
          <w:sz w:val="24"/>
          <w:vertAlign w:val="superscript"/>
        </w:rPr>
        <w:footnoteReference w:customMarkFollows="1" w:id="7"/>
        <w:t>7</w:t>
      </w:r>
      <w:r w:rsidRPr="008613E4">
        <w:rPr>
          <w:rFonts w:ascii="Times New Roman" w:hAnsi="Times New Roman"/>
          <w:sz w:val="24"/>
        </w:rPr>
        <w:t xml:space="preserve">, in </w:t>
      </w:r>
      <w:hyperlink r:id="rId16" w:history="1">
        <w:r w:rsidRPr="008613E4">
          <w:rPr>
            <w:rStyle w:val="Hyperlink"/>
            <w:rFonts w:ascii="Times New Roman" w:hAnsi="Times New Roman"/>
            <w:i/>
            <w:iCs/>
            <w:sz w:val="24"/>
          </w:rPr>
          <w:t xml:space="preserve">Mutual Trust Life Ins. </w:t>
        </w:r>
        <w:bookmarkStart w:id="20" w:name="_Hlt48808984"/>
        <w:bookmarkEnd w:id="20"/>
        <w:r w:rsidRPr="008613E4">
          <w:rPr>
            <w:rStyle w:val="Hyperlink"/>
            <w:rFonts w:ascii="Times New Roman" w:hAnsi="Times New Roman"/>
            <w:i/>
            <w:iCs/>
            <w:sz w:val="24"/>
          </w:rPr>
          <w:t xml:space="preserve">Co. v. </w:t>
        </w:r>
        <w:bookmarkStart w:id="21" w:name="_Hlt48729508"/>
        <w:bookmarkStart w:id="22" w:name="_Hlt49069443"/>
        <w:bookmarkEnd w:id="21"/>
        <w:bookmarkEnd w:id="22"/>
        <w:r w:rsidRPr="008613E4">
          <w:rPr>
            <w:rStyle w:val="Hyperlink"/>
            <w:rFonts w:ascii="Times New Roman" w:hAnsi="Times New Roman"/>
            <w:i/>
            <w:iCs/>
            <w:sz w:val="24"/>
          </w:rPr>
          <w:t>O.T. Berg</w:t>
        </w:r>
        <w:r w:rsidRPr="008613E4">
          <w:rPr>
            <w:rStyle w:val="Hyperlink"/>
            <w:rFonts w:ascii="Times New Roman" w:hAnsi="Times New Roman"/>
            <w:sz w:val="24"/>
          </w:rPr>
          <w:t>, 187 Minn. 503, 246 N.W. 9 (1932</w:t>
        </w:r>
        <w:r w:rsidRPr="008613E4">
          <w:rPr>
            <w:rStyle w:val="Hyperlink"/>
            <w:rFonts w:ascii="Times New Roman" w:hAnsi="Times New Roman"/>
            <w:sz w:val="24"/>
            <w:u w:val="none"/>
          </w:rPr>
          <w:t>)</w:t>
        </w:r>
      </w:hyperlink>
      <w:r w:rsidRPr="008613E4">
        <w:rPr>
          <w:rFonts w:ascii="Times New Roman" w:hAnsi="Times New Roman"/>
          <w:sz w:val="24"/>
        </w:rPr>
        <w:t xml:space="preserve"> the court held that as of 1917 the statute covered situations in which the entry was unlawful even if the detention was without force. This made Minnesota’s law equivalent to the original Wisconsin law</w:t>
      </w:r>
      <w:r w:rsidR="006556ED">
        <w:rPr>
          <w:rFonts w:ascii="Times New Roman" w:hAnsi="Times New Roman"/>
          <w:sz w:val="24"/>
        </w:rPr>
        <w:t xml:space="preserve">; </w:t>
      </w:r>
      <w:r w:rsidRPr="008613E4">
        <w:rPr>
          <w:rFonts w:ascii="Times New Roman" w:hAnsi="Times New Roman"/>
          <w:b/>
          <w:bCs/>
          <w:sz w:val="24"/>
        </w:rPr>
        <w:t>only if the original entry was unlawful does Minn. Stat. § 504B.301 come into play</w:t>
      </w:r>
      <w:r w:rsidRPr="008613E4">
        <w:rPr>
          <w:rFonts w:ascii="Times New Roman" w:hAnsi="Times New Roman"/>
          <w:sz w:val="24"/>
        </w:rPr>
        <w:t>.</w:t>
      </w:r>
    </w:p>
    <w:p w14:paraId="73ACEB3F" w14:textId="77777777" w:rsidR="00CB3ABA" w:rsidRPr="008613E4" w:rsidRDefault="00CB3ABA" w:rsidP="00CB3ABA">
      <w:pPr>
        <w:rPr>
          <w:rFonts w:ascii="Times New Roman" w:hAnsi="Times New Roman"/>
          <w:sz w:val="24"/>
        </w:rPr>
      </w:pPr>
      <w:r w:rsidRPr="008613E4">
        <w:rPr>
          <w:rFonts w:ascii="Times New Roman" w:hAnsi="Times New Roman"/>
          <w:sz w:val="24"/>
        </w:rPr>
        <w:t>This dichotomy of purpose between sections 2 and 12 of the 1858 statutes accounts for the former allowing for a fine (per section 9) while the latter did not. It made sense for the former – a criminal-type statute -- to provide for a fine, while the latter -- a civil-type statute – did not provide for a fine.</w:t>
      </w:r>
    </w:p>
    <w:p w14:paraId="16F642E7" w14:textId="77777777" w:rsidR="00CB3ABA" w:rsidRPr="008613E4" w:rsidRDefault="00CB3ABA" w:rsidP="00CB3ABA">
      <w:pPr>
        <w:rPr>
          <w:rFonts w:ascii="Times New Roman" w:hAnsi="Times New Roman"/>
          <w:sz w:val="24"/>
          <w:u w:val="single"/>
        </w:rPr>
      </w:pPr>
      <w:r w:rsidRPr="008613E4">
        <w:rPr>
          <w:rFonts w:ascii="Times New Roman" w:hAnsi="Times New Roman"/>
          <w:sz w:val="24"/>
        </w:rPr>
        <w:tab/>
      </w:r>
      <w:r w:rsidRPr="008613E4">
        <w:rPr>
          <w:rFonts w:ascii="Times New Roman" w:hAnsi="Times New Roman"/>
          <w:sz w:val="24"/>
          <w:u w:val="single"/>
        </w:rPr>
        <w:t>A 1975 case</w:t>
      </w:r>
    </w:p>
    <w:p w14:paraId="175D3CBC" w14:textId="77777777" w:rsidR="00CB3ABA" w:rsidRPr="008613E4" w:rsidRDefault="00CB3ABA" w:rsidP="00CB3ABA">
      <w:pPr>
        <w:rPr>
          <w:rFonts w:ascii="Times New Roman" w:hAnsi="Times New Roman"/>
          <w:sz w:val="24"/>
        </w:rPr>
      </w:pPr>
      <w:r w:rsidRPr="008613E4">
        <w:rPr>
          <w:rFonts w:ascii="Times New Roman" w:hAnsi="Times New Roman"/>
          <w:sz w:val="24"/>
        </w:rPr>
        <w:t xml:space="preserve">The Minnesota Supreme Court has considered the reach of section 504B.301 (then codified at Minn. Stat. § 566.02) one time since 1932. In </w:t>
      </w:r>
      <w:hyperlink r:id="rId17" w:history="1">
        <w:r w:rsidRPr="008613E4">
          <w:rPr>
            <w:rStyle w:val="Hyperlink"/>
            <w:rFonts w:ascii="Times New Roman" w:hAnsi="Times New Roman"/>
            <w:i/>
            <w:iCs/>
            <w:sz w:val="24"/>
          </w:rPr>
          <w:t xml:space="preserve">Berg v. </w:t>
        </w:r>
        <w:bookmarkStart w:id="23" w:name="_Hlt49069457"/>
        <w:bookmarkEnd w:id="23"/>
        <w:r w:rsidRPr="008613E4">
          <w:rPr>
            <w:rStyle w:val="Hyperlink"/>
            <w:rFonts w:ascii="Times New Roman" w:hAnsi="Times New Roman"/>
            <w:i/>
            <w:iCs/>
            <w:sz w:val="24"/>
          </w:rPr>
          <w:t>Wiley I</w:t>
        </w:r>
        <w:r w:rsidRPr="008613E4">
          <w:rPr>
            <w:rStyle w:val="Hyperlink"/>
            <w:rFonts w:ascii="Times New Roman" w:hAnsi="Times New Roman"/>
            <w:sz w:val="24"/>
          </w:rPr>
          <w:t>, 303 Minn. 247, 226 N.W.2d 904 (1975)</w:t>
        </w:r>
      </w:hyperlink>
      <w:r w:rsidRPr="008613E4">
        <w:rPr>
          <w:rFonts w:ascii="Times New Roman" w:hAnsi="Times New Roman"/>
          <w:sz w:val="24"/>
        </w:rPr>
        <w:t xml:space="preserve">, plaintiff Katherine Berg was a tenant unlawfully locked out by her landlord, who then occupied the space. The court assumed that the landlord had wrongfully entered the premises and </w:t>
      </w:r>
      <w:r w:rsidRPr="008613E4">
        <w:rPr>
          <w:rFonts w:ascii="Times New Roman" w:hAnsi="Times New Roman"/>
          <w:sz w:val="24"/>
        </w:rPr>
        <w:lastRenderedPageBreak/>
        <w:t>was wrongfully detaining the same.</w:t>
      </w:r>
      <w:r w:rsidRPr="008613E4">
        <w:rPr>
          <w:rFonts w:ascii="Times New Roman" w:hAnsi="Times New Roman"/>
          <w:sz w:val="24"/>
          <w:vertAlign w:val="superscript"/>
        </w:rPr>
        <w:footnoteReference w:customMarkFollows="1" w:id="8"/>
        <w:t>8</w:t>
      </w:r>
      <w:r w:rsidRPr="008613E4">
        <w:rPr>
          <w:rFonts w:ascii="Times New Roman" w:hAnsi="Times New Roman"/>
          <w:sz w:val="24"/>
          <w:lang w:val="zh-CN"/>
        </w:rPr>
        <w:t xml:space="preserve"> Ms. Berg alleged that the landlord was subject to removal by way of an eviction action under the section 504B.301.</w:t>
      </w:r>
      <w:r w:rsidRPr="008613E4">
        <w:rPr>
          <w:rFonts w:ascii="Times New Roman" w:hAnsi="Times New Roman"/>
          <w:sz w:val="24"/>
          <w:lang w:val="zh-CN"/>
        </w:rPr>
        <w:fldChar w:fldCharType="begin"/>
      </w:r>
      <w:r w:rsidRPr="008613E4">
        <w:rPr>
          <w:rFonts w:ascii="Times New Roman" w:hAnsi="Times New Roman"/>
          <w:sz w:val="24"/>
          <w:lang w:val="zh-CN"/>
        </w:rPr>
        <w:instrText>ADVANCE \d 0</w:instrText>
      </w:r>
      <w:r w:rsidRPr="008613E4">
        <w:rPr>
          <w:rFonts w:ascii="Times New Roman" w:hAnsi="Times New Roman"/>
          <w:sz w:val="24"/>
        </w:rPr>
        <w:fldChar w:fldCharType="end"/>
      </w:r>
      <w:r w:rsidRPr="008613E4">
        <w:rPr>
          <w:rFonts w:ascii="Times New Roman" w:hAnsi="Times New Roman"/>
          <w:sz w:val="24"/>
          <w:lang w:val="zh-CN"/>
        </w:rPr>
        <w:fldChar w:fldCharType="begin"/>
      </w:r>
      <w:r w:rsidRPr="008613E4">
        <w:rPr>
          <w:rFonts w:ascii="Times New Roman" w:hAnsi="Times New Roman"/>
          <w:sz w:val="24"/>
          <w:lang w:val="zh-CN"/>
        </w:rPr>
        <w:instrText>ADVANCE \d 0</w:instrText>
      </w:r>
      <w:r w:rsidRPr="008613E4">
        <w:rPr>
          <w:rFonts w:ascii="Times New Roman" w:hAnsi="Times New Roman"/>
          <w:sz w:val="24"/>
        </w:rPr>
        <w:fldChar w:fldCharType="end"/>
      </w:r>
      <w:r w:rsidRPr="008613E4">
        <w:rPr>
          <w:rFonts w:ascii="Times New Roman" w:hAnsi="Times New Roman"/>
          <w:sz w:val="24"/>
          <w:lang w:val="zh-CN"/>
        </w:rPr>
        <w:t xml:space="preserve">The court rejected this interpretation of section 566.02/504B.301. It held that by itself this section was not enough to proceed. Instead, the plaintiff also needed to be one of the listed plaintiffs in section 566.03, subd. 1 (now 504B.285, subd. 1(a)) to file an eviction action and dismissed the case for lack of subject matter jurisdiction. </w:t>
      </w:r>
      <w:hyperlink r:id="rId18" w:history="1">
        <w:r w:rsidRPr="008613E4">
          <w:rPr>
            <w:rStyle w:val="Hyperlink"/>
            <w:rFonts w:ascii="Times New Roman" w:hAnsi="Times New Roman"/>
            <w:sz w:val="24"/>
          </w:rPr>
          <w:t>Id</w:t>
        </w:r>
      </w:hyperlink>
      <w:r w:rsidRPr="008613E4">
        <w:rPr>
          <w:rFonts w:ascii="Times New Roman" w:hAnsi="Times New Roman"/>
          <w:sz w:val="24"/>
        </w:rPr>
        <w:t xml:space="preserve">. at 249-250, 226 N.W.2d at 906.  </w:t>
      </w:r>
      <w:r w:rsidRPr="008613E4">
        <w:rPr>
          <w:rFonts w:ascii="Times New Roman" w:hAnsi="Times New Roman"/>
          <w:sz w:val="24"/>
        </w:rPr>
        <w:fldChar w:fldCharType="begin"/>
      </w:r>
      <w:r w:rsidRPr="008613E4">
        <w:rPr>
          <w:rFonts w:ascii="Times New Roman" w:hAnsi="Times New Roman"/>
          <w:sz w:val="24"/>
        </w:rPr>
        <w:instrText>ADVANCE \d 0</w:instrText>
      </w:r>
      <w:r w:rsidRPr="008613E4">
        <w:rPr>
          <w:rFonts w:ascii="Times New Roman" w:hAnsi="Times New Roman"/>
          <w:sz w:val="24"/>
        </w:rPr>
        <w:fldChar w:fldCharType="end"/>
      </w:r>
    </w:p>
    <w:p w14:paraId="6EEFB30A" w14:textId="41F8A2AC" w:rsidR="00CB3ABA" w:rsidRPr="008613E4" w:rsidRDefault="00CB3ABA" w:rsidP="00CB3ABA">
      <w:pPr>
        <w:rPr>
          <w:rFonts w:ascii="Times New Roman" w:hAnsi="Times New Roman"/>
          <w:sz w:val="24"/>
        </w:rPr>
      </w:pPr>
      <w:r w:rsidRPr="008613E4">
        <w:rPr>
          <w:rFonts w:ascii="Times New Roman" w:hAnsi="Times New Roman"/>
          <w:sz w:val="24"/>
        </w:rPr>
        <w:t>This holding actually restricts the reach of section 504B.301/5</w:t>
      </w:r>
      <w:r w:rsidR="00A42D0E">
        <w:rPr>
          <w:rFonts w:ascii="Times New Roman" w:hAnsi="Times New Roman"/>
          <w:sz w:val="24"/>
        </w:rPr>
        <w:t>66.</w:t>
      </w:r>
      <w:r w:rsidRPr="008613E4">
        <w:rPr>
          <w:rFonts w:ascii="Times New Roman" w:hAnsi="Times New Roman"/>
          <w:sz w:val="24"/>
        </w:rPr>
        <w:t xml:space="preserve">02 a bit further than the </w:t>
      </w:r>
      <w:hyperlink r:id="rId19" w:history="1">
        <w:r w:rsidRPr="008613E4">
          <w:rPr>
            <w:rStyle w:val="Hyperlink"/>
            <w:rFonts w:ascii="Times New Roman" w:hAnsi="Times New Roman"/>
            <w:i/>
            <w:iCs/>
            <w:sz w:val="24"/>
          </w:rPr>
          <w:t>Mutual Trust v. O.T. Berg</w:t>
        </w:r>
      </w:hyperlink>
      <w:r w:rsidRPr="008613E4">
        <w:rPr>
          <w:rFonts w:ascii="Times New Roman" w:hAnsi="Times New Roman"/>
          <w:sz w:val="24"/>
          <w:u w:val="single"/>
        </w:rPr>
        <w:t xml:space="preserve"> </w:t>
      </w:r>
      <w:r w:rsidRPr="008613E4">
        <w:rPr>
          <w:rFonts w:ascii="Times New Roman" w:hAnsi="Times New Roman"/>
          <w:sz w:val="24"/>
        </w:rPr>
        <w:t xml:space="preserve">court did. Wiley’s entry into Katherine Berg’s restaurant was unlawful. </w:t>
      </w:r>
      <w:r w:rsidR="006F54CF" w:rsidRPr="008613E4">
        <w:rPr>
          <w:rFonts w:ascii="Times New Roman" w:hAnsi="Times New Roman"/>
          <w:sz w:val="24"/>
        </w:rPr>
        <w:t>However,</w:t>
      </w:r>
      <w:r w:rsidRPr="008613E4">
        <w:rPr>
          <w:rFonts w:ascii="Times New Roman" w:hAnsi="Times New Roman"/>
          <w:sz w:val="24"/>
        </w:rPr>
        <w:t xml:space="preserve"> when Wiley Enterprises bought the building it had entered lawfully. The </w:t>
      </w:r>
      <w:hyperlink r:id="rId20" w:history="1">
        <w:r w:rsidRPr="008613E4">
          <w:rPr>
            <w:rStyle w:val="Hyperlink"/>
            <w:rFonts w:ascii="Times New Roman" w:hAnsi="Times New Roman"/>
            <w:sz w:val="24"/>
          </w:rPr>
          <w:t>Wiley I</w:t>
        </w:r>
      </w:hyperlink>
      <w:r w:rsidRPr="008613E4">
        <w:rPr>
          <w:rFonts w:ascii="Times New Roman" w:hAnsi="Times New Roman"/>
          <w:sz w:val="24"/>
        </w:rPr>
        <w:t xml:space="preserve"> court thought this was enough to make section 504B.301 inapplicable, holding that Katherine Berg should have filed an ejectment action where the more complicated issues arising out of Wiley’s owner could be better resolved. </w:t>
      </w:r>
      <w:hyperlink r:id="rId21" w:history="1">
        <w:r w:rsidRPr="008613E4">
          <w:rPr>
            <w:rStyle w:val="Hyperlink"/>
            <w:rFonts w:ascii="Times New Roman" w:hAnsi="Times New Roman"/>
            <w:sz w:val="24"/>
          </w:rPr>
          <w:t>Id</w:t>
        </w:r>
      </w:hyperlink>
      <w:r w:rsidRPr="008613E4">
        <w:rPr>
          <w:rFonts w:ascii="Times New Roman" w:hAnsi="Times New Roman"/>
          <w:sz w:val="24"/>
        </w:rPr>
        <w:t>. at 907.</w:t>
      </w:r>
      <w:r w:rsidRPr="008613E4">
        <w:rPr>
          <w:rFonts w:ascii="Times New Roman" w:hAnsi="Times New Roman"/>
          <w:sz w:val="24"/>
        </w:rPr>
        <w:fldChar w:fldCharType="begin"/>
      </w:r>
      <w:r w:rsidRPr="008613E4">
        <w:rPr>
          <w:rFonts w:ascii="Times New Roman" w:hAnsi="Times New Roman"/>
          <w:sz w:val="24"/>
        </w:rPr>
        <w:instrText>ADVANCE \d 0</w:instrText>
      </w:r>
      <w:r w:rsidRPr="008613E4">
        <w:rPr>
          <w:rFonts w:ascii="Times New Roman" w:hAnsi="Times New Roman"/>
          <w:sz w:val="24"/>
        </w:rPr>
        <w:fldChar w:fldCharType="end"/>
      </w:r>
      <w:r w:rsidRPr="008613E4">
        <w:rPr>
          <w:rFonts w:ascii="Times New Roman" w:hAnsi="Times New Roman"/>
          <w:sz w:val="24"/>
        </w:rPr>
        <w:fldChar w:fldCharType="begin"/>
      </w:r>
      <w:r w:rsidRPr="008613E4">
        <w:rPr>
          <w:rFonts w:ascii="Times New Roman" w:hAnsi="Times New Roman"/>
          <w:sz w:val="24"/>
        </w:rPr>
        <w:instrText>ADVANCE \d 0</w:instrText>
      </w:r>
      <w:r w:rsidRPr="008613E4">
        <w:rPr>
          <w:rFonts w:ascii="Times New Roman" w:hAnsi="Times New Roman"/>
          <w:sz w:val="24"/>
        </w:rPr>
        <w:fldChar w:fldCharType="end"/>
      </w:r>
    </w:p>
    <w:p w14:paraId="7CB47B8E" w14:textId="77777777" w:rsidR="00CB3ABA" w:rsidRPr="008613E4" w:rsidRDefault="00CB3ABA" w:rsidP="00701AA5">
      <w:pPr>
        <w:ind w:left="720"/>
        <w:rPr>
          <w:rFonts w:ascii="Times New Roman" w:hAnsi="Times New Roman"/>
          <w:sz w:val="24"/>
          <w:u w:val="single"/>
        </w:rPr>
      </w:pPr>
      <w:r w:rsidRPr="008613E4">
        <w:rPr>
          <w:rFonts w:ascii="Times New Roman" w:hAnsi="Times New Roman"/>
          <w:sz w:val="24"/>
          <w:u w:val="single"/>
        </w:rPr>
        <w:t xml:space="preserve">Subsequent legislatures have followed the reasoning of </w:t>
      </w:r>
      <w:r w:rsidRPr="008613E4">
        <w:rPr>
          <w:rFonts w:ascii="Times New Roman" w:hAnsi="Times New Roman"/>
          <w:i/>
          <w:iCs/>
          <w:sz w:val="24"/>
          <w:u w:val="single"/>
        </w:rPr>
        <w:t>Mutual Trust</w:t>
      </w:r>
      <w:r w:rsidRPr="008613E4">
        <w:rPr>
          <w:rFonts w:ascii="Times New Roman" w:hAnsi="Times New Roman"/>
          <w:sz w:val="24"/>
          <w:u w:val="single"/>
        </w:rPr>
        <w:t xml:space="preserve"> and </w:t>
      </w:r>
      <w:r w:rsidRPr="008613E4">
        <w:rPr>
          <w:rFonts w:ascii="Times New Roman" w:hAnsi="Times New Roman"/>
          <w:i/>
          <w:iCs/>
          <w:sz w:val="24"/>
          <w:u w:val="single"/>
        </w:rPr>
        <w:t>Berg v. Wiley I</w:t>
      </w:r>
      <w:r w:rsidRPr="008613E4">
        <w:rPr>
          <w:rFonts w:ascii="Times New Roman" w:hAnsi="Times New Roman"/>
          <w:sz w:val="24"/>
          <w:u w:val="single"/>
        </w:rPr>
        <w:t>.</w:t>
      </w:r>
    </w:p>
    <w:p w14:paraId="7A67783B" w14:textId="152806DB" w:rsidR="00CB3ABA" w:rsidRPr="008613E4" w:rsidRDefault="00A42D0E" w:rsidP="00CB3ABA">
      <w:pPr>
        <w:rPr>
          <w:rFonts w:ascii="Times New Roman" w:hAnsi="Times New Roman"/>
          <w:sz w:val="24"/>
        </w:rPr>
      </w:pPr>
      <w:r>
        <w:rPr>
          <w:rFonts w:ascii="Times New Roman" w:hAnsi="Times New Roman"/>
          <w:sz w:val="24"/>
        </w:rPr>
        <w:t>93</w:t>
      </w:r>
      <w:r w:rsidR="00CB3ABA" w:rsidRPr="008613E4">
        <w:rPr>
          <w:rFonts w:ascii="Times New Roman" w:hAnsi="Times New Roman"/>
          <w:sz w:val="24"/>
        </w:rPr>
        <w:t xml:space="preserve"> years have passed since the </w:t>
      </w:r>
      <w:hyperlink r:id="rId22" w:history="1">
        <w:r w:rsidR="00CB3ABA" w:rsidRPr="008613E4">
          <w:rPr>
            <w:rStyle w:val="Hyperlink"/>
            <w:rFonts w:ascii="Times New Roman" w:hAnsi="Times New Roman"/>
            <w:i/>
            <w:iCs/>
            <w:sz w:val="24"/>
          </w:rPr>
          <w:t>Mutual Trust</w:t>
        </w:r>
      </w:hyperlink>
      <w:r w:rsidR="00CB3ABA" w:rsidRPr="008613E4">
        <w:rPr>
          <w:rFonts w:ascii="Times New Roman" w:hAnsi="Times New Roman"/>
          <w:sz w:val="24"/>
          <w:u w:val="single"/>
        </w:rPr>
        <w:t xml:space="preserve"> </w:t>
      </w:r>
      <w:r w:rsidR="00CB3ABA" w:rsidRPr="008613E4">
        <w:rPr>
          <w:rFonts w:ascii="Times New Roman" w:hAnsi="Times New Roman"/>
          <w:sz w:val="24"/>
        </w:rPr>
        <w:t xml:space="preserve">case was decided and </w:t>
      </w:r>
      <w:r>
        <w:rPr>
          <w:rFonts w:ascii="Times New Roman" w:hAnsi="Times New Roman"/>
          <w:sz w:val="24"/>
        </w:rPr>
        <w:t>50</w:t>
      </w:r>
      <w:r w:rsidR="00CB3ABA" w:rsidRPr="008613E4">
        <w:rPr>
          <w:rFonts w:ascii="Times New Roman" w:hAnsi="Times New Roman"/>
          <w:sz w:val="24"/>
        </w:rPr>
        <w:t xml:space="preserve"> years have passed since </w:t>
      </w:r>
      <w:hyperlink r:id="rId23" w:history="1">
        <w:r w:rsidR="00CB3ABA" w:rsidRPr="008613E4">
          <w:rPr>
            <w:rStyle w:val="Hyperlink"/>
            <w:rFonts w:ascii="Times New Roman" w:hAnsi="Times New Roman"/>
            <w:i/>
            <w:iCs/>
            <w:sz w:val="24"/>
          </w:rPr>
          <w:t>Berg v. Wiley I</w:t>
        </w:r>
      </w:hyperlink>
      <w:r w:rsidR="00CB3ABA" w:rsidRPr="008613E4">
        <w:rPr>
          <w:rFonts w:ascii="Times New Roman" w:hAnsi="Times New Roman"/>
          <w:sz w:val="24"/>
        </w:rPr>
        <w:t xml:space="preserve">. Thus the legislature has acquiesced to their interpretation of the section 504B.301. </w:t>
      </w:r>
      <w:hyperlink r:id="rId24" w:history="1">
        <w:r w:rsidR="00CB3ABA" w:rsidRPr="008613E4">
          <w:rPr>
            <w:rStyle w:val="Hyperlink"/>
            <w:rFonts w:ascii="Times New Roman" w:hAnsi="Times New Roman"/>
            <w:i/>
            <w:iCs/>
            <w:sz w:val="24"/>
          </w:rPr>
          <w:t>Engquist v. Loyas</w:t>
        </w:r>
        <w:r w:rsidR="00CB3ABA" w:rsidRPr="008613E4">
          <w:rPr>
            <w:rStyle w:val="Hyperlink"/>
            <w:rFonts w:ascii="Times New Roman" w:hAnsi="Times New Roman"/>
            <w:sz w:val="24"/>
          </w:rPr>
          <w:t>, 803 N.W.2d 400, 406 (Minn.2011)</w:t>
        </w:r>
      </w:hyperlink>
      <w:r w:rsidR="00CB3ABA" w:rsidRPr="008613E4">
        <w:rPr>
          <w:rFonts w:ascii="Times New Roman" w:hAnsi="Times New Roman"/>
          <w:sz w:val="24"/>
        </w:rPr>
        <w:t>.</w:t>
      </w:r>
    </w:p>
    <w:p w14:paraId="3560C2B8" w14:textId="6777E649" w:rsidR="00CB3ABA" w:rsidRPr="008613E4" w:rsidRDefault="00CB3ABA" w:rsidP="00CB3ABA">
      <w:pPr>
        <w:rPr>
          <w:rFonts w:ascii="Times New Roman" w:hAnsi="Times New Roman"/>
          <w:sz w:val="24"/>
          <w:lang w:val="en-CA"/>
        </w:rPr>
      </w:pPr>
      <w:r w:rsidRPr="008613E4">
        <w:rPr>
          <w:rFonts w:ascii="Times New Roman" w:hAnsi="Times New Roman"/>
          <w:sz w:val="24"/>
        </w:rPr>
        <w:t xml:space="preserve">In fact, subsequent legislatures have affirmatively taken to heart the limited reach of section 504B.301. In 1993, the legislature wanted to allow a cooperative to use the eviction process to oust a unit owner who didn’t redeem in a foreclosure of the association's assessment lien. In 2017, it wanted to allow a city or county to use the eviction process to oust to a person holding over past expiration of the time for redemption on a real estate tax judgment sale. Because these two types of occupants had entered lawfully, section 504B.301 didn’t apply. Therefore, the legislatures enacted specific laws to allow those two types of eviction actions. See </w:t>
      </w:r>
      <w:hyperlink r:id="rId25" w:history="1">
        <w:r w:rsidRPr="008613E4">
          <w:rPr>
            <w:rStyle w:val="Hyperlink"/>
            <w:rFonts w:ascii="Times New Roman" w:hAnsi="Times New Roman"/>
            <w:sz w:val="24"/>
          </w:rPr>
          <w:t>1993 Minn. Laws ch. 222, art. 3 s 16, clause (j</w:t>
        </w:r>
      </w:hyperlink>
      <w:r w:rsidRPr="008613E4">
        <w:rPr>
          <w:rFonts w:ascii="Times New Roman" w:hAnsi="Times New Roman"/>
          <w:sz w:val="24"/>
        </w:rPr>
        <w:t>); 2017 Minn. Laws 1</w:t>
      </w:r>
      <w:r w:rsidRPr="008613E4">
        <w:rPr>
          <w:rFonts w:ascii="Times New Roman" w:hAnsi="Times New Roman"/>
          <w:sz w:val="24"/>
          <w:vertAlign w:val="superscript"/>
        </w:rPr>
        <w:t>st</w:t>
      </w:r>
      <w:r w:rsidRPr="008613E4">
        <w:rPr>
          <w:rFonts w:ascii="Times New Roman" w:hAnsi="Times New Roman"/>
          <w:sz w:val="24"/>
        </w:rPr>
        <w:t xml:space="preserve"> Sp. Sess., ch. 1, art. 2, s. 40</w:t>
      </w:r>
      <w:r w:rsidRPr="008613E4">
        <w:rPr>
          <w:rFonts w:ascii="Times New Roman" w:hAnsi="Times New Roman"/>
          <w:sz w:val="24"/>
          <w:lang w:val="en-CA"/>
        </w:rPr>
        <w:t xml:space="preserve"> </w:t>
      </w:r>
    </w:p>
    <w:p w14:paraId="5C1AEEC6" w14:textId="77777777" w:rsidR="00CB3ABA" w:rsidRPr="008613E4" w:rsidRDefault="00CB3ABA" w:rsidP="00CB3ABA">
      <w:pPr>
        <w:rPr>
          <w:rFonts w:ascii="Times New Roman" w:hAnsi="Times New Roman"/>
          <w:b/>
          <w:bCs/>
          <w:sz w:val="24"/>
          <w:u w:val="single"/>
          <w:lang w:val="en-CA"/>
        </w:rPr>
      </w:pPr>
      <w:r w:rsidRPr="008613E4">
        <w:rPr>
          <w:rFonts w:ascii="Times New Roman" w:hAnsi="Times New Roman"/>
          <w:b/>
          <w:bCs/>
          <w:sz w:val="24"/>
          <w:u w:val="single"/>
          <w:lang w:val="en-CA"/>
        </w:rPr>
        <w:t>THE 1989 ADDITION OF A SECOND SENTENCE TO SECTION 504B.301 (566.02) WAS CONSISTENT WITH THE FIRST SENTENCE ONLY APPLYING TO THOSE WHO ENTERED ILLEGALLY.</w:t>
      </w:r>
    </w:p>
    <w:p w14:paraId="10888B79" w14:textId="77777777" w:rsidR="00CB3ABA" w:rsidRPr="008613E4" w:rsidRDefault="00CB3ABA" w:rsidP="00CB3ABA">
      <w:pPr>
        <w:rPr>
          <w:rFonts w:ascii="Times New Roman" w:hAnsi="Times New Roman"/>
          <w:sz w:val="24"/>
          <w:u w:val="single"/>
          <w:lang w:val="en-CA"/>
        </w:rPr>
      </w:pPr>
      <w:r w:rsidRPr="008613E4">
        <w:rPr>
          <w:rFonts w:ascii="Times New Roman" w:hAnsi="Times New Roman"/>
          <w:sz w:val="24"/>
          <w:lang w:val="en-CA"/>
        </w:rPr>
        <w:tab/>
      </w:r>
      <w:r w:rsidRPr="008613E4">
        <w:rPr>
          <w:rFonts w:ascii="Times New Roman" w:hAnsi="Times New Roman"/>
          <w:sz w:val="24"/>
          <w:u w:val="single"/>
          <w:lang w:val="en-CA"/>
        </w:rPr>
        <w:t>Its language was consistent.</w:t>
      </w:r>
    </w:p>
    <w:p w14:paraId="0655E86D" w14:textId="77777777" w:rsidR="00CB3ABA" w:rsidRPr="008613E4" w:rsidRDefault="00CB3ABA" w:rsidP="00CB3ABA">
      <w:pPr>
        <w:rPr>
          <w:rFonts w:ascii="Times New Roman" w:hAnsi="Times New Roman"/>
          <w:sz w:val="24"/>
          <w:lang w:val="en-CA"/>
        </w:rPr>
      </w:pPr>
      <w:r w:rsidRPr="008613E4">
        <w:rPr>
          <w:rFonts w:ascii="Times New Roman" w:hAnsi="Times New Roman"/>
          <w:sz w:val="24"/>
          <w:lang w:val="en-CA"/>
        </w:rPr>
        <w:t>Lastly, it is worth discussing the import of a second sentence added to Minn. Stat. § 504B.301 (then section 566.02) by the 1989 legislature. This second sentence read:</w:t>
      </w:r>
    </w:p>
    <w:p w14:paraId="3F8DD004" w14:textId="77777777" w:rsidR="00CB3ABA" w:rsidRPr="008613E4" w:rsidRDefault="00CB3ABA" w:rsidP="006651B6">
      <w:pPr>
        <w:ind w:left="720"/>
        <w:rPr>
          <w:rFonts w:ascii="Times New Roman" w:hAnsi="Times New Roman"/>
          <w:sz w:val="24"/>
        </w:rPr>
      </w:pPr>
      <w:r w:rsidRPr="008613E4">
        <w:rPr>
          <w:rFonts w:ascii="Times New Roman" w:hAnsi="Times New Roman"/>
          <w:sz w:val="24"/>
        </w:rPr>
        <w:t>A seizure under section 609.5317, subdivision 1, for which there is not a defense under section 609.5317, subdivision 3, constitutes unlawful detention by the tenant.</w:t>
      </w:r>
    </w:p>
    <w:p w14:paraId="38A172A6" w14:textId="7D332068" w:rsidR="00CB3ABA" w:rsidRPr="008613E4" w:rsidRDefault="00CB3ABA" w:rsidP="00CB3ABA">
      <w:pPr>
        <w:rPr>
          <w:rFonts w:ascii="Times New Roman" w:hAnsi="Times New Roman"/>
          <w:sz w:val="24"/>
        </w:rPr>
      </w:pPr>
      <w:hyperlink r:id="rId26" w:history="1">
        <w:r w:rsidRPr="008613E4">
          <w:rPr>
            <w:rStyle w:val="Hyperlink"/>
            <w:rFonts w:ascii="Times New Roman" w:hAnsi="Times New Roman"/>
            <w:sz w:val="24"/>
          </w:rPr>
          <w:t>1989 M</w:t>
        </w:r>
        <w:bookmarkStart w:id="24" w:name="_Hlt48894157"/>
        <w:bookmarkStart w:id="25" w:name="_Hlt48894158"/>
        <w:bookmarkEnd w:id="24"/>
        <w:bookmarkEnd w:id="25"/>
        <w:r w:rsidRPr="008613E4">
          <w:rPr>
            <w:rStyle w:val="Hyperlink"/>
            <w:rFonts w:ascii="Times New Roman" w:hAnsi="Times New Roman"/>
            <w:sz w:val="24"/>
          </w:rPr>
          <w:t>inn. Laws ch. 305, s. 2</w:t>
        </w:r>
      </w:hyperlink>
      <w:r w:rsidRPr="008613E4">
        <w:rPr>
          <w:rFonts w:ascii="Times New Roman" w:hAnsi="Times New Roman"/>
          <w:sz w:val="24"/>
        </w:rPr>
        <w:t xml:space="preserve">. Presumably, the 1989 legislature realized that while using a house to store large quantities of drugs or contraband was illegal, that by itself was not a basis to evict a tenant under the existing/first sentence of Minn. Stat. § 504B.301. Some new cause of </w:t>
      </w:r>
      <w:r w:rsidRPr="008613E4">
        <w:rPr>
          <w:rFonts w:ascii="Times New Roman" w:hAnsi="Times New Roman"/>
          <w:sz w:val="24"/>
        </w:rPr>
        <w:lastRenderedPageBreak/>
        <w:t>action was needed. The 1989 legislature modified the statute accordingly. As amended by the addition of the new second sentence, the statute allowed eviction in two situations: [a] unlawful entry followed by unlawful detention (per the old first sentence); and [b] lawful entry followed by a specific type of drug or contraband possession (per the new second sentence).</w:t>
      </w:r>
    </w:p>
    <w:p w14:paraId="47359247" w14:textId="2D6F292C" w:rsidR="00CB3ABA" w:rsidRPr="008613E4" w:rsidRDefault="00CB3ABA" w:rsidP="00701AA5">
      <w:pPr>
        <w:ind w:left="720"/>
        <w:rPr>
          <w:rFonts w:ascii="Times New Roman" w:hAnsi="Times New Roman"/>
          <w:sz w:val="24"/>
          <w:u w:val="single"/>
          <w:lang w:val="en-CA"/>
        </w:rPr>
      </w:pPr>
      <w:r w:rsidRPr="008613E4">
        <w:rPr>
          <w:rFonts w:ascii="Times New Roman" w:hAnsi="Times New Roman"/>
          <w:sz w:val="24"/>
          <w:u w:val="single"/>
          <w:lang w:val="en-CA"/>
        </w:rPr>
        <w:t>Its legislative history is consistent.</w:t>
      </w:r>
    </w:p>
    <w:p w14:paraId="364096DA" w14:textId="1FDD31D8" w:rsidR="006651B6" w:rsidRPr="008613E4" w:rsidRDefault="00CB3ABA" w:rsidP="00CB3ABA">
      <w:pPr>
        <w:rPr>
          <w:rFonts w:ascii="Times New Roman" w:hAnsi="Times New Roman"/>
          <w:sz w:val="24"/>
        </w:rPr>
      </w:pPr>
      <w:r w:rsidRPr="008613E4">
        <w:rPr>
          <w:rFonts w:ascii="Times New Roman" w:hAnsi="Times New Roman"/>
          <w:sz w:val="24"/>
        </w:rPr>
        <w:t xml:space="preserve">I’ve compiled a summary of the legislative history of  </w:t>
      </w:r>
      <w:hyperlink r:id="rId27" w:history="1">
        <w:r w:rsidRPr="008613E4">
          <w:rPr>
            <w:rStyle w:val="Hyperlink"/>
            <w:rFonts w:ascii="Times New Roman" w:hAnsi="Times New Roman"/>
            <w:sz w:val="24"/>
          </w:rPr>
          <w:t>1989 Minn. Laws ch. 305, s. 2</w:t>
        </w:r>
      </w:hyperlink>
      <w:r w:rsidRPr="008613E4">
        <w:rPr>
          <w:rFonts w:ascii="Times New Roman" w:hAnsi="Times New Roman"/>
          <w:sz w:val="24"/>
        </w:rPr>
        <w:t xml:space="preserve"> in </w:t>
      </w:r>
      <w:hyperlink r:id="rId28" w:history="1">
        <w:r w:rsidRPr="008613E4">
          <w:rPr>
            <w:rStyle w:val="Hyperlink"/>
            <w:rFonts w:ascii="Times New Roman" w:hAnsi="Times New Roman"/>
            <w:sz w:val="24"/>
          </w:rPr>
          <w:t>Appendix 2</w:t>
        </w:r>
      </w:hyperlink>
      <w:r w:rsidRPr="008613E4">
        <w:rPr>
          <w:rFonts w:ascii="Times New Roman" w:hAnsi="Times New Roman"/>
          <w:sz w:val="24"/>
        </w:rPr>
        <w:t xml:space="preserve">. I also obtained the files kept by the law’s chief author, (ex) State Representative Andy Dawkins. For a while these files had been on deposit with the Minnesota History Museum but I received them from Mr. Dawkins. They are compiled in </w:t>
      </w:r>
      <w:hyperlink r:id="rId29" w:history="1">
        <w:r w:rsidRPr="008613E4">
          <w:rPr>
            <w:rStyle w:val="Hyperlink"/>
            <w:rFonts w:ascii="Times New Roman" w:hAnsi="Times New Roman"/>
            <w:sz w:val="24"/>
          </w:rPr>
          <w:t>Appendix 3</w:t>
        </w:r>
      </w:hyperlink>
      <w:r w:rsidRPr="008613E4">
        <w:rPr>
          <w:rFonts w:ascii="Times New Roman" w:hAnsi="Times New Roman"/>
          <w:sz w:val="24"/>
        </w:rPr>
        <w:t xml:space="preserve"> and are cited as “Appendix 3 at X” where “X” is the PDF page number in this PDF file.</w:t>
      </w:r>
    </w:p>
    <w:p w14:paraId="69EF4E4C" w14:textId="5916D87B" w:rsidR="006651B6" w:rsidRPr="008613E4" w:rsidRDefault="00CB3ABA" w:rsidP="00CB3ABA">
      <w:pPr>
        <w:rPr>
          <w:rFonts w:ascii="Times New Roman" w:hAnsi="Times New Roman"/>
          <w:sz w:val="24"/>
        </w:rPr>
      </w:pPr>
      <w:r w:rsidRPr="008613E4">
        <w:rPr>
          <w:rFonts w:ascii="Times New Roman" w:hAnsi="Times New Roman"/>
          <w:sz w:val="24"/>
        </w:rPr>
        <w:t>The History Museum kept tapes of floor and committee debates but only for 16 years, so the 1989 tapes are gone for good. However, Mr. Dawkins’ notes for his presentation to the House Judiciary Committee say he planned to make the following points in favor of the bill before going through a provision-by-provision summary:</w:t>
      </w:r>
    </w:p>
    <w:p w14:paraId="3CF1485C" w14:textId="11D22F26" w:rsidR="00CB3ABA" w:rsidRPr="008613E4" w:rsidRDefault="00CB3ABA" w:rsidP="006651B6">
      <w:pPr>
        <w:ind w:left="720"/>
        <w:rPr>
          <w:rFonts w:ascii="Times New Roman" w:hAnsi="Times New Roman"/>
          <w:sz w:val="24"/>
        </w:rPr>
      </w:pPr>
      <w:r w:rsidRPr="008613E4">
        <w:rPr>
          <w:rFonts w:ascii="Times New Roman" w:hAnsi="Times New Roman"/>
          <w:sz w:val="24"/>
        </w:rPr>
        <w:t>[i] Landlords need a new cause of action to deal with drug dealing.</w:t>
      </w:r>
    </w:p>
    <w:p w14:paraId="1B928659" w14:textId="692D606D" w:rsidR="00CB3ABA" w:rsidRPr="008613E4" w:rsidRDefault="00CB3ABA" w:rsidP="006651B6">
      <w:pPr>
        <w:ind w:left="720"/>
        <w:rPr>
          <w:rFonts w:ascii="Times New Roman" w:hAnsi="Times New Roman"/>
          <w:sz w:val="24"/>
        </w:rPr>
      </w:pPr>
      <w:r w:rsidRPr="008613E4">
        <w:rPr>
          <w:rFonts w:ascii="Times New Roman" w:hAnsi="Times New Roman"/>
          <w:sz w:val="24"/>
        </w:rPr>
        <w:t>[ii] Tenants don’t like other tenants in their complex who are dealing drugs.</w:t>
      </w:r>
    </w:p>
    <w:p w14:paraId="21CD2563" w14:textId="0339D36D" w:rsidR="00CB3ABA" w:rsidRPr="008613E4" w:rsidRDefault="00CB3ABA" w:rsidP="006651B6">
      <w:pPr>
        <w:ind w:left="720"/>
        <w:rPr>
          <w:rFonts w:ascii="Times New Roman" w:hAnsi="Times New Roman"/>
          <w:sz w:val="24"/>
        </w:rPr>
      </w:pPr>
      <w:r w:rsidRPr="008613E4">
        <w:rPr>
          <w:rFonts w:ascii="Times New Roman" w:hAnsi="Times New Roman"/>
          <w:sz w:val="24"/>
        </w:rPr>
        <w:t>[iii] Third-party neighbors don’t like absentee landlords who ignore drug dealing.</w:t>
      </w:r>
    </w:p>
    <w:p w14:paraId="240B5066" w14:textId="695663A1" w:rsidR="00CB3ABA" w:rsidRPr="008613E4" w:rsidRDefault="00CB3ABA" w:rsidP="006651B6">
      <w:pPr>
        <w:ind w:left="720"/>
        <w:rPr>
          <w:rFonts w:ascii="Times New Roman" w:hAnsi="Times New Roman"/>
          <w:sz w:val="24"/>
        </w:rPr>
      </w:pPr>
      <w:r w:rsidRPr="008613E4">
        <w:rPr>
          <w:rFonts w:ascii="Times New Roman" w:hAnsi="Times New Roman"/>
          <w:sz w:val="24"/>
        </w:rPr>
        <w:t>[iv] When police seize drugs in a multi-occupant unit, there is a constructive-possession problem – the seizure is evidence of drug dealing from that apartment but maybe not evidence of who is dealing. The bill would create a presumption in civil court that all the tenants in the unit are to blame.</w:t>
      </w:r>
    </w:p>
    <w:p w14:paraId="72F60B74" w14:textId="4E2D0E13" w:rsidR="00CB3ABA" w:rsidRPr="008613E4" w:rsidRDefault="00CB3ABA" w:rsidP="006651B6">
      <w:pPr>
        <w:ind w:left="720"/>
        <w:rPr>
          <w:rFonts w:ascii="Times New Roman" w:hAnsi="Times New Roman"/>
          <w:sz w:val="24"/>
        </w:rPr>
      </w:pPr>
      <w:r w:rsidRPr="008613E4">
        <w:rPr>
          <w:rFonts w:ascii="Times New Roman" w:hAnsi="Times New Roman"/>
          <w:sz w:val="24"/>
        </w:rPr>
        <w:t>[v] Society needs “to keep crack dealers on the run”.</w:t>
      </w:r>
    </w:p>
    <w:p w14:paraId="15E08003" w14:textId="5B74CD64" w:rsidR="00CB3ABA" w:rsidRPr="008613E4" w:rsidRDefault="00CB3ABA" w:rsidP="006651B6">
      <w:pPr>
        <w:ind w:left="720"/>
        <w:rPr>
          <w:rFonts w:ascii="Times New Roman" w:hAnsi="Times New Roman"/>
          <w:sz w:val="24"/>
        </w:rPr>
      </w:pPr>
      <w:r w:rsidRPr="008613E4">
        <w:rPr>
          <w:rFonts w:ascii="Times New Roman" w:hAnsi="Times New Roman"/>
          <w:sz w:val="24"/>
        </w:rPr>
        <w:t>[vi] The bill provides a way to give landlords notice of the problem; gives landlords a tool they can use; and punishes landlords who don’t act.</w:t>
      </w:r>
    </w:p>
    <w:p w14:paraId="4FB92A2E" w14:textId="2AF86593" w:rsidR="00CB3ABA" w:rsidRPr="008613E4" w:rsidRDefault="00CB3ABA" w:rsidP="00CB3ABA">
      <w:pPr>
        <w:rPr>
          <w:rFonts w:ascii="Times New Roman" w:hAnsi="Times New Roman"/>
          <w:sz w:val="24"/>
        </w:rPr>
      </w:pPr>
      <w:hyperlink r:id="rId30" w:history="1">
        <w:r w:rsidRPr="008613E4">
          <w:rPr>
            <w:rStyle w:val="Hyperlink"/>
            <w:rFonts w:ascii="Times New Roman" w:hAnsi="Times New Roman"/>
            <w:sz w:val="24"/>
          </w:rPr>
          <w:t>Appendix 3</w:t>
        </w:r>
      </w:hyperlink>
      <w:r w:rsidRPr="008613E4">
        <w:rPr>
          <w:rFonts w:ascii="Times New Roman" w:hAnsi="Times New Roman"/>
          <w:sz w:val="24"/>
        </w:rPr>
        <w:t xml:space="preserve"> at 74 et seq. </w:t>
      </w:r>
    </w:p>
    <w:p w14:paraId="051EEDC8" w14:textId="165D6FA1" w:rsidR="00CB3ABA" w:rsidRPr="008613E4" w:rsidRDefault="00CB3ABA" w:rsidP="00CB3ABA">
      <w:pPr>
        <w:rPr>
          <w:rFonts w:ascii="Times New Roman" w:hAnsi="Times New Roman"/>
          <w:sz w:val="24"/>
        </w:rPr>
      </w:pPr>
      <w:r w:rsidRPr="008613E4">
        <w:rPr>
          <w:rFonts w:ascii="Times New Roman" w:hAnsi="Times New Roman"/>
          <w:sz w:val="24"/>
        </w:rPr>
        <w:t xml:space="preserve">Mr. Dawkins’ notes for his presentation to the House floor on Third Reading say he planned to make similar points to those he made in committee and then to identify supporters of the bill. </w:t>
      </w:r>
      <w:hyperlink r:id="rId31" w:history="1">
        <w:r w:rsidRPr="008613E4">
          <w:rPr>
            <w:rStyle w:val="Hyperlink"/>
            <w:rFonts w:ascii="Times New Roman" w:hAnsi="Times New Roman"/>
            <w:sz w:val="24"/>
          </w:rPr>
          <w:t>Appendix 3</w:t>
        </w:r>
      </w:hyperlink>
      <w:r w:rsidRPr="008613E4">
        <w:rPr>
          <w:rFonts w:ascii="Times New Roman" w:hAnsi="Times New Roman"/>
          <w:sz w:val="24"/>
        </w:rPr>
        <w:t xml:space="preserve"> at 92-94.</w:t>
      </w:r>
    </w:p>
    <w:p w14:paraId="7D44508B" w14:textId="49730C11" w:rsidR="00CB3ABA" w:rsidRPr="008613E4" w:rsidRDefault="00CB3ABA" w:rsidP="00CB3ABA">
      <w:pPr>
        <w:rPr>
          <w:rFonts w:ascii="Times New Roman" w:hAnsi="Times New Roman"/>
          <w:sz w:val="24"/>
        </w:rPr>
      </w:pPr>
      <w:r w:rsidRPr="008613E4">
        <w:rPr>
          <w:rFonts w:ascii="Times New Roman" w:hAnsi="Times New Roman"/>
          <w:sz w:val="24"/>
        </w:rPr>
        <w:t>Mr. Dawkins told me in August 2020 that his recollection of the debates was the same as indicated by his notes: The bill was only about possession of drugs or contraband, not other unlawful acts. It was designed to create a “new cause of action”, not to add to a cause of action already existing in Minn. Stat. § 566.02 (1988) and the court cases construing that law never came up.</w:t>
      </w:r>
    </w:p>
    <w:p w14:paraId="774305D6" w14:textId="490AF8D7" w:rsidR="00CB3ABA" w:rsidRPr="008613E4" w:rsidRDefault="00CB3ABA" w:rsidP="00CB3ABA">
      <w:pPr>
        <w:rPr>
          <w:rFonts w:ascii="Times New Roman" w:hAnsi="Times New Roman"/>
          <w:sz w:val="24"/>
        </w:rPr>
      </w:pPr>
      <w:r w:rsidRPr="008613E4">
        <w:rPr>
          <w:rFonts w:ascii="Times New Roman" w:hAnsi="Times New Roman"/>
          <w:sz w:val="24"/>
        </w:rPr>
        <w:t>Mr. Dawkins’ press release issued a few days before the floor debate on Third Reading made the following points:</w:t>
      </w:r>
    </w:p>
    <w:p w14:paraId="01DF6CD7" w14:textId="248BE8F1" w:rsidR="00CB3ABA" w:rsidRPr="008613E4" w:rsidRDefault="00CB3ABA" w:rsidP="006651B6">
      <w:pPr>
        <w:ind w:left="720"/>
        <w:rPr>
          <w:rFonts w:ascii="Times New Roman" w:hAnsi="Times New Roman"/>
          <w:sz w:val="24"/>
        </w:rPr>
      </w:pPr>
      <w:r w:rsidRPr="008613E4">
        <w:rPr>
          <w:rFonts w:ascii="Times New Roman" w:hAnsi="Times New Roman"/>
          <w:sz w:val="24"/>
        </w:rPr>
        <w:t>[i] The bill is about drugs and landlords who won’t act.</w:t>
      </w:r>
    </w:p>
    <w:p w14:paraId="21BE107D" w14:textId="542F56D2" w:rsidR="00CB3ABA" w:rsidRPr="008613E4" w:rsidRDefault="00CB3ABA" w:rsidP="006651B6">
      <w:pPr>
        <w:ind w:left="720"/>
        <w:rPr>
          <w:rFonts w:ascii="Times New Roman" w:hAnsi="Times New Roman"/>
          <w:sz w:val="24"/>
        </w:rPr>
      </w:pPr>
      <w:r w:rsidRPr="008613E4">
        <w:rPr>
          <w:rFonts w:ascii="Times New Roman" w:hAnsi="Times New Roman"/>
          <w:sz w:val="24"/>
        </w:rPr>
        <w:lastRenderedPageBreak/>
        <w:t>[ii] The bill deals with problems the prosecution faces in criminal court.</w:t>
      </w:r>
    </w:p>
    <w:p w14:paraId="652E2021" w14:textId="42FA7F6E" w:rsidR="00CB3ABA" w:rsidRPr="008613E4" w:rsidRDefault="00CB3ABA" w:rsidP="006651B6">
      <w:pPr>
        <w:ind w:left="720"/>
        <w:rPr>
          <w:rFonts w:ascii="Times New Roman" w:hAnsi="Times New Roman"/>
          <w:sz w:val="24"/>
        </w:rPr>
      </w:pPr>
      <w:r w:rsidRPr="008613E4">
        <w:rPr>
          <w:rFonts w:ascii="Times New Roman" w:hAnsi="Times New Roman"/>
          <w:sz w:val="24"/>
        </w:rPr>
        <w:t>[iii] The bill deals with drugs and contraband (things that are illegal to possess).</w:t>
      </w:r>
    </w:p>
    <w:p w14:paraId="74712C1D" w14:textId="53CA8FC0" w:rsidR="00CB3ABA" w:rsidRPr="008613E4" w:rsidRDefault="00CB3ABA" w:rsidP="006651B6">
      <w:pPr>
        <w:ind w:left="720"/>
        <w:rPr>
          <w:rFonts w:ascii="Times New Roman" w:hAnsi="Times New Roman"/>
          <w:sz w:val="24"/>
        </w:rPr>
      </w:pPr>
      <w:r w:rsidRPr="008613E4">
        <w:rPr>
          <w:rFonts w:ascii="Times New Roman" w:hAnsi="Times New Roman"/>
          <w:sz w:val="24"/>
        </w:rPr>
        <w:t>[iv] The legislative committees voted unanimously for the bill</w:t>
      </w:r>
      <w:r w:rsidR="00917247">
        <w:rPr>
          <w:rFonts w:ascii="Times New Roman" w:hAnsi="Times New Roman"/>
          <w:sz w:val="24"/>
        </w:rPr>
        <w:t>.</w:t>
      </w:r>
    </w:p>
    <w:p w14:paraId="521725D2" w14:textId="6547D711" w:rsidR="00CB3ABA" w:rsidRPr="008613E4" w:rsidRDefault="00CB3ABA" w:rsidP="006651B6">
      <w:pPr>
        <w:ind w:left="720"/>
        <w:rPr>
          <w:rFonts w:ascii="Times New Roman" w:hAnsi="Times New Roman"/>
          <w:sz w:val="24"/>
        </w:rPr>
      </w:pPr>
      <w:r w:rsidRPr="008613E4">
        <w:rPr>
          <w:rFonts w:ascii="Times New Roman" w:hAnsi="Times New Roman"/>
          <w:sz w:val="24"/>
        </w:rPr>
        <w:t>[v] The bill is designed to give the community more power to keep it safe.</w:t>
      </w:r>
    </w:p>
    <w:p w14:paraId="33F4393D" w14:textId="59498A99" w:rsidR="00CB3ABA" w:rsidRPr="008613E4" w:rsidRDefault="00CB3ABA" w:rsidP="00CB3ABA">
      <w:pPr>
        <w:rPr>
          <w:rFonts w:ascii="Times New Roman" w:hAnsi="Times New Roman"/>
          <w:sz w:val="24"/>
        </w:rPr>
      </w:pPr>
      <w:hyperlink r:id="rId32" w:history="1">
        <w:r w:rsidRPr="008613E4">
          <w:rPr>
            <w:rStyle w:val="Hyperlink"/>
            <w:rFonts w:ascii="Times New Roman" w:hAnsi="Times New Roman"/>
            <w:sz w:val="24"/>
          </w:rPr>
          <w:t>Appendix 3</w:t>
        </w:r>
      </w:hyperlink>
      <w:r w:rsidRPr="008613E4">
        <w:rPr>
          <w:rFonts w:ascii="Times New Roman" w:hAnsi="Times New Roman"/>
          <w:sz w:val="24"/>
        </w:rPr>
        <w:t xml:space="preserve"> at 114-115.</w:t>
      </w:r>
    </w:p>
    <w:p w14:paraId="4E28FF06" w14:textId="77777777" w:rsidR="00961E4E" w:rsidRPr="008613E4" w:rsidRDefault="00CB3ABA" w:rsidP="00CB3ABA">
      <w:pPr>
        <w:rPr>
          <w:rFonts w:ascii="Times New Roman" w:hAnsi="Times New Roman"/>
          <w:sz w:val="24"/>
        </w:rPr>
      </w:pPr>
      <w:r w:rsidRPr="008613E4">
        <w:rPr>
          <w:rFonts w:ascii="Times New Roman" w:hAnsi="Times New Roman"/>
          <w:sz w:val="24"/>
        </w:rPr>
        <w:t xml:space="preserve">The Bill Summary prepared by House Research summarized the bill consistent with Mr. Dawkins’ presentations. It does not mention or comment on the meaning of Minn. Stat. § 566.02 (1988). </w:t>
      </w:r>
      <w:hyperlink r:id="rId33" w:history="1">
        <w:r w:rsidRPr="008613E4">
          <w:rPr>
            <w:rStyle w:val="Hyperlink"/>
            <w:rFonts w:ascii="Times New Roman" w:hAnsi="Times New Roman"/>
            <w:sz w:val="24"/>
          </w:rPr>
          <w:t>Appendix 3</w:t>
        </w:r>
      </w:hyperlink>
      <w:r w:rsidRPr="008613E4">
        <w:rPr>
          <w:rFonts w:ascii="Times New Roman" w:hAnsi="Times New Roman"/>
          <w:sz w:val="24"/>
        </w:rPr>
        <w:t xml:space="preserve"> at 42.</w:t>
      </w:r>
    </w:p>
    <w:p w14:paraId="6CD9B686" w14:textId="15CC6113" w:rsidR="00CB3ABA" w:rsidRPr="008613E4" w:rsidRDefault="00CB3ABA" w:rsidP="00CB3ABA">
      <w:pPr>
        <w:rPr>
          <w:rFonts w:ascii="Times New Roman" w:hAnsi="Times New Roman"/>
          <w:sz w:val="24"/>
        </w:rPr>
      </w:pPr>
      <w:r w:rsidRPr="008613E4">
        <w:rPr>
          <w:rFonts w:ascii="Times New Roman" w:hAnsi="Times New Roman"/>
          <w:sz w:val="24"/>
        </w:rPr>
        <w:t>In summary, the bill was aimed at significant drug-and-contraband possession, not other unlawful acts. It was meant to create a “new cause of action”, not to add to a cause of action already existing in Minn. Stat. § 566.02 (1988). Nothing was said about the bill changing the established meaning of Minn. Stat. § 566.02 (1988).</w:t>
      </w:r>
    </w:p>
    <w:p w14:paraId="59E0AC36" w14:textId="5CB4CBD9" w:rsidR="00CB3ABA" w:rsidRPr="008613E4" w:rsidRDefault="00CB3ABA" w:rsidP="00961E4E">
      <w:pPr>
        <w:ind w:left="720"/>
        <w:rPr>
          <w:rFonts w:ascii="Times New Roman" w:hAnsi="Times New Roman"/>
          <w:sz w:val="24"/>
          <w:u w:val="single"/>
        </w:rPr>
      </w:pPr>
      <w:r w:rsidRPr="008613E4">
        <w:rPr>
          <w:rFonts w:ascii="Times New Roman" w:hAnsi="Times New Roman"/>
          <w:sz w:val="24"/>
          <w:u w:val="single"/>
        </w:rPr>
        <w:t>The 2023 legislature repealed the second sentence discussed above, returning the statute to its pre 1989 form.</w:t>
      </w:r>
    </w:p>
    <w:p w14:paraId="545596FB" w14:textId="5C4E8124" w:rsidR="00CB3ABA" w:rsidRPr="008613E4" w:rsidRDefault="00CB3ABA" w:rsidP="00CB3ABA">
      <w:pPr>
        <w:rPr>
          <w:rFonts w:ascii="Times New Roman" w:hAnsi="Times New Roman"/>
          <w:sz w:val="24"/>
        </w:rPr>
      </w:pPr>
      <w:r w:rsidRPr="008613E4">
        <w:rPr>
          <w:rFonts w:ascii="Times New Roman" w:hAnsi="Times New Roman"/>
          <w:sz w:val="24"/>
        </w:rPr>
        <w:t>The 2023 legislature amended several landlord-tenant statutes as well as some criminal laws, generally decriminalizing and removing civil liab</w:t>
      </w:r>
      <w:r w:rsidR="00961E4E" w:rsidRPr="008613E4">
        <w:rPr>
          <w:rFonts w:ascii="Times New Roman" w:hAnsi="Times New Roman"/>
          <w:sz w:val="24"/>
        </w:rPr>
        <w:t>i</w:t>
      </w:r>
      <w:r w:rsidRPr="008613E4">
        <w:rPr>
          <w:rFonts w:ascii="Times New Roman" w:hAnsi="Times New Roman"/>
          <w:sz w:val="24"/>
        </w:rPr>
        <w:t xml:space="preserve">lity for certain more minor drug possession activities. One of the changes was to delete the second sentence of Minn. Stat. § 504B.301 (2022). </w:t>
      </w:r>
      <w:hyperlink r:id="rId34" w:anchor="laws.19.22.0" w:history="1">
        <w:r w:rsidRPr="008613E4">
          <w:rPr>
            <w:rStyle w:val="Hyperlink"/>
            <w:rFonts w:ascii="Times New Roman" w:hAnsi="Times New Roman"/>
            <w:sz w:val="24"/>
          </w:rPr>
          <w:t>2023 Minn. Laws ch. 52 art. 19 s 22</w:t>
        </w:r>
      </w:hyperlink>
      <w:r w:rsidRPr="008613E4">
        <w:rPr>
          <w:rFonts w:ascii="Times New Roman" w:hAnsi="Times New Roman"/>
          <w:sz w:val="24"/>
        </w:rPr>
        <w:t>. As a result, the “second” sentence added by the 1989 session law is now of no effect but its legislative history is still relevant to construing the statute.</w:t>
      </w:r>
    </w:p>
    <w:p w14:paraId="4E451316" w14:textId="73E5ED6C" w:rsidR="00CB3ABA" w:rsidRPr="008613E4" w:rsidRDefault="00CB3ABA" w:rsidP="00CB3ABA">
      <w:pPr>
        <w:rPr>
          <w:rFonts w:ascii="Times New Roman" w:hAnsi="Times New Roman"/>
          <w:b/>
          <w:bCs/>
          <w:sz w:val="24"/>
          <w:u w:val="single"/>
        </w:rPr>
      </w:pPr>
      <w:r w:rsidRPr="008613E4">
        <w:rPr>
          <w:rFonts w:ascii="Times New Roman" w:hAnsi="Times New Roman"/>
          <w:b/>
          <w:bCs/>
          <w:sz w:val="24"/>
          <w:u w:val="single"/>
        </w:rPr>
        <w:t>CONCLUSION</w:t>
      </w:r>
    </w:p>
    <w:p w14:paraId="7962EFAA" w14:textId="4ABD1F97" w:rsidR="00CB3ABA" w:rsidRPr="008613E4" w:rsidRDefault="00CB3ABA" w:rsidP="00CB3ABA">
      <w:pPr>
        <w:rPr>
          <w:rFonts w:ascii="Times New Roman" w:hAnsi="Times New Roman"/>
          <w:sz w:val="24"/>
        </w:rPr>
      </w:pPr>
      <w:r w:rsidRPr="008613E4">
        <w:rPr>
          <w:rFonts w:ascii="Times New Roman" w:hAnsi="Times New Roman"/>
          <w:sz w:val="24"/>
        </w:rPr>
        <w:t>Minn. Stat. § 504B.301 only provides a path to evicting occupants who entered the premises illegally from Day One.</w:t>
      </w:r>
    </w:p>
    <w:p w14:paraId="560924B8" w14:textId="5471B1B4" w:rsidR="00CB3ABA" w:rsidRPr="008613E4" w:rsidRDefault="00CB3ABA" w:rsidP="00CB3ABA">
      <w:pPr>
        <w:rPr>
          <w:rFonts w:ascii="Times New Roman" w:hAnsi="Times New Roman"/>
          <w:sz w:val="24"/>
        </w:rPr>
      </w:pPr>
      <w:r w:rsidRPr="008613E4">
        <w:rPr>
          <w:rFonts w:ascii="Times New Roman" w:hAnsi="Times New Roman"/>
          <w:sz w:val="24"/>
        </w:rPr>
        <w:t>Minn. Stat. § 504B.301 is not a catchall provision for evicting tenants. Indeed, it provides no basis for evicting a tenant or any other occupant who entered the premises lawfully.</w:t>
      </w:r>
    </w:p>
    <w:p w14:paraId="26390480" w14:textId="37D2918B" w:rsidR="00C77023" w:rsidRDefault="00CB3ABA" w:rsidP="00CB3ABA">
      <w:pPr>
        <w:rPr>
          <w:rFonts w:ascii="Times New Roman" w:hAnsi="Times New Roman"/>
          <w:sz w:val="24"/>
        </w:rPr>
      </w:pPr>
      <w:r w:rsidRPr="008613E4">
        <w:rPr>
          <w:rFonts w:ascii="Times New Roman" w:hAnsi="Times New Roman"/>
          <w:sz w:val="24"/>
        </w:rPr>
        <w:t>Thus, Minn. Stat. § 504B.301 provides no basis for a landlord to evict a tenant because the landlord has no rental license; for a mother to evict her grown son whom she had invited to live in her house for free but now had overstayed his welcome; for a landlord to evict a tenant because FEMA has declared the unit unsafe; for a “landlord” who “rents” something he doesn’t actually own to evict his “tenant” on the grounds the “rental” was illegal (the renting-the-Brooklyn-Bridge problem); or other similar situations. There may be lawful methods for these ousters, and third parties, such as the government, might be able to oust these occupants, but section 504B.301 is not the vehicle to do so.</w:t>
      </w:r>
    </w:p>
    <w:p w14:paraId="3F2006B8" w14:textId="55D73592" w:rsidR="004A7D43" w:rsidRPr="008613E4" w:rsidRDefault="004A7D43" w:rsidP="00CB3ABA">
      <w:pPr>
        <w:rPr>
          <w:rFonts w:ascii="Times New Roman" w:hAnsi="Times New Roman"/>
          <w:sz w:val="24"/>
        </w:rPr>
      </w:pPr>
      <w:r>
        <w:rPr>
          <w:rFonts w:ascii="Times New Roman" w:hAnsi="Times New Roman"/>
          <w:sz w:val="24"/>
        </w:rPr>
        <w:t>[posted February 25, 2025]</w:t>
      </w:r>
    </w:p>
    <w:sectPr w:rsidR="004A7D43" w:rsidRPr="008613E4">
      <w:footerReference w:type="default" r:id="rId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5CB755" w14:textId="77777777" w:rsidR="003214EE" w:rsidRDefault="003214EE" w:rsidP="00CB3ABA">
      <w:pPr>
        <w:spacing w:after="0" w:line="240" w:lineRule="auto"/>
      </w:pPr>
      <w:r>
        <w:separator/>
      </w:r>
    </w:p>
  </w:endnote>
  <w:endnote w:type="continuationSeparator" w:id="0">
    <w:p w14:paraId="1F913739" w14:textId="77777777" w:rsidR="003214EE" w:rsidRDefault="003214EE" w:rsidP="00CB3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8775056"/>
      <w:docPartObj>
        <w:docPartGallery w:val="Page Numbers (Bottom of Page)"/>
        <w:docPartUnique/>
      </w:docPartObj>
    </w:sdtPr>
    <w:sdtEndPr>
      <w:rPr>
        <w:noProof/>
      </w:rPr>
    </w:sdtEndPr>
    <w:sdtContent>
      <w:p w14:paraId="4EB46E85" w14:textId="665AF866" w:rsidR="00B55F06" w:rsidRDefault="00B55F0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104562" w14:textId="77777777" w:rsidR="00B55F06" w:rsidRDefault="00B55F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E9FDDF" w14:textId="77777777" w:rsidR="003214EE" w:rsidRDefault="003214EE" w:rsidP="00CB3ABA">
      <w:pPr>
        <w:spacing w:after="0" w:line="240" w:lineRule="auto"/>
      </w:pPr>
      <w:r>
        <w:separator/>
      </w:r>
    </w:p>
  </w:footnote>
  <w:footnote w:type="continuationSeparator" w:id="0">
    <w:p w14:paraId="200DBBF3" w14:textId="77777777" w:rsidR="003214EE" w:rsidRDefault="003214EE" w:rsidP="00CB3ABA">
      <w:pPr>
        <w:spacing w:after="0" w:line="240" w:lineRule="auto"/>
      </w:pPr>
      <w:r>
        <w:continuationSeparator/>
      </w:r>
    </w:p>
  </w:footnote>
  <w:footnote w:id="1">
    <w:p w14:paraId="24264E26" w14:textId="77777777" w:rsidR="00CB3ABA" w:rsidRPr="00B55F06" w:rsidRDefault="00CB3ABA" w:rsidP="00CB3AB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8"/>
        </w:tabs>
        <w:rPr>
          <w:rFonts w:ascii="Times New Roman" w:hAnsi="Times New Roman" w:cs="Times New Roman"/>
          <w:sz w:val="24"/>
          <w:szCs w:val="24"/>
        </w:rPr>
      </w:pPr>
      <w:r w:rsidRPr="00B55F06">
        <w:rPr>
          <w:rFonts w:ascii="Times New Roman" w:hAnsi="Times New Roman" w:cs="Times New Roman"/>
          <w:sz w:val="24"/>
          <w:szCs w:val="24"/>
          <w:vertAlign w:val="superscript"/>
        </w:rPr>
        <w:t>1</w:t>
      </w:r>
      <w:r w:rsidRPr="00B55F06">
        <w:rPr>
          <w:rFonts w:ascii="Times New Roman" w:hAnsi="Times New Roman" w:cs="Times New Roman"/>
          <w:sz w:val="24"/>
          <w:szCs w:val="24"/>
        </w:rPr>
        <w:t xml:space="preserve"> In addition to eviction actions, the plaintiff can seek an injunction or file an ejectment action. </w:t>
      </w:r>
      <w:hyperlink r:id="rId1" w:history="1">
        <w:r w:rsidRPr="00B55F06">
          <w:rPr>
            <w:rFonts w:ascii="Times New Roman" w:hAnsi="Times New Roman" w:cs="Times New Roman"/>
            <w:i/>
            <w:iCs/>
            <w:color w:val="007F7F"/>
            <w:sz w:val="24"/>
            <w:szCs w:val="24"/>
            <w:u w:val="single"/>
          </w:rPr>
          <w:t>Yager v. Thompson,</w:t>
        </w:r>
        <w:r w:rsidRPr="00B55F06">
          <w:rPr>
            <w:rFonts w:ascii="Times New Roman" w:hAnsi="Times New Roman" w:cs="Times New Roman"/>
            <w:color w:val="007F7F"/>
            <w:sz w:val="24"/>
            <w:szCs w:val="24"/>
            <w:u w:val="single"/>
          </w:rPr>
          <w:t xml:space="preserve"> 352 N.W.2d 71, 73-74 (Minn.App.1984)</w:t>
        </w:r>
      </w:hyperlink>
      <w:r w:rsidRPr="00B55F06">
        <w:rPr>
          <w:rFonts w:ascii="Times New Roman" w:hAnsi="Times New Roman" w:cs="Times New Roman"/>
          <w:sz w:val="24"/>
          <w:szCs w:val="24"/>
        </w:rPr>
        <w:t xml:space="preserve"> (injunction); Minn. Stat. Chap. 559 (ejectment actions).</w:t>
      </w:r>
    </w:p>
  </w:footnote>
  <w:footnote w:id="2">
    <w:p w14:paraId="6C90DAAC" w14:textId="77777777" w:rsidR="00CB3ABA" w:rsidRDefault="00CB3ABA" w:rsidP="00CB3ABA">
      <w:pPr>
        <w:rPr>
          <w:sz w:val="24"/>
          <w:szCs w:val="24"/>
        </w:rPr>
      </w:pPr>
      <w:r w:rsidRPr="00B55F06">
        <w:rPr>
          <w:rFonts w:ascii="Times New Roman" w:hAnsi="Times New Roman" w:cs="Times New Roman"/>
          <w:sz w:val="24"/>
          <w:szCs w:val="24"/>
          <w:vertAlign w:val="superscript"/>
        </w:rPr>
        <w:t>2</w:t>
      </w:r>
      <w:r w:rsidRPr="00B55F06">
        <w:rPr>
          <w:rFonts w:ascii="Times New Roman" w:hAnsi="Times New Roman" w:cs="Times New Roman"/>
          <w:sz w:val="24"/>
          <w:szCs w:val="24"/>
        </w:rPr>
        <w:t xml:space="preserve"> All Minnesota statutes and session laws since 1851 are available at the Revisor’s excellent website, </w:t>
      </w:r>
      <w:hyperlink r:id="rId2" w:history="1">
        <w:r w:rsidRPr="00B55F06">
          <w:rPr>
            <w:rFonts w:ascii="Times New Roman" w:hAnsi="Times New Roman" w:cs="Times New Roman"/>
            <w:color w:val="007F7F"/>
            <w:sz w:val="24"/>
            <w:szCs w:val="24"/>
          </w:rPr>
          <w:t>https://www.revisor.mn.gov/statutes/</w:t>
        </w:r>
      </w:hyperlink>
      <w:r>
        <w:t xml:space="preserve"> </w:t>
      </w:r>
    </w:p>
  </w:footnote>
  <w:footnote w:id="3">
    <w:p w14:paraId="0C21F4A5" w14:textId="442F354B" w:rsidR="00CB3ABA" w:rsidRPr="00B55F06" w:rsidRDefault="00CB3ABA" w:rsidP="00CB3AB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8"/>
        </w:tabs>
        <w:rPr>
          <w:rFonts w:ascii="Times New Roman" w:hAnsi="Times New Roman" w:cs="Times New Roman"/>
          <w:sz w:val="24"/>
          <w:szCs w:val="24"/>
        </w:rPr>
      </w:pPr>
      <w:r w:rsidRPr="00B55F06">
        <w:rPr>
          <w:rFonts w:ascii="Times New Roman" w:hAnsi="Times New Roman" w:cs="Times New Roman"/>
          <w:sz w:val="24"/>
          <w:szCs w:val="24"/>
          <w:vertAlign w:val="superscript"/>
        </w:rPr>
        <w:t>3</w:t>
      </w:r>
      <w:r w:rsidRPr="00B55F06">
        <w:rPr>
          <w:rFonts w:ascii="Times New Roman" w:hAnsi="Times New Roman" w:cs="Times New Roman"/>
          <w:sz w:val="24"/>
          <w:szCs w:val="24"/>
        </w:rPr>
        <w:t xml:space="preserve"> </w:t>
      </w:r>
      <w:hyperlink r:id="rId3" w:history="1">
        <w:r w:rsidRPr="00B55F06">
          <w:rPr>
            <w:rStyle w:val="Hyperlink"/>
            <w:rFonts w:ascii="Times New Roman" w:hAnsi="Times New Roman" w:cs="Times New Roman"/>
            <w:i/>
            <w:iCs/>
            <w:sz w:val="24"/>
            <w:szCs w:val="24"/>
          </w:rPr>
          <w:t>Am. Family Ins. Group v. Schroedl,</w:t>
        </w:r>
        <w:r w:rsidRPr="00B55F06">
          <w:rPr>
            <w:rStyle w:val="Hyperlink"/>
            <w:rFonts w:ascii="Times New Roman" w:hAnsi="Times New Roman" w:cs="Times New Roman"/>
            <w:sz w:val="24"/>
            <w:szCs w:val="24"/>
          </w:rPr>
          <w:t xml:space="preserve"> 616 N.W.2d 273, 277 (Minn.2000)</w:t>
        </w:r>
      </w:hyperlink>
      <w:r w:rsidRPr="00B55F06">
        <w:rPr>
          <w:rFonts w:ascii="Times New Roman" w:hAnsi="Times New Roman" w:cs="Times New Roman"/>
          <w:sz w:val="24"/>
          <w:szCs w:val="24"/>
        </w:rPr>
        <w:t xml:space="preserve"> ("A statute should be interpreted, whenever possible, to give effect to all its provisions; no word, phrase, or sentence should be deemed superfluous, void, or insignificant.")</w:t>
      </w:r>
    </w:p>
  </w:footnote>
  <w:footnote w:id="4">
    <w:p w14:paraId="0DB310AC" w14:textId="05F33473" w:rsidR="00CB3ABA" w:rsidRPr="00B55F06" w:rsidRDefault="00CB3ABA" w:rsidP="00CB3AB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8"/>
        </w:tabs>
        <w:rPr>
          <w:rFonts w:ascii="Times New Roman" w:hAnsi="Times New Roman" w:cs="Times New Roman"/>
          <w:sz w:val="24"/>
          <w:szCs w:val="24"/>
        </w:rPr>
      </w:pPr>
      <w:r w:rsidRPr="00B55F06">
        <w:rPr>
          <w:rFonts w:ascii="Times New Roman" w:hAnsi="Times New Roman" w:cs="Times New Roman"/>
          <w:sz w:val="24"/>
          <w:szCs w:val="24"/>
          <w:vertAlign w:val="superscript"/>
        </w:rPr>
        <w:t>4</w:t>
      </w:r>
      <w:r w:rsidRPr="00B55F06">
        <w:rPr>
          <w:rFonts w:ascii="Times New Roman" w:hAnsi="Times New Roman" w:cs="Times New Roman"/>
          <w:sz w:val="24"/>
          <w:szCs w:val="24"/>
        </w:rPr>
        <w:t xml:space="preserve"> Minn. Stat. §645.17(4) (“when a court of last resort has construed the language of a law, the legislature in subsequent laws on the same subject matter intends the same construction to be placed upon such language”). This principle of statutory construction is much older than section 645.1</w:t>
      </w:r>
      <w:r w:rsidR="00D35EA0">
        <w:rPr>
          <w:rFonts w:ascii="Times New Roman" w:hAnsi="Times New Roman" w:cs="Times New Roman"/>
          <w:sz w:val="24"/>
          <w:szCs w:val="24"/>
        </w:rPr>
        <w:t>7</w:t>
      </w:r>
      <w:r w:rsidRPr="00B55F06">
        <w:rPr>
          <w:rFonts w:ascii="Times New Roman" w:hAnsi="Times New Roman" w:cs="Times New Roman"/>
          <w:sz w:val="24"/>
          <w:szCs w:val="24"/>
        </w:rPr>
        <w:t xml:space="preserve">. E.g. see </w:t>
      </w:r>
      <w:hyperlink r:id="rId4" w:history="1">
        <w:r w:rsidRPr="00B55F06">
          <w:rPr>
            <w:rFonts w:ascii="Times New Roman" w:hAnsi="Times New Roman" w:cs="Times New Roman"/>
            <w:i/>
            <w:iCs/>
            <w:color w:val="0070C0"/>
            <w:sz w:val="24"/>
            <w:szCs w:val="24"/>
            <w:u w:val="single"/>
          </w:rPr>
          <w:t>Washbu</w:t>
        </w:r>
        <w:bookmarkStart w:id="6" w:name="_Hlt49067426"/>
        <w:bookmarkEnd w:id="6"/>
        <w:r w:rsidRPr="00B55F06">
          <w:rPr>
            <w:rFonts w:ascii="Times New Roman" w:hAnsi="Times New Roman" w:cs="Times New Roman"/>
            <w:i/>
            <w:iCs/>
            <w:color w:val="0070C0"/>
            <w:sz w:val="24"/>
            <w:szCs w:val="24"/>
            <w:u w:val="single"/>
          </w:rPr>
          <w:t>rn v. Van Steenwyk</w:t>
        </w:r>
        <w:r w:rsidRPr="00B55F06">
          <w:rPr>
            <w:rFonts w:ascii="Times New Roman" w:hAnsi="Times New Roman" w:cs="Times New Roman"/>
            <w:color w:val="0070C0"/>
            <w:sz w:val="24"/>
            <w:szCs w:val="24"/>
            <w:u w:val="single"/>
          </w:rPr>
          <w:t>, 32 Minn. 336,349, 20 N.W. 324,326 (1884)</w:t>
        </w:r>
      </w:hyperlink>
      <w:r w:rsidRPr="00B55F06">
        <w:rPr>
          <w:rFonts w:ascii="Times New Roman" w:hAnsi="Times New Roman" w:cs="Times New Roman"/>
          <w:sz w:val="24"/>
          <w:szCs w:val="24"/>
        </w:rPr>
        <w:t xml:space="preserve"> (“Statutes are enacted with regard to the already established state of the law”).</w:t>
      </w:r>
    </w:p>
  </w:footnote>
  <w:footnote w:id="5">
    <w:p w14:paraId="299348D6" w14:textId="1B868D9C" w:rsidR="00CB3ABA" w:rsidRPr="00B55F06" w:rsidRDefault="00CB3ABA" w:rsidP="00CB3AB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8"/>
        </w:tabs>
        <w:rPr>
          <w:rFonts w:ascii="Times New Roman" w:hAnsi="Times New Roman" w:cs="Times New Roman"/>
          <w:sz w:val="24"/>
          <w:szCs w:val="24"/>
        </w:rPr>
      </w:pPr>
      <w:r w:rsidRPr="00B55F06">
        <w:rPr>
          <w:rFonts w:ascii="Times New Roman" w:hAnsi="Times New Roman" w:cs="Times New Roman"/>
          <w:sz w:val="24"/>
          <w:szCs w:val="24"/>
          <w:vertAlign w:val="superscript"/>
        </w:rPr>
        <w:t>5</w:t>
      </w:r>
      <w:r w:rsidRPr="00B55F06">
        <w:rPr>
          <w:rFonts w:ascii="Times New Roman" w:hAnsi="Times New Roman" w:cs="Times New Roman"/>
          <w:sz w:val="24"/>
          <w:szCs w:val="24"/>
        </w:rPr>
        <w:t xml:space="preserve"> </w:t>
      </w:r>
      <w:hyperlink r:id="rId5" w:history="1">
        <w:r w:rsidRPr="00B55F06">
          <w:rPr>
            <w:rFonts w:ascii="Times New Roman" w:hAnsi="Times New Roman" w:cs="Times New Roman"/>
            <w:smallCaps/>
            <w:color w:val="0070C0"/>
            <w:sz w:val="24"/>
            <w:szCs w:val="24"/>
            <w:u w:val="single"/>
          </w:rPr>
          <w:t>A Treatise</w:t>
        </w:r>
        <w:bookmarkStart w:id="7" w:name="_Hlt49068296"/>
        <w:bookmarkEnd w:id="7"/>
        <w:r w:rsidRPr="00B55F06">
          <w:rPr>
            <w:rFonts w:ascii="Times New Roman" w:hAnsi="Times New Roman" w:cs="Times New Roman"/>
            <w:smallCaps/>
            <w:color w:val="0070C0"/>
            <w:sz w:val="24"/>
            <w:szCs w:val="24"/>
            <w:u w:val="single"/>
          </w:rPr>
          <w:t xml:space="preserve"> o</w:t>
        </w:r>
        <w:bookmarkStart w:id="8" w:name="_Hlt48727635"/>
        <w:bookmarkStart w:id="9" w:name="_Hlt48727636"/>
        <w:bookmarkEnd w:id="8"/>
        <w:bookmarkEnd w:id="9"/>
        <w:r w:rsidRPr="00B55F06">
          <w:rPr>
            <w:rFonts w:ascii="Times New Roman" w:hAnsi="Times New Roman" w:cs="Times New Roman"/>
            <w:smallCaps/>
            <w:color w:val="0070C0"/>
            <w:sz w:val="24"/>
            <w:szCs w:val="24"/>
            <w:u w:val="single"/>
          </w:rPr>
          <w:t>n the Ame</w:t>
        </w:r>
        <w:bookmarkStart w:id="10" w:name="_Hlt48804113"/>
        <w:bookmarkEnd w:id="10"/>
        <w:r w:rsidRPr="00B55F06">
          <w:rPr>
            <w:rFonts w:ascii="Times New Roman" w:hAnsi="Times New Roman" w:cs="Times New Roman"/>
            <w:smallCaps/>
            <w:color w:val="0070C0"/>
            <w:sz w:val="24"/>
            <w:szCs w:val="24"/>
            <w:u w:val="single"/>
          </w:rPr>
          <w:t>rican Law of Landlord and Tenant</w:t>
        </w:r>
        <w:r w:rsidRPr="00B55F06">
          <w:rPr>
            <w:rFonts w:ascii="Times New Roman" w:hAnsi="Times New Roman" w:cs="Times New Roman"/>
            <w:color w:val="0070C0"/>
            <w:sz w:val="24"/>
            <w:szCs w:val="24"/>
            <w:u w:val="single"/>
          </w:rPr>
          <w:t xml:space="preserve"> by John Neilson Taylor, Seventh Edition, revised by Jo</w:t>
        </w:r>
        <w:bookmarkStart w:id="11" w:name="_Hlt48926531"/>
        <w:bookmarkEnd w:id="11"/>
        <w:r w:rsidRPr="00B55F06">
          <w:rPr>
            <w:rFonts w:ascii="Times New Roman" w:hAnsi="Times New Roman" w:cs="Times New Roman"/>
            <w:color w:val="0070C0"/>
            <w:sz w:val="24"/>
            <w:szCs w:val="24"/>
            <w:u w:val="single"/>
          </w:rPr>
          <w:t>seph Willard (Little, Brown, and Company 1879)</w:t>
        </w:r>
      </w:hyperlink>
      <w:r w:rsidRPr="00B55F06">
        <w:rPr>
          <w:rFonts w:ascii="Times New Roman" w:hAnsi="Times New Roman" w:cs="Times New Roman"/>
          <w:sz w:val="24"/>
          <w:szCs w:val="24"/>
        </w:rPr>
        <w:t xml:space="preserve"> (hereafter, “Taylor Treatise”) at 605-607. (“[M]any of the states [including Wisconsin] have adopted substantially the ordinary provision of the English statutes relating to a forcible entry and detainer, and have made them applicable to all cases of an unlawful detention of property[footnote]5. </w:t>
      </w:r>
      <w:r w:rsidRPr="00B55F06">
        <w:rPr>
          <w:rFonts w:ascii="Times New Roman" w:hAnsi="Times New Roman" w:cs="Times New Roman"/>
          <w:sz w:val="24"/>
          <w:szCs w:val="24"/>
          <w:u w:val="single"/>
        </w:rPr>
        <w:t>But this latter proceeding ... partakes rather of the nature of a criminal prosecution of wrongdoing, than of a civil action for the restoration of a civil right</w:t>
      </w:r>
      <w:r w:rsidRPr="00B55F06">
        <w:rPr>
          <w:rFonts w:ascii="Times New Roman" w:hAnsi="Times New Roman" w:cs="Times New Roman"/>
          <w:sz w:val="24"/>
          <w:szCs w:val="24"/>
        </w:rPr>
        <w:t>. For this reason, New York [unlike Wisconsin,</w:t>
      </w:r>
      <w:r w:rsidR="00842F5E">
        <w:rPr>
          <w:rFonts w:ascii="Times New Roman" w:hAnsi="Times New Roman" w:cs="Times New Roman"/>
          <w:sz w:val="24"/>
          <w:szCs w:val="24"/>
        </w:rPr>
        <w:t xml:space="preserve"> see footnote 5 on page 606</w:t>
      </w:r>
      <w:r w:rsidRPr="00410637">
        <w:rPr>
          <w:sz w:val="24"/>
          <w:szCs w:val="24"/>
        </w:rPr>
        <w:t xml:space="preserve">], </w:t>
      </w:r>
      <w:r w:rsidRPr="00A2038F">
        <w:rPr>
          <w:rFonts w:ascii="Times New Roman" w:hAnsi="Times New Roman" w:cs="Times New Roman"/>
          <w:sz w:val="24"/>
          <w:szCs w:val="24"/>
        </w:rPr>
        <w:t>adhering to this well-defined</w:t>
      </w:r>
      <w:r w:rsidRPr="00410637">
        <w:rPr>
          <w:sz w:val="24"/>
          <w:szCs w:val="24"/>
        </w:rPr>
        <w:t xml:space="preserve"> </w:t>
      </w:r>
      <w:r w:rsidRPr="00B55F06">
        <w:rPr>
          <w:rFonts w:ascii="Times New Roman" w:hAnsi="Times New Roman" w:cs="Times New Roman"/>
          <w:sz w:val="24"/>
          <w:szCs w:val="24"/>
        </w:rPr>
        <w:t>distinction of remedies, retains the old procedure of forcible entry and detainer, while she [sic, using ‘she’ instead of the modern ‘it’] has a separate procedure for the removal of a tenant.”) [emphasis added]</w:t>
      </w:r>
    </w:p>
    <w:p w14:paraId="3E7E08AA" w14:textId="77777777" w:rsidR="00CB3ABA" w:rsidRPr="00B55F06" w:rsidRDefault="00CB3ABA" w:rsidP="00CB3AB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8"/>
        </w:tabs>
        <w:rPr>
          <w:rFonts w:ascii="Times New Roman" w:hAnsi="Times New Roman" w:cs="Times New Roman"/>
          <w:sz w:val="24"/>
          <w:szCs w:val="24"/>
        </w:rPr>
      </w:pPr>
      <w:r w:rsidRPr="00B55F06">
        <w:rPr>
          <w:rFonts w:ascii="Times New Roman" w:hAnsi="Times New Roman" w:cs="Times New Roman"/>
          <w:sz w:val="24"/>
          <w:szCs w:val="24"/>
        </w:rPr>
        <w:t>The two New York chapters are printed in N</w:t>
      </w:r>
      <w:bookmarkStart w:id="12" w:name="_Hlt48926398"/>
      <w:bookmarkEnd w:id="12"/>
      <w:r w:rsidRPr="00B55F06">
        <w:rPr>
          <w:rFonts w:ascii="Times New Roman" w:hAnsi="Times New Roman" w:cs="Times New Roman"/>
          <w:sz w:val="24"/>
          <w:szCs w:val="24"/>
        </w:rPr>
        <w:t xml:space="preserve">.Y. Rev. Stat. </w:t>
      </w:r>
      <w:bookmarkStart w:id="13" w:name="_Hlt48926380"/>
      <w:bookmarkStart w:id="14" w:name="_Hlt48926381"/>
      <w:bookmarkEnd w:id="13"/>
      <w:bookmarkEnd w:id="14"/>
      <w:r w:rsidRPr="00B55F06">
        <w:rPr>
          <w:rFonts w:ascii="Times New Roman" w:hAnsi="Times New Roman" w:cs="Times New Roman"/>
          <w:sz w:val="24"/>
          <w:szCs w:val="24"/>
        </w:rPr>
        <w:t xml:space="preserve">1829, Title X, Art. 1-2 (Volume 2, pages 507-516), available via this link: </w:t>
      </w:r>
      <w:hyperlink r:id="rId6" w:history="1">
        <w:r w:rsidRPr="00B55F06">
          <w:rPr>
            <w:rFonts w:ascii="Times New Roman" w:hAnsi="Times New Roman" w:cs="Times New Roman"/>
            <w:color w:val="0070C0"/>
            <w:sz w:val="24"/>
            <w:szCs w:val="24"/>
            <w:u w:val="single"/>
          </w:rPr>
          <w:t>http://w</w:t>
        </w:r>
        <w:bookmarkStart w:id="15" w:name="_Hlt49069048"/>
        <w:bookmarkEnd w:id="15"/>
        <w:r w:rsidRPr="00B55F06">
          <w:rPr>
            <w:rFonts w:ascii="Times New Roman" w:hAnsi="Times New Roman" w:cs="Times New Roman"/>
            <w:color w:val="0070C0"/>
            <w:sz w:val="24"/>
            <w:szCs w:val="24"/>
            <w:u w:val="single"/>
          </w:rPr>
          <w:t>ww.nysl.nysed.gov/scandocs/laws.htm</w:t>
        </w:r>
      </w:hyperlink>
      <w:r w:rsidRPr="00B55F06">
        <w:rPr>
          <w:rFonts w:ascii="Times New Roman" w:hAnsi="Times New Roman" w:cs="Times New Roman"/>
          <w:sz w:val="24"/>
          <w:szCs w:val="24"/>
        </w:rPr>
        <w:t xml:space="preserve"> </w:t>
      </w:r>
    </w:p>
  </w:footnote>
  <w:footnote w:id="6">
    <w:p w14:paraId="041F2A5E" w14:textId="25FAE9B9" w:rsidR="00CB3ABA" w:rsidRPr="00B55F06" w:rsidRDefault="00CB3ABA" w:rsidP="00CB3AB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8"/>
        </w:tabs>
        <w:rPr>
          <w:rFonts w:ascii="Times New Roman" w:hAnsi="Times New Roman" w:cs="Times New Roman"/>
          <w:sz w:val="24"/>
          <w:szCs w:val="24"/>
        </w:rPr>
      </w:pPr>
      <w:r w:rsidRPr="00B55F06">
        <w:rPr>
          <w:rFonts w:ascii="Times New Roman" w:hAnsi="Times New Roman" w:cs="Times New Roman"/>
          <w:sz w:val="24"/>
          <w:szCs w:val="24"/>
          <w:vertAlign w:val="superscript"/>
        </w:rPr>
        <w:t>6</w:t>
      </w:r>
      <w:r w:rsidRPr="00B55F06">
        <w:rPr>
          <w:rFonts w:ascii="Times New Roman" w:hAnsi="Times New Roman" w:cs="Times New Roman"/>
          <w:sz w:val="24"/>
          <w:szCs w:val="24"/>
        </w:rPr>
        <w:t xml:space="preserve"> </w:t>
      </w:r>
      <w:hyperlink r:id="rId7" w:history="1">
        <w:r w:rsidRPr="00B55F06">
          <w:rPr>
            <w:rFonts w:ascii="Times New Roman" w:hAnsi="Times New Roman" w:cs="Times New Roman"/>
            <w:color w:val="0070C0"/>
            <w:sz w:val="24"/>
            <w:szCs w:val="24"/>
            <w:u w:val="single"/>
          </w:rPr>
          <w:t>Taylor Treatise</w:t>
        </w:r>
      </w:hyperlink>
      <w:r w:rsidRPr="00B55F06">
        <w:rPr>
          <w:rFonts w:ascii="Times New Roman" w:hAnsi="Times New Roman" w:cs="Times New Roman"/>
          <w:sz w:val="24"/>
          <w:szCs w:val="24"/>
        </w:rPr>
        <w:t xml:space="preserve"> at 606, footnote 5.</w:t>
      </w:r>
    </w:p>
  </w:footnote>
  <w:footnote w:id="7">
    <w:p w14:paraId="3AA90C00" w14:textId="49DC1A90" w:rsidR="00CB3ABA" w:rsidRDefault="00CB3ABA" w:rsidP="00CB3AB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8"/>
        </w:tabs>
        <w:rPr>
          <w:sz w:val="24"/>
          <w:szCs w:val="24"/>
        </w:rPr>
      </w:pPr>
      <w:r w:rsidRPr="00B55F06">
        <w:rPr>
          <w:rFonts w:ascii="Times New Roman" w:hAnsi="Times New Roman" w:cs="Times New Roman"/>
          <w:spacing w:val="2"/>
          <w:sz w:val="24"/>
          <w:szCs w:val="24"/>
          <w:vertAlign w:val="superscript"/>
        </w:rPr>
        <w:t>7</w:t>
      </w:r>
      <w:r w:rsidRPr="00B55F06">
        <w:rPr>
          <w:rFonts w:ascii="Times New Roman" w:hAnsi="Times New Roman" w:cs="Times New Roman"/>
          <w:sz w:val="24"/>
          <w:szCs w:val="24"/>
        </w:rPr>
        <w:t xml:space="preserve"> As shown in Appendix 1, prior to 1905, the language was “or … after a lawful entry, are so held or detained unlawfully”. The 1905 revision changed this to “or having peaceably entered, unlawfully </w:t>
      </w:r>
      <w:r w:rsidRPr="00B55F06">
        <w:rPr>
          <w:rFonts w:ascii="Times New Roman" w:hAnsi="Times New Roman" w:cs="Times New Roman"/>
          <w:sz w:val="24"/>
          <w:szCs w:val="24"/>
          <w:u w:val="single"/>
        </w:rPr>
        <w:t>and forcibly</w:t>
      </w:r>
      <w:r w:rsidRPr="00B55F06">
        <w:rPr>
          <w:rFonts w:ascii="Times New Roman" w:hAnsi="Times New Roman" w:cs="Times New Roman"/>
          <w:sz w:val="24"/>
          <w:szCs w:val="24"/>
        </w:rPr>
        <w:t xml:space="preserve"> detains the same”. The 1917 session law removed “and forcibly” so that the statute now read “or having peaceably entered, unlawfully detains the same”. The 1905 change was odd because the 1905 law was part of a recodification of the entire statute book that was not intended to change the law. </w:t>
      </w:r>
      <w:hyperlink r:id="rId8" w:history="1">
        <w:r w:rsidRPr="00B55F06">
          <w:rPr>
            <w:rFonts w:ascii="Times New Roman" w:hAnsi="Times New Roman" w:cs="Times New Roman"/>
            <w:smallCaps/>
            <w:color w:val="0070C0"/>
            <w:sz w:val="24"/>
            <w:szCs w:val="24"/>
            <w:u w:val="single"/>
          </w:rPr>
          <w:t xml:space="preserve">Revised Laws Minnesota 1905, </w:t>
        </w:r>
        <w:r w:rsidRPr="00B55F06">
          <w:rPr>
            <w:rFonts w:ascii="Times New Roman" w:hAnsi="Times New Roman" w:cs="Times New Roman"/>
            <w:color w:val="0070C0"/>
            <w:sz w:val="24"/>
            <w:szCs w:val="24"/>
            <w:u w:val="single"/>
          </w:rPr>
          <w:t>edited and annotated by Mark B. Dunnell (State of Minnesota 1906) Preface at PDF page 3</w:t>
        </w:r>
        <w:r w:rsidRPr="00B55F06">
          <w:rPr>
            <w:rFonts w:ascii="Times New Roman" w:hAnsi="Times New Roman" w:cs="Times New Roman"/>
            <w:smallCaps/>
            <w:sz w:val="24"/>
            <w:szCs w:val="24"/>
          </w:rPr>
          <w:t>.</w:t>
        </w:r>
      </w:hyperlink>
    </w:p>
  </w:footnote>
  <w:footnote w:id="8">
    <w:p w14:paraId="023E2A28" w14:textId="4E65491D" w:rsidR="00CB3ABA" w:rsidRPr="008677F3" w:rsidRDefault="00CB3ABA" w:rsidP="00CB3AB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8"/>
        </w:tabs>
        <w:rPr>
          <w:rFonts w:ascii="Times New Roman" w:hAnsi="Times New Roman" w:cs="Times New Roman"/>
          <w:sz w:val="24"/>
          <w:szCs w:val="24"/>
        </w:rPr>
      </w:pPr>
      <w:r w:rsidRPr="008677F3">
        <w:rPr>
          <w:rFonts w:ascii="Times New Roman" w:hAnsi="Times New Roman" w:cs="Times New Roman"/>
          <w:sz w:val="24"/>
          <w:szCs w:val="24"/>
          <w:vertAlign w:val="superscript"/>
        </w:rPr>
        <w:t>8</w:t>
      </w:r>
      <w:r w:rsidRPr="008677F3">
        <w:rPr>
          <w:rFonts w:ascii="Times New Roman" w:hAnsi="Times New Roman" w:cs="Times New Roman"/>
          <w:sz w:val="24"/>
          <w:szCs w:val="24"/>
        </w:rPr>
        <w:t xml:space="preserve"> In a subsequent case arising out of the same facts, the court held this to be so. </w:t>
      </w:r>
      <w:hyperlink r:id="rId9" w:history="1">
        <w:r w:rsidRPr="008677F3">
          <w:rPr>
            <w:rFonts w:ascii="Times New Roman" w:hAnsi="Times New Roman" w:cs="Times New Roman"/>
            <w:i/>
            <w:iCs/>
            <w:color w:val="0070C0"/>
            <w:sz w:val="24"/>
            <w:szCs w:val="24"/>
            <w:u w:val="single"/>
          </w:rPr>
          <w:t>Berg v. Wiley II</w:t>
        </w:r>
        <w:r w:rsidRPr="008677F3">
          <w:rPr>
            <w:rFonts w:ascii="Times New Roman" w:hAnsi="Times New Roman" w:cs="Times New Roman"/>
            <w:color w:val="0070C0"/>
            <w:sz w:val="24"/>
            <w:szCs w:val="24"/>
            <w:u w:val="single"/>
          </w:rPr>
          <w:t>, 264 N.W.2d 146 (Minn. 1978)</w:t>
        </w:r>
      </w:hyperlink>
      <w:r w:rsidRPr="008677F3">
        <w:rPr>
          <w:rFonts w:ascii="Times New Roman" w:hAnsi="Times New Roman" w:cs="Times New Roman"/>
          <w:sz w:val="24"/>
          <w:szCs w:val="24"/>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ABA"/>
    <w:rsid w:val="00000ECF"/>
    <w:rsid w:val="00275A43"/>
    <w:rsid w:val="003214EE"/>
    <w:rsid w:val="00410637"/>
    <w:rsid w:val="00492E9C"/>
    <w:rsid w:val="00495975"/>
    <w:rsid w:val="004A7D43"/>
    <w:rsid w:val="00513A66"/>
    <w:rsid w:val="00560ED0"/>
    <w:rsid w:val="006556ED"/>
    <w:rsid w:val="006651B6"/>
    <w:rsid w:val="006F54CF"/>
    <w:rsid w:val="00701AA5"/>
    <w:rsid w:val="007D6E77"/>
    <w:rsid w:val="007E41F8"/>
    <w:rsid w:val="00841ECE"/>
    <w:rsid w:val="00842F5E"/>
    <w:rsid w:val="008613E4"/>
    <w:rsid w:val="008677F3"/>
    <w:rsid w:val="009167E3"/>
    <w:rsid w:val="00917247"/>
    <w:rsid w:val="00961E4E"/>
    <w:rsid w:val="009A0876"/>
    <w:rsid w:val="00A2038F"/>
    <w:rsid w:val="00A242D3"/>
    <w:rsid w:val="00A42D0E"/>
    <w:rsid w:val="00A47B2B"/>
    <w:rsid w:val="00AB4D04"/>
    <w:rsid w:val="00B55F06"/>
    <w:rsid w:val="00B710F6"/>
    <w:rsid w:val="00BE77AC"/>
    <w:rsid w:val="00C22419"/>
    <w:rsid w:val="00C639D5"/>
    <w:rsid w:val="00C77023"/>
    <w:rsid w:val="00CB3ABA"/>
    <w:rsid w:val="00D35EA0"/>
    <w:rsid w:val="00EA2EAA"/>
    <w:rsid w:val="00EA789B"/>
    <w:rsid w:val="00F36EB1"/>
    <w:rsid w:val="00FB3157"/>
    <w:rsid w:val="00FC4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F72CB"/>
  <w15:chartTrackingRefBased/>
  <w15:docId w15:val="{B7886C75-0E58-4831-B956-C262AA419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3AB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B3AB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B3AB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B3AB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B3AB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B3A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3A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3A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3A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3AB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B3AB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B3AB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B3AB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B3AB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B3A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3A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3A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3ABA"/>
    <w:rPr>
      <w:rFonts w:eastAsiaTheme="majorEastAsia" w:cstheme="majorBidi"/>
      <w:color w:val="272727" w:themeColor="text1" w:themeTint="D8"/>
    </w:rPr>
  </w:style>
  <w:style w:type="paragraph" w:styleId="Title">
    <w:name w:val="Title"/>
    <w:basedOn w:val="Normal"/>
    <w:next w:val="Normal"/>
    <w:link w:val="TitleChar"/>
    <w:uiPriority w:val="10"/>
    <w:qFormat/>
    <w:rsid w:val="00CB3A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3A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3A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3A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3ABA"/>
    <w:pPr>
      <w:spacing w:before="160"/>
      <w:jc w:val="center"/>
    </w:pPr>
    <w:rPr>
      <w:i/>
      <w:iCs/>
      <w:color w:val="404040" w:themeColor="text1" w:themeTint="BF"/>
    </w:rPr>
  </w:style>
  <w:style w:type="character" w:customStyle="1" w:styleId="QuoteChar">
    <w:name w:val="Quote Char"/>
    <w:basedOn w:val="DefaultParagraphFont"/>
    <w:link w:val="Quote"/>
    <w:uiPriority w:val="29"/>
    <w:rsid w:val="00CB3ABA"/>
    <w:rPr>
      <w:i/>
      <w:iCs/>
      <w:color w:val="404040" w:themeColor="text1" w:themeTint="BF"/>
    </w:rPr>
  </w:style>
  <w:style w:type="paragraph" w:styleId="ListParagraph">
    <w:name w:val="List Paragraph"/>
    <w:basedOn w:val="Normal"/>
    <w:uiPriority w:val="34"/>
    <w:qFormat/>
    <w:rsid w:val="00CB3ABA"/>
    <w:pPr>
      <w:ind w:left="720"/>
      <w:contextualSpacing/>
    </w:pPr>
  </w:style>
  <w:style w:type="character" w:styleId="IntenseEmphasis">
    <w:name w:val="Intense Emphasis"/>
    <w:basedOn w:val="DefaultParagraphFont"/>
    <w:uiPriority w:val="21"/>
    <w:qFormat/>
    <w:rsid w:val="00CB3ABA"/>
    <w:rPr>
      <w:i/>
      <w:iCs/>
      <w:color w:val="2F5496" w:themeColor="accent1" w:themeShade="BF"/>
    </w:rPr>
  </w:style>
  <w:style w:type="paragraph" w:styleId="IntenseQuote">
    <w:name w:val="Intense Quote"/>
    <w:basedOn w:val="Normal"/>
    <w:next w:val="Normal"/>
    <w:link w:val="IntenseQuoteChar"/>
    <w:uiPriority w:val="30"/>
    <w:qFormat/>
    <w:rsid w:val="00CB3AB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B3ABA"/>
    <w:rPr>
      <w:i/>
      <w:iCs/>
      <w:color w:val="2F5496" w:themeColor="accent1" w:themeShade="BF"/>
    </w:rPr>
  </w:style>
  <w:style w:type="character" w:styleId="IntenseReference">
    <w:name w:val="Intense Reference"/>
    <w:basedOn w:val="DefaultParagraphFont"/>
    <w:uiPriority w:val="32"/>
    <w:qFormat/>
    <w:rsid w:val="00CB3ABA"/>
    <w:rPr>
      <w:b/>
      <w:bCs/>
      <w:smallCaps/>
      <w:color w:val="2F5496" w:themeColor="accent1" w:themeShade="BF"/>
      <w:spacing w:val="5"/>
    </w:rPr>
  </w:style>
  <w:style w:type="character" w:styleId="Hyperlink">
    <w:name w:val="Hyperlink"/>
    <w:basedOn w:val="DefaultParagraphFont"/>
    <w:uiPriority w:val="99"/>
    <w:unhideWhenUsed/>
    <w:rsid w:val="00CB3ABA"/>
    <w:rPr>
      <w:color w:val="0563C1" w:themeColor="hyperlink"/>
      <w:u w:val="single"/>
    </w:rPr>
  </w:style>
  <w:style w:type="character" w:styleId="UnresolvedMention">
    <w:name w:val="Unresolved Mention"/>
    <w:basedOn w:val="DefaultParagraphFont"/>
    <w:uiPriority w:val="99"/>
    <w:semiHidden/>
    <w:unhideWhenUsed/>
    <w:rsid w:val="00CB3ABA"/>
    <w:rPr>
      <w:color w:val="605E5C"/>
      <w:shd w:val="clear" w:color="auto" w:fill="E1DFDD"/>
    </w:rPr>
  </w:style>
  <w:style w:type="paragraph" w:styleId="Header">
    <w:name w:val="header"/>
    <w:basedOn w:val="Normal"/>
    <w:link w:val="HeaderChar"/>
    <w:uiPriority w:val="99"/>
    <w:unhideWhenUsed/>
    <w:rsid w:val="00B55F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5F06"/>
  </w:style>
  <w:style w:type="paragraph" w:styleId="Footer">
    <w:name w:val="footer"/>
    <w:basedOn w:val="Normal"/>
    <w:link w:val="FooterChar"/>
    <w:uiPriority w:val="99"/>
    <w:unhideWhenUsed/>
    <w:rsid w:val="00B55F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5F06"/>
  </w:style>
  <w:style w:type="character" w:styleId="FollowedHyperlink">
    <w:name w:val="FollowedHyperlink"/>
    <w:basedOn w:val="DefaultParagraphFont"/>
    <w:uiPriority w:val="99"/>
    <w:semiHidden/>
    <w:unhideWhenUsed/>
    <w:rsid w:val="009A087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8679138">
      <w:bodyDiv w:val="1"/>
      <w:marLeft w:val="0"/>
      <w:marRight w:val="0"/>
      <w:marTop w:val="0"/>
      <w:marBottom w:val="0"/>
      <w:divBdr>
        <w:top w:val="none" w:sz="0" w:space="0" w:color="auto"/>
        <w:left w:val="none" w:sz="0" w:space="0" w:color="auto"/>
        <w:bottom w:val="none" w:sz="0" w:space="0" w:color="auto"/>
        <w:right w:val="none" w:sz="0" w:space="0" w:color="auto"/>
      </w:divBdr>
    </w:div>
    <w:div w:id="1226794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bel.hathitrust.org/cgi/pt?id=wu.89096048889&amp;view=image&amp;seq=625" TargetMode="External"/><Relationship Id="rId13" Type="http://schemas.openxmlformats.org/officeDocument/2006/relationships/hyperlink" Target="https://www.google.com/books/edition/Wisconsin_Reports/pzvTAAAAMAAJ?hl=en&amp;gbpv=1&amp;dq=%22Winterfield+vs.+Stauss%22+wisconsin+1869&amp;pg=PA397&amp;printsec=frontcover" TargetMode="External"/><Relationship Id="rId18" Type="http://schemas.openxmlformats.org/officeDocument/2006/relationships/hyperlink" Target="https://scholar.google.com/scholar_case?case=17047075130046818808&amp;hl=en&amp;as_sdt=6,24" TargetMode="External"/><Relationship Id="rId26" Type="http://schemas.openxmlformats.org/officeDocument/2006/relationships/hyperlink" Target="https://www.revisor.mn.gov/laws/1989/0/Session+Law/Chapter/305/" TargetMode="External"/><Relationship Id="rId3" Type="http://schemas.openxmlformats.org/officeDocument/2006/relationships/webSettings" Target="webSettings.xml"/><Relationship Id="rId21" Type="http://schemas.openxmlformats.org/officeDocument/2006/relationships/hyperlink" Target="https://scholar.google.com/scholar_case?case=17047075130046818808&amp;hl=en&amp;as_sdt=6,24" TargetMode="External"/><Relationship Id="rId34" Type="http://schemas.openxmlformats.org/officeDocument/2006/relationships/hyperlink" Target="https://www.revisor.mn.gov/laws/2023/0/52/" TargetMode="External"/><Relationship Id="rId7" Type="http://schemas.openxmlformats.org/officeDocument/2006/relationships/hyperlink" Target="https://www.revisor.mn.gov/statutes/1858/cite/77/pdf" TargetMode="External"/><Relationship Id="rId12" Type="http://schemas.openxmlformats.org/officeDocument/2006/relationships/hyperlink" Target="https://www.google.com/books/edition/Reports_of_Cases_Argued_and_Determined_i/Kv8aAAAAYAAJ?hl=en&amp;gbpv=1&amp;dq=james+ferrell+antoine+lamar+milwaukee+mere+trespass&amp;pg=PA8&amp;printsec=frontcover" TargetMode="External"/><Relationship Id="rId17" Type="http://schemas.openxmlformats.org/officeDocument/2006/relationships/hyperlink" Target="https://scholar.google.com/scholar_case?case=14658715852946323382&amp;hl=en&amp;as_sdt=6,24" TargetMode="External"/><Relationship Id="rId25" Type="http://schemas.openxmlformats.org/officeDocument/2006/relationships/hyperlink" Target="https://www.revisor.mn.gov/laws/?id=222&amp;year=1993&amp;type=0" TargetMode="External"/><Relationship Id="rId33" Type="http://schemas.openxmlformats.org/officeDocument/2006/relationships/hyperlink" Target="https://birnberglegalwebsite.files.wordpress.com/2020/08/andrew-dawkins-1989-hf-159-files.pdf" TargetMode="External"/><Relationship Id="rId2" Type="http://schemas.openxmlformats.org/officeDocument/2006/relationships/settings" Target="settings.xml"/><Relationship Id="rId16" Type="http://schemas.openxmlformats.org/officeDocument/2006/relationships/hyperlink" Target="https://www.courtlistener.com/opinion/3540697/mutual-trust-life-insurance-co-v-berg/" TargetMode="External"/><Relationship Id="rId20" Type="http://schemas.openxmlformats.org/officeDocument/2006/relationships/hyperlink" Target="https://scholar.google.com/scholar_case?case=14658715852946323382&amp;hl=en&amp;as_sdt=6,24" TargetMode="External"/><Relationship Id="rId29" Type="http://schemas.openxmlformats.org/officeDocument/2006/relationships/hyperlink" Target="https://birnberglegalwebsite.files.wordpress.com/2020/08/andrew-dawkins-1989-hf-159-files.pdf" TargetMode="External"/><Relationship Id="rId1" Type="http://schemas.openxmlformats.org/officeDocument/2006/relationships/styles" Target="styles.xml"/><Relationship Id="rId6" Type="http://schemas.openxmlformats.org/officeDocument/2006/relationships/hyperlink" Target="https://birnberglegalwebsite.wordpress.com/wp-content/uploads/2025/02/appendix-1a-for-504b.301-blog.pdf" TargetMode="External"/><Relationship Id="rId11" Type="http://schemas.openxmlformats.org/officeDocument/2006/relationships/hyperlink" Target="https://www.google.com/books/edition/Wisconsin_Reports/REtMAQAAMAAJ?hl=en&amp;gbpv=1&amp;dq=gates+winslow+555+detainer+vex+harass&amp;pg=PA555&amp;printsec=frontcover" TargetMode="External"/><Relationship Id="rId24" Type="http://schemas.openxmlformats.org/officeDocument/2006/relationships/hyperlink" Target="https://scholar.google.com/scholar_case?case=4592957635925929273&amp;q=acquiesced+legislature+ogg&amp;hl=en&amp;as_sdt=4,24" TargetMode="External"/><Relationship Id="rId32" Type="http://schemas.openxmlformats.org/officeDocument/2006/relationships/hyperlink" Target="https://birnberglegalwebsite.files.wordpress.com/2020/08/andrew-dawkins-1989-hf-159-files.pdf" TargetMode="External"/><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www.google.com/books/edition/Minnesota_Reports/pPFHAQAAMAAJ?hl=en&amp;gbpv=1&amp;dq=mastin+may+1914+court&amp;pg=PA93&amp;printsec=frontcover." TargetMode="External"/><Relationship Id="rId23" Type="http://schemas.openxmlformats.org/officeDocument/2006/relationships/hyperlink" Target="https://scholar.google.com/scholar_case?case=14658715852946323382&amp;hl=en&amp;as_sdt=6,24" TargetMode="External"/><Relationship Id="rId28" Type="http://schemas.openxmlformats.org/officeDocument/2006/relationships/hyperlink" Target="https://birnberglegalwebsite.files.wordpress.com/2020/08/legislative-history-1989-minn-laws-ch-305-hf-159.pdf" TargetMode="External"/><Relationship Id="rId36" Type="http://schemas.openxmlformats.org/officeDocument/2006/relationships/fontTable" Target="fontTable.xml"/><Relationship Id="rId10" Type="http://schemas.openxmlformats.org/officeDocument/2006/relationships/hyperlink" Target="https://www.google.com/books/edition/Reports_of_Cases_Argued_and_Determined_i/Kv8aAAAAYAAJ?hl=en&amp;gbpv=1&amp;dq=james+ferrell+antoine+lamar+milwaukee+mere+trespass&amp;pg=PA8&amp;printsec=frontcover" TargetMode="External"/><Relationship Id="rId19" Type="http://schemas.openxmlformats.org/officeDocument/2006/relationships/hyperlink" Target="https://www.courtlistener.com/opinion/3540697/mutual-trust-life-insurance-co-v-berg/" TargetMode="External"/><Relationship Id="rId31" Type="http://schemas.openxmlformats.org/officeDocument/2006/relationships/hyperlink" Target="https://birnberglegalwebsite.files.wordpress.com/2020/08/andrew-dawkins-1989-hf-159-files.pdf" TargetMode="External"/><Relationship Id="rId4" Type="http://schemas.openxmlformats.org/officeDocument/2006/relationships/footnotes" Target="footnotes.xml"/><Relationship Id="rId9" Type="http://schemas.openxmlformats.org/officeDocument/2006/relationships/hyperlink" Target="https://www.google.com/books/edition/Wisconsin_Reports/REtMAQAAMAAJ?hl=en&amp;gbpv=1&amp;dq=gates+winslow+555+detainer+vex+harass&amp;pg=PA555&amp;printsec=frontcover" TargetMode="External"/><Relationship Id="rId14" Type="http://schemas.openxmlformats.org/officeDocument/2006/relationships/hyperlink" Target="https://www.google.com/books/edition/Minnesota_Reports/kzAtAQAAMAAJ?hl=en&amp;gbpv=1&amp;dq=Davis+Woodward+court+1872&amp;pg=PA175&amp;printsec=frontcover" TargetMode="External"/><Relationship Id="rId22" Type="http://schemas.openxmlformats.org/officeDocument/2006/relationships/hyperlink" Target="https://www.courtlistener.com/opinion/3540697/mutual-trust-life-insurance-co-v-berg/" TargetMode="External"/><Relationship Id="rId27" Type="http://schemas.openxmlformats.org/officeDocument/2006/relationships/hyperlink" Target="https://www.revisor.mn.gov/laws/1989/0/Session+Law/Chapter/305/" TargetMode="External"/><Relationship Id="rId30" Type="http://schemas.openxmlformats.org/officeDocument/2006/relationships/hyperlink" Target="https://birnberglegalwebsite.files.wordpress.com/2020/08/andrew-dawkins-1989-hf-159-files.pdf" TargetMode="External"/><Relationship Id="rId35"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google.com/books/edition/Revised_Laws_Minnesota_1905/IQFQAAAAYAAJ?hl=en&amp;gbpv=1&amp;dq=REVISED+LAWS+MINNESOTA+1905&amp;printsec=frontcover" TargetMode="External"/><Relationship Id="rId3" Type="http://schemas.openxmlformats.org/officeDocument/2006/relationships/hyperlink" Target="https://scholar.google.com/scholar_case?case=13254970390805861187&amp;hl=en&amp;as_sdt=6,24" TargetMode="External"/><Relationship Id="rId7" Type="http://schemas.openxmlformats.org/officeDocument/2006/relationships/hyperlink" Target="https://www.google.com/books/edition/A_Treatise_on_the_American_Law_of_Landlo/JL82AQAAMAAJ?hl=en&amp;gbpv=1&amp;dq=a+treatise+on+the+american+law+of+landlord+and+tenant+taylor&amp;printsec=frontcover" TargetMode="External"/><Relationship Id="rId2" Type="http://schemas.openxmlformats.org/officeDocument/2006/relationships/hyperlink" Target="https://www.revisor.mn.gov/statutes/" TargetMode="External"/><Relationship Id="rId1" Type="http://schemas.openxmlformats.org/officeDocument/2006/relationships/hyperlink" Target="https://scholar.google.com/scholar_case?case=1495131239160645232&amp;q=unlawful+detainer+injunction&amp;hl=en&amp;as_sdt=4,24" TargetMode="External"/><Relationship Id="rId6" Type="http://schemas.openxmlformats.org/officeDocument/2006/relationships/hyperlink" Target="http://www.nysl.nysed.gov/scandocs/laws.htm" TargetMode="External"/><Relationship Id="rId5" Type="http://schemas.openxmlformats.org/officeDocument/2006/relationships/hyperlink" Target="https://www.google.com/books/edition/A_Treatise_on_the_American_Law_of_Landlo/JL82AQAAMAAJ?hl=en&amp;gbpv=1&amp;dq=a+treatise+on+the+american+law+of+landlord+and+tenant+taylor&amp;printsec=frontcover" TargetMode="External"/><Relationship Id="rId4" Type="http://schemas.openxmlformats.org/officeDocument/2006/relationships/hyperlink" Target="https://www.google.com/books/edition/Minnesota_Reports/ifBHAQAAMAAJ?hl=en&amp;gbpv=1&amp;dq=Washburn+v.+Van+Steenwyk,&amp;pg=PR9&amp;printsec=frontcover" TargetMode="External"/><Relationship Id="rId9" Type="http://schemas.openxmlformats.org/officeDocument/2006/relationships/hyperlink" Target="https://scholar.google.com/scholar_case?case=17047075130046818808&amp;hl=en&amp;as_sdt=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7</Pages>
  <Words>2928</Words>
  <Characters>16693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28</cp:revision>
  <dcterms:created xsi:type="dcterms:W3CDTF">2025-02-24T03:07:00Z</dcterms:created>
  <dcterms:modified xsi:type="dcterms:W3CDTF">2025-02-25T15:04:00Z</dcterms:modified>
</cp:coreProperties>
</file>