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D7C461" w14:textId="13207906" w:rsidR="00D70D2C" w:rsidRPr="00D70D2C" w:rsidRDefault="00D70D2C" w:rsidP="00136DFF">
      <w:pPr>
        <w:jc w:val="center"/>
        <w:rPr>
          <w:rFonts w:ascii="Times New Roman" w:hAnsi="Times New Roman" w:cs="Times New Roman"/>
          <w:b/>
          <w:bCs/>
          <w:color w:val="000000" w:themeColor="text1"/>
          <w:sz w:val="32"/>
          <w:szCs w:val="32"/>
          <w:u w:val="single"/>
        </w:rPr>
      </w:pPr>
      <w:r w:rsidRPr="00D70D2C">
        <w:rPr>
          <w:rFonts w:ascii="Times New Roman" w:hAnsi="Times New Roman" w:cs="Times New Roman"/>
          <w:b/>
          <w:bCs/>
          <w:color w:val="000000" w:themeColor="text1"/>
          <w:sz w:val="32"/>
          <w:szCs w:val="32"/>
          <w:u w:val="single"/>
        </w:rPr>
        <w:t>When Can the Tenant Sue for</w:t>
      </w:r>
      <w:r w:rsidR="00AA1F5D">
        <w:rPr>
          <w:rFonts w:ascii="Times New Roman" w:hAnsi="Times New Roman" w:cs="Times New Roman"/>
          <w:b/>
          <w:bCs/>
          <w:color w:val="000000" w:themeColor="text1"/>
          <w:sz w:val="32"/>
          <w:szCs w:val="32"/>
          <w:u w:val="single"/>
        </w:rPr>
        <w:t xml:space="preserve"> “Doubling</w:t>
      </w:r>
      <w:r w:rsidR="0020478A">
        <w:rPr>
          <w:rFonts w:ascii="Times New Roman" w:hAnsi="Times New Roman" w:cs="Times New Roman"/>
          <w:b/>
          <w:bCs/>
          <w:color w:val="000000" w:themeColor="text1"/>
          <w:sz w:val="32"/>
          <w:szCs w:val="32"/>
          <w:u w:val="single"/>
        </w:rPr>
        <w:t>-</w:t>
      </w:r>
      <w:r w:rsidR="00AA1F5D">
        <w:rPr>
          <w:rFonts w:ascii="Times New Roman" w:hAnsi="Times New Roman" w:cs="Times New Roman"/>
          <w:b/>
          <w:bCs/>
          <w:color w:val="000000" w:themeColor="text1"/>
          <w:sz w:val="32"/>
          <w:szCs w:val="32"/>
          <w:u w:val="single"/>
        </w:rPr>
        <w:t>Penalty”</w:t>
      </w:r>
      <w:r w:rsidRPr="00D70D2C">
        <w:rPr>
          <w:rFonts w:ascii="Times New Roman" w:hAnsi="Times New Roman" w:cs="Times New Roman"/>
          <w:b/>
          <w:bCs/>
          <w:color w:val="000000" w:themeColor="text1"/>
          <w:sz w:val="32"/>
          <w:szCs w:val="32"/>
          <w:u w:val="single"/>
        </w:rPr>
        <w:t xml:space="preserve"> Damages </w:t>
      </w:r>
      <w:r w:rsidR="00474BBC">
        <w:rPr>
          <w:rFonts w:ascii="Times New Roman" w:hAnsi="Times New Roman" w:cs="Times New Roman"/>
          <w:b/>
          <w:bCs/>
          <w:color w:val="000000" w:themeColor="text1"/>
          <w:sz w:val="32"/>
          <w:szCs w:val="32"/>
          <w:u w:val="single"/>
        </w:rPr>
        <w:t>per</w:t>
      </w:r>
      <w:r w:rsidRPr="00D70D2C">
        <w:rPr>
          <w:rFonts w:ascii="Times New Roman" w:hAnsi="Times New Roman" w:cs="Times New Roman"/>
          <w:b/>
          <w:bCs/>
          <w:color w:val="000000" w:themeColor="text1"/>
          <w:sz w:val="32"/>
          <w:szCs w:val="32"/>
          <w:u w:val="single"/>
        </w:rPr>
        <w:t xml:space="preserve"> Minn. Stat. § 504B.178, subd. 4(3)</w:t>
      </w:r>
      <w:r w:rsidR="000F04AC">
        <w:rPr>
          <w:rFonts w:ascii="Times New Roman" w:hAnsi="Times New Roman" w:cs="Times New Roman"/>
          <w:b/>
          <w:bCs/>
          <w:color w:val="000000" w:themeColor="text1"/>
          <w:sz w:val="32"/>
          <w:szCs w:val="32"/>
          <w:u w:val="single"/>
        </w:rPr>
        <w:t xml:space="preserve"> or </w:t>
      </w:r>
      <w:r w:rsidRPr="00D70D2C">
        <w:rPr>
          <w:rFonts w:ascii="Times New Roman" w:hAnsi="Times New Roman" w:cs="Times New Roman"/>
          <w:b/>
          <w:bCs/>
          <w:color w:val="000000" w:themeColor="text1"/>
          <w:sz w:val="32"/>
          <w:szCs w:val="32"/>
          <w:u w:val="single"/>
        </w:rPr>
        <w:t>(4)? The Statute is Unclear and Legislative History Does Not Resolve the Ambi</w:t>
      </w:r>
      <w:r w:rsidR="00C900D6">
        <w:rPr>
          <w:rFonts w:ascii="Times New Roman" w:hAnsi="Times New Roman" w:cs="Times New Roman"/>
          <w:b/>
          <w:bCs/>
          <w:color w:val="000000" w:themeColor="text1"/>
          <w:sz w:val="32"/>
          <w:szCs w:val="32"/>
          <w:u w:val="single"/>
        </w:rPr>
        <w:t>g</w:t>
      </w:r>
      <w:r w:rsidRPr="00D70D2C">
        <w:rPr>
          <w:rFonts w:ascii="Times New Roman" w:hAnsi="Times New Roman" w:cs="Times New Roman"/>
          <w:b/>
          <w:bCs/>
          <w:color w:val="000000" w:themeColor="text1"/>
          <w:sz w:val="32"/>
          <w:szCs w:val="32"/>
          <w:u w:val="single"/>
        </w:rPr>
        <w:t>uities.</w:t>
      </w:r>
    </w:p>
    <w:p w14:paraId="09AC25CE" w14:textId="77777777" w:rsidR="00136DFF" w:rsidRDefault="00136DFF" w:rsidP="00136DFF">
      <w:pPr>
        <w:jc w:val="center"/>
        <w:rPr>
          <w:rFonts w:ascii="Times New Roman" w:hAnsi="Times New Roman" w:cs="Times New Roman"/>
          <w:b/>
          <w:bCs/>
          <w:color w:val="000000" w:themeColor="text1"/>
          <w:sz w:val="22"/>
          <w:szCs w:val="22"/>
          <w:u w:val="single"/>
        </w:rPr>
      </w:pPr>
      <w:r>
        <w:rPr>
          <w:rFonts w:ascii="Times New Roman" w:hAnsi="Times New Roman" w:cs="Times New Roman"/>
          <w:b/>
          <w:bCs/>
          <w:color w:val="000000" w:themeColor="text1"/>
          <w:sz w:val="22"/>
          <w:szCs w:val="22"/>
          <w:u w:val="single"/>
        </w:rPr>
        <w:br w:type="page"/>
      </w:r>
    </w:p>
    <w:p w14:paraId="4426FF63" w14:textId="34144BC9" w:rsidR="007441FE" w:rsidRPr="00B708D1" w:rsidRDefault="007441FE" w:rsidP="00136DFF">
      <w:pPr>
        <w:jc w:val="center"/>
        <w:rPr>
          <w:rFonts w:ascii="Times New Roman" w:hAnsi="Times New Roman" w:cs="Times New Roman"/>
          <w:b/>
          <w:bCs/>
          <w:color w:val="000000" w:themeColor="text1"/>
          <w:sz w:val="22"/>
          <w:szCs w:val="22"/>
          <w:u w:val="single"/>
        </w:rPr>
      </w:pPr>
      <w:r w:rsidRPr="00B708D1">
        <w:rPr>
          <w:rFonts w:ascii="Times New Roman" w:hAnsi="Times New Roman" w:cs="Times New Roman"/>
          <w:b/>
          <w:bCs/>
          <w:color w:val="000000" w:themeColor="text1"/>
          <w:sz w:val="22"/>
          <w:szCs w:val="22"/>
          <w:u w:val="single"/>
        </w:rPr>
        <w:lastRenderedPageBreak/>
        <w:t>TABLE OF CONTENTS</w:t>
      </w:r>
    </w:p>
    <w:p w14:paraId="27204219" w14:textId="050D079B" w:rsidR="007441FE" w:rsidRPr="00B708D1" w:rsidRDefault="007441FE" w:rsidP="007441FE">
      <w:pPr>
        <w:rPr>
          <w:rFonts w:ascii="Times New Roman" w:hAnsi="Times New Roman" w:cs="Times New Roman"/>
          <w:b/>
          <w:bCs/>
          <w:caps/>
          <w:color w:val="000000" w:themeColor="text1"/>
          <w:sz w:val="22"/>
          <w:szCs w:val="22"/>
        </w:rPr>
      </w:pPr>
      <w:r w:rsidRPr="00B708D1">
        <w:rPr>
          <w:rFonts w:ascii="Times New Roman" w:hAnsi="Times New Roman" w:cs="Times New Roman"/>
          <w:b/>
          <w:bCs/>
          <w:caps/>
          <w:color w:val="000000" w:themeColor="text1"/>
          <w:sz w:val="22"/>
          <w:szCs w:val="22"/>
        </w:rPr>
        <w:t>I. The doubling-penalty provision in the security-deposit statut</w:t>
      </w:r>
      <w:r w:rsidR="0020478A">
        <w:rPr>
          <w:rFonts w:ascii="Times New Roman" w:hAnsi="Times New Roman" w:cs="Times New Roman"/>
          <w:b/>
          <w:bCs/>
          <w:caps/>
          <w:color w:val="000000" w:themeColor="text1"/>
          <w:sz w:val="22"/>
          <w:szCs w:val="22"/>
        </w:rPr>
        <w:t>E</w:t>
      </w:r>
      <w:r w:rsidR="00466905">
        <w:rPr>
          <w:rFonts w:ascii="Times New Roman" w:hAnsi="Times New Roman" w:cs="Times New Roman"/>
          <w:b/>
          <w:bCs/>
          <w:caps/>
          <w:color w:val="000000" w:themeColor="text1"/>
          <w:sz w:val="22"/>
          <w:szCs w:val="22"/>
        </w:rPr>
        <w:t xml:space="preserve"> </w:t>
      </w:r>
      <w:r w:rsidR="00940298">
        <w:rPr>
          <w:rFonts w:ascii="Times New Roman" w:hAnsi="Times New Roman" w:cs="Times New Roman"/>
          <w:b/>
          <w:bCs/>
          <w:caps/>
          <w:color w:val="000000" w:themeColor="text1"/>
          <w:sz w:val="22"/>
          <w:szCs w:val="22"/>
        </w:rPr>
        <w:t xml:space="preserve">          </w:t>
      </w:r>
      <w:r w:rsidR="00466905" w:rsidRPr="007540A7">
        <w:rPr>
          <w:rFonts w:ascii="Times New Roman" w:hAnsi="Times New Roman" w:cs="Times New Roman"/>
          <w:i/>
          <w:iCs/>
          <w:color w:val="EE0000"/>
          <w:sz w:val="22"/>
          <w:szCs w:val="22"/>
        </w:rPr>
        <w:t xml:space="preserve">page </w:t>
      </w:r>
      <w:r w:rsidR="0023538A">
        <w:rPr>
          <w:rFonts w:ascii="Times New Roman" w:hAnsi="Times New Roman" w:cs="Times New Roman"/>
          <w:i/>
          <w:iCs/>
          <w:color w:val="EE0000"/>
          <w:sz w:val="22"/>
          <w:szCs w:val="22"/>
        </w:rPr>
        <w:t>3</w:t>
      </w:r>
    </w:p>
    <w:p w14:paraId="1B94775A" w14:textId="70EC7AEB" w:rsidR="007441FE" w:rsidRPr="00B708D1" w:rsidRDefault="007441FE" w:rsidP="007441FE">
      <w:pPr>
        <w:rPr>
          <w:rFonts w:ascii="Times New Roman" w:hAnsi="Times New Roman" w:cs="Times New Roman"/>
          <w:b/>
          <w:bCs/>
          <w:caps/>
          <w:color w:val="000000" w:themeColor="text1"/>
          <w:sz w:val="22"/>
          <w:szCs w:val="22"/>
        </w:rPr>
      </w:pPr>
      <w:r w:rsidRPr="00B708D1">
        <w:rPr>
          <w:rFonts w:ascii="Times New Roman" w:hAnsi="Times New Roman" w:cs="Times New Roman"/>
          <w:b/>
          <w:bCs/>
          <w:caps/>
          <w:color w:val="000000" w:themeColor="text1"/>
          <w:sz w:val="22"/>
          <w:szCs w:val="22"/>
        </w:rPr>
        <w:t xml:space="preserve">II. The doubling-penalty provision applies to three types of breaches </w:t>
      </w:r>
      <w:r w:rsidR="00466905" w:rsidRPr="007540A7">
        <w:rPr>
          <w:rFonts w:ascii="Times New Roman" w:hAnsi="Times New Roman" w:cs="Times New Roman"/>
          <w:i/>
          <w:iCs/>
          <w:color w:val="EE0000"/>
          <w:sz w:val="22"/>
          <w:szCs w:val="22"/>
        </w:rPr>
        <w:t xml:space="preserve">page </w:t>
      </w:r>
      <w:r w:rsidR="0023538A">
        <w:rPr>
          <w:rFonts w:ascii="Times New Roman" w:hAnsi="Times New Roman" w:cs="Times New Roman"/>
          <w:i/>
          <w:iCs/>
          <w:color w:val="EE0000"/>
          <w:sz w:val="22"/>
          <w:szCs w:val="22"/>
        </w:rPr>
        <w:t>3</w:t>
      </w:r>
    </w:p>
    <w:p w14:paraId="29B36900" w14:textId="624FA2BC" w:rsidR="007441FE" w:rsidRPr="00B708D1" w:rsidRDefault="007441FE" w:rsidP="007441FE">
      <w:pPr>
        <w:rPr>
          <w:rFonts w:ascii="Times New Roman" w:hAnsi="Times New Roman" w:cs="Times New Roman"/>
          <w:b/>
          <w:bCs/>
          <w:caps/>
          <w:color w:val="000000" w:themeColor="text1"/>
          <w:sz w:val="22"/>
          <w:szCs w:val="22"/>
        </w:rPr>
      </w:pPr>
      <w:r w:rsidRPr="00B708D1">
        <w:rPr>
          <w:rFonts w:ascii="Times New Roman" w:hAnsi="Times New Roman" w:cs="Times New Roman"/>
          <w:b/>
          <w:bCs/>
          <w:caps/>
          <w:color w:val="000000" w:themeColor="text1"/>
          <w:sz w:val="22"/>
          <w:szCs w:val="22"/>
        </w:rPr>
        <w:t>III. When does the right to sue for the doubling-penalty for each type of breach</w:t>
      </w:r>
      <w:r w:rsidR="001F6FA9">
        <w:rPr>
          <w:rFonts w:ascii="Times New Roman" w:hAnsi="Times New Roman" w:cs="Times New Roman"/>
          <w:b/>
          <w:bCs/>
          <w:caps/>
          <w:color w:val="000000" w:themeColor="text1"/>
          <w:sz w:val="22"/>
          <w:szCs w:val="22"/>
        </w:rPr>
        <w:t xml:space="preserve"> VEST</w:t>
      </w:r>
      <w:r w:rsidRPr="00B708D1">
        <w:rPr>
          <w:rFonts w:ascii="Times New Roman" w:hAnsi="Times New Roman" w:cs="Times New Roman"/>
          <w:b/>
          <w:bCs/>
          <w:caps/>
          <w:color w:val="000000" w:themeColor="text1"/>
          <w:sz w:val="22"/>
          <w:szCs w:val="22"/>
        </w:rPr>
        <w:t xml:space="preserve">? </w:t>
      </w:r>
      <w:r w:rsidR="00466905"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5</w:t>
      </w:r>
    </w:p>
    <w:p w14:paraId="62CFEC68" w14:textId="6CA0C67C" w:rsidR="007441FE" w:rsidRPr="00B708D1" w:rsidRDefault="007441FE" w:rsidP="007441FE">
      <w:pPr>
        <w:ind w:firstLine="720"/>
        <w:jc w:val="both"/>
        <w:rPr>
          <w:rFonts w:ascii="Times New Roman" w:hAnsi="Times New Roman" w:cs="Times New Roman"/>
          <w:b/>
          <w:bCs/>
          <w:color w:val="000000" w:themeColor="text1"/>
          <w:sz w:val="22"/>
          <w:szCs w:val="22"/>
          <w:u w:val="single"/>
        </w:rPr>
      </w:pPr>
      <w:r w:rsidRPr="00B708D1">
        <w:rPr>
          <w:rFonts w:ascii="Times New Roman" w:hAnsi="Times New Roman" w:cs="Times New Roman"/>
          <w:b/>
          <w:bCs/>
          <w:color w:val="000000" w:themeColor="text1"/>
          <w:sz w:val="22"/>
          <w:szCs w:val="22"/>
          <w:u w:val="single"/>
        </w:rPr>
        <w:t>A.</w:t>
      </w:r>
      <w:r w:rsidR="001E14BA">
        <w:rPr>
          <w:rFonts w:ascii="Times New Roman" w:hAnsi="Times New Roman" w:cs="Times New Roman"/>
          <w:b/>
          <w:bCs/>
          <w:color w:val="000000" w:themeColor="text1"/>
          <w:sz w:val="22"/>
          <w:szCs w:val="22"/>
          <w:u w:val="single"/>
        </w:rPr>
        <w:t xml:space="preserve"> </w:t>
      </w:r>
      <w:r w:rsidRPr="00B708D1">
        <w:rPr>
          <w:rFonts w:ascii="Times New Roman" w:hAnsi="Times New Roman" w:cs="Times New Roman"/>
          <w:b/>
          <w:bCs/>
          <w:color w:val="000000" w:themeColor="text1"/>
          <w:sz w:val="22"/>
          <w:szCs w:val="22"/>
          <w:u w:val="single"/>
        </w:rPr>
        <w:t>Time to Sue for a Type-A Failure</w:t>
      </w:r>
      <w:r w:rsidR="00466905">
        <w:rPr>
          <w:rFonts w:ascii="Times New Roman" w:hAnsi="Times New Roman" w:cs="Times New Roman"/>
          <w:color w:val="EE0000"/>
          <w:sz w:val="22"/>
          <w:szCs w:val="22"/>
        </w:rPr>
        <w:t xml:space="preserve"> </w:t>
      </w:r>
      <w:r w:rsidR="00466905"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5</w:t>
      </w:r>
    </w:p>
    <w:p w14:paraId="59D8B106" w14:textId="5765760E" w:rsidR="00466905" w:rsidRPr="00B708D1" w:rsidRDefault="00466905" w:rsidP="00466905">
      <w:pPr>
        <w:ind w:firstLine="720"/>
        <w:jc w:val="both"/>
        <w:rPr>
          <w:rFonts w:ascii="Times New Roman" w:hAnsi="Times New Roman" w:cs="Times New Roman"/>
          <w:b/>
          <w:bCs/>
          <w:color w:val="000000" w:themeColor="text1"/>
          <w:sz w:val="22"/>
          <w:szCs w:val="22"/>
          <w:u w:val="single"/>
        </w:rPr>
      </w:pPr>
      <w:r>
        <w:rPr>
          <w:rFonts w:ascii="Times New Roman" w:hAnsi="Times New Roman" w:cs="Times New Roman"/>
          <w:b/>
          <w:bCs/>
          <w:color w:val="000000" w:themeColor="text1"/>
          <w:sz w:val="22"/>
          <w:szCs w:val="22"/>
          <w:u w:val="single"/>
        </w:rPr>
        <w:t>B</w:t>
      </w:r>
      <w:r w:rsidRPr="00B708D1">
        <w:rPr>
          <w:rFonts w:ascii="Times New Roman" w:hAnsi="Times New Roman" w:cs="Times New Roman"/>
          <w:b/>
          <w:bCs/>
          <w:color w:val="000000" w:themeColor="text1"/>
          <w:sz w:val="22"/>
          <w:szCs w:val="22"/>
          <w:u w:val="single"/>
        </w:rPr>
        <w:t>.</w:t>
      </w:r>
      <w:r w:rsidR="001E14BA">
        <w:rPr>
          <w:rFonts w:ascii="Times New Roman" w:hAnsi="Times New Roman" w:cs="Times New Roman"/>
          <w:b/>
          <w:bCs/>
          <w:color w:val="000000" w:themeColor="text1"/>
          <w:sz w:val="22"/>
          <w:szCs w:val="22"/>
          <w:u w:val="single"/>
        </w:rPr>
        <w:t xml:space="preserve"> </w:t>
      </w:r>
      <w:r w:rsidRPr="00B708D1">
        <w:rPr>
          <w:rFonts w:ascii="Times New Roman" w:hAnsi="Times New Roman" w:cs="Times New Roman"/>
          <w:b/>
          <w:bCs/>
          <w:color w:val="000000" w:themeColor="text1"/>
          <w:sz w:val="22"/>
          <w:szCs w:val="22"/>
          <w:u w:val="single"/>
        </w:rPr>
        <w:t>Time to Sue for a Type-</w:t>
      </w:r>
      <w:r>
        <w:rPr>
          <w:rFonts w:ascii="Times New Roman" w:hAnsi="Times New Roman" w:cs="Times New Roman"/>
          <w:b/>
          <w:bCs/>
          <w:color w:val="000000" w:themeColor="text1"/>
          <w:sz w:val="22"/>
          <w:szCs w:val="22"/>
          <w:u w:val="single"/>
        </w:rPr>
        <w:t>B</w:t>
      </w:r>
      <w:r w:rsidRPr="00B708D1">
        <w:rPr>
          <w:rFonts w:ascii="Times New Roman" w:hAnsi="Times New Roman" w:cs="Times New Roman"/>
          <w:b/>
          <w:bCs/>
          <w:color w:val="000000" w:themeColor="text1"/>
          <w:sz w:val="22"/>
          <w:szCs w:val="22"/>
          <w:u w:val="single"/>
        </w:rPr>
        <w:t xml:space="preserve"> Failure</w:t>
      </w:r>
      <w:r>
        <w:rPr>
          <w:rFonts w:ascii="Times New Roman" w:hAnsi="Times New Roman" w:cs="Times New Roman"/>
          <w:color w:val="EE0000"/>
          <w:sz w:val="22"/>
          <w:szCs w:val="22"/>
        </w:rPr>
        <w:t xml:space="preserve"> </w:t>
      </w:r>
      <w:r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6</w:t>
      </w:r>
    </w:p>
    <w:p w14:paraId="58079D94" w14:textId="38BF20DB" w:rsidR="007441FE" w:rsidRPr="007540A7" w:rsidRDefault="007441FE" w:rsidP="007441FE">
      <w:pPr>
        <w:ind w:left="720" w:firstLine="720"/>
        <w:jc w:val="both"/>
        <w:rPr>
          <w:rFonts w:ascii="Times New Roman" w:hAnsi="Times New Roman" w:cs="Times New Roman"/>
          <w:i/>
          <w:iCs/>
          <w:color w:val="000000" w:themeColor="text1"/>
          <w:sz w:val="22"/>
          <w:szCs w:val="22"/>
        </w:rPr>
      </w:pPr>
      <w:r w:rsidRPr="00B708D1">
        <w:rPr>
          <w:rFonts w:ascii="Times New Roman" w:hAnsi="Times New Roman" w:cs="Times New Roman"/>
          <w:color w:val="000000" w:themeColor="text1"/>
          <w:sz w:val="22"/>
          <w:szCs w:val="22"/>
          <w:u w:val="single"/>
        </w:rPr>
        <w:t>1. Analysis of the statute’s language</w:t>
      </w:r>
      <w:r w:rsidRPr="00B708D1">
        <w:rPr>
          <w:rFonts w:ascii="Times New Roman" w:hAnsi="Times New Roman" w:cs="Times New Roman"/>
          <w:color w:val="000000" w:themeColor="text1"/>
          <w:sz w:val="22"/>
          <w:szCs w:val="22"/>
        </w:rPr>
        <w:t xml:space="preserve"> </w:t>
      </w:r>
      <w:r w:rsidR="00433BFA"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6</w:t>
      </w:r>
    </w:p>
    <w:p w14:paraId="37351BEB" w14:textId="4A3B5FEF" w:rsidR="007441FE" w:rsidRPr="00B708D1" w:rsidRDefault="007441FE" w:rsidP="007441FE">
      <w:pPr>
        <w:ind w:left="720" w:firstLine="720"/>
        <w:jc w:val="both"/>
        <w:rPr>
          <w:rFonts w:ascii="Times New Roman" w:hAnsi="Times New Roman" w:cs="Times New Roman"/>
          <w:color w:val="000000" w:themeColor="text1"/>
          <w:sz w:val="22"/>
          <w:szCs w:val="22"/>
          <w:u w:val="single"/>
        </w:rPr>
      </w:pPr>
      <w:r w:rsidRPr="00B708D1">
        <w:rPr>
          <w:rFonts w:ascii="Times New Roman" w:hAnsi="Times New Roman" w:cs="Times New Roman"/>
          <w:color w:val="000000" w:themeColor="text1"/>
          <w:sz w:val="22"/>
          <w:szCs w:val="22"/>
          <w:u w:val="single"/>
        </w:rPr>
        <w:t>2. Analysis of the statute’s legislative history</w:t>
      </w:r>
      <w:r w:rsidR="00433BFA">
        <w:rPr>
          <w:rFonts w:ascii="Times New Roman" w:hAnsi="Times New Roman" w:cs="Times New Roman"/>
          <w:color w:val="EE0000"/>
          <w:sz w:val="22"/>
          <w:szCs w:val="22"/>
        </w:rPr>
        <w:t xml:space="preserve"> </w:t>
      </w:r>
      <w:r w:rsidR="00433BFA"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8</w:t>
      </w:r>
    </w:p>
    <w:p w14:paraId="0B7CE875" w14:textId="34A55ADC" w:rsidR="007441FE" w:rsidRPr="007540A7" w:rsidRDefault="007441FE" w:rsidP="007441FE">
      <w:pPr>
        <w:ind w:left="1440" w:firstLine="720"/>
        <w:rPr>
          <w:rFonts w:ascii="Times New Roman" w:hAnsi="Times New Roman" w:cs="Times New Roman"/>
          <w:i/>
          <w:iCs/>
          <w:color w:val="000000" w:themeColor="text1"/>
          <w:sz w:val="22"/>
          <w:szCs w:val="22"/>
          <w:u w:val="single"/>
        </w:rPr>
      </w:pPr>
      <w:r w:rsidRPr="00B708D1">
        <w:rPr>
          <w:rFonts w:ascii="Times New Roman" w:hAnsi="Times New Roman" w:cs="Times New Roman"/>
          <w:color w:val="000000" w:themeColor="text1"/>
          <w:sz w:val="22"/>
          <w:szCs w:val="22"/>
          <w:u w:val="single"/>
        </w:rPr>
        <w:t xml:space="preserve">a. </w:t>
      </w:r>
      <w:r w:rsidR="00FD4D53">
        <w:rPr>
          <w:rFonts w:ascii="Times New Roman" w:hAnsi="Times New Roman" w:cs="Times New Roman"/>
          <w:color w:val="000000" w:themeColor="text1"/>
          <w:sz w:val="22"/>
          <w:szCs w:val="22"/>
          <w:u w:val="single"/>
        </w:rPr>
        <w:t>F</w:t>
      </w:r>
      <w:r w:rsidRPr="00B708D1">
        <w:rPr>
          <w:rFonts w:ascii="Times New Roman" w:hAnsi="Times New Roman" w:cs="Times New Roman"/>
          <w:color w:val="000000" w:themeColor="text1"/>
          <w:sz w:val="22"/>
          <w:szCs w:val="22"/>
          <w:u w:val="single"/>
        </w:rPr>
        <w:t xml:space="preserve">our </w:t>
      </w:r>
      <w:r w:rsidR="00FD4D53">
        <w:rPr>
          <w:rFonts w:ascii="Times New Roman" w:hAnsi="Times New Roman" w:cs="Times New Roman"/>
          <w:color w:val="000000" w:themeColor="text1"/>
          <w:sz w:val="22"/>
          <w:szCs w:val="22"/>
          <w:u w:val="single"/>
        </w:rPr>
        <w:t xml:space="preserve">relevant </w:t>
      </w:r>
      <w:r w:rsidRPr="00B708D1">
        <w:rPr>
          <w:rFonts w:ascii="Times New Roman" w:hAnsi="Times New Roman" w:cs="Times New Roman"/>
          <w:color w:val="000000" w:themeColor="text1"/>
          <w:sz w:val="22"/>
          <w:szCs w:val="22"/>
          <w:u w:val="single"/>
        </w:rPr>
        <w:t>amendments to Minn. Stat. § 504B.178 since 1991</w:t>
      </w:r>
      <w:r w:rsidR="007540A7">
        <w:rPr>
          <w:rFonts w:ascii="Times New Roman" w:hAnsi="Times New Roman" w:cs="Times New Roman"/>
          <w:color w:val="000000" w:themeColor="text1"/>
          <w:sz w:val="22"/>
          <w:szCs w:val="22"/>
          <w:u w:val="single"/>
        </w:rPr>
        <w:t>.</w:t>
      </w:r>
      <w:r w:rsidRPr="00B708D1">
        <w:rPr>
          <w:rFonts w:ascii="Times New Roman" w:hAnsi="Times New Roman" w:cs="Times New Roman"/>
          <w:color w:val="000000" w:themeColor="text1"/>
          <w:sz w:val="22"/>
          <w:szCs w:val="22"/>
        </w:rPr>
        <w:t xml:space="preserve"> </w:t>
      </w:r>
      <w:r w:rsidR="00433BFA" w:rsidRPr="007540A7">
        <w:rPr>
          <w:rFonts w:ascii="Times New Roman" w:hAnsi="Times New Roman" w:cs="Times New Roman"/>
          <w:i/>
          <w:iCs/>
          <w:color w:val="EE0000"/>
          <w:sz w:val="22"/>
          <w:szCs w:val="22"/>
        </w:rPr>
        <w:t>pag</w:t>
      </w:r>
      <w:r w:rsidR="00433BFA" w:rsidRPr="007540A7">
        <w:rPr>
          <w:rFonts w:ascii="Times New Roman" w:hAnsi="Times New Roman" w:cs="Times New Roman"/>
          <w:color w:val="EE0000"/>
          <w:sz w:val="22"/>
          <w:szCs w:val="22"/>
        </w:rPr>
        <w:t xml:space="preserve">e </w:t>
      </w:r>
      <w:r w:rsidR="00C74B5D">
        <w:rPr>
          <w:rFonts w:ascii="Times New Roman" w:hAnsi="Times New Roman" w:cs="Times New Roman"/>
          <w:color w:val="EE0000"/>
          <w:sz w:val="22"/>
          <w:szCs w:val="22"/>
        </w:rPr>
        <w:t>8</w:t>
      </w:r>
    </w:p>
    <w:p w14:paraId="51EE7B10" w14:textId="57541EED" w:rsidR="007441FE" w:rsidRPr="00B708D1" w:rsidRDefault="007441FE" w:rsidP="007441FE">
      <w:pPr>
        <w:ind w:left="2160"/>
        <w:rPr>
          <w:rFonts w:ascii="Times New Roman" w:hAnsi="Times New Roman" w:cs="Times New Roman"/>
          <w:color w:val="000000" w:themeColor="text1"/>
          <w:sz w:val="22"/>
          <w:szCs w:val="22"/>
        </w:rPr>
      </w:pPr>
      <w:r w:rsidRPr="00B708D1">
        <w:rPr>
          <w:rFonts w:ascii="Times New Roman" w:hAnsi="Times New Roman" w:cs="Times New Roman"/>
          <w:color w:val="000000" w:themeColor="text1"/>
          <w:sz w:val="22"/>
          <w:szCs w:val="22"/>
          <w:u w:val="single"/>
        </w:rPr>
        <w:t xml:space="preserve">b. Minn. Stat. § 504B.178, subd, 4(2)-(3) had a somewhat complicated legislative </w:t>
      </w:r>
      <w:r w:rsidR="00433BFA">
        <w:rPr>
          <w:rFonts w:ascii="Times New Roman" w:hAnsi="Times New Roman" w:cs="Times New Roman"/>
          <w:color w:val="000000" w:themeColor="text1"/>
          <w:sz w:val="22"/>
          <w:szCs w:val="22"/>
          <w:u w:val="single"/>
        </w:rPr>
        <w:t>history</w:t>
      </w:r>
      <w:r w:rsidR="00433BFA">
        <w:rPr>
          <w:rFonts w:ascii="Times New Roman" w:hAnsi="Times New Roman" w:cs="Times New Roman"/>
          <w:color w:val="000000" w:themeColor="text1"/>
          <w:sz w:val="22"/>
          <w:szCs w:val="22"/>
        </w:rPr>
        <w:t xml:space="preserve"> </w:t>
      </w:r>
      <w:r w:rsidR="00433BFA"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8</w:t>
      </w:r>
    </w:p>
    <w:p w14:paraId="44F3F53F" w14:textId="35D66A77" w:rsidR="007441FE" w:rsidRPr="00B708D1" w:rsidRDefault="007441FE" w:rsidP="007441FE">
      <w:pPr>
        <w:ind w:left="2160"/>
        <w:rPr>
          <w:rFonts w:ascii="Times New Roman" w:hAnsi="Times New Roman" w:cs="Times New Roman"/>
          <w:color w:val="000000" w:themeColor="text1"/>
          <w:sz w:val="22"/>
          <w:szCs w:val="22"/>
          <w:u w:val="single"/>
        </w:rPr>
      </w:pPr>
      <w:r w:rsidRPr="00B708D1">
        <w:rPr>
          <w:rFonts w:ascii="Times New Roman" w:hAnsi="Times New Roman" w:cs="Times New Roman"/>
          <w:color w:val="000000" w:themeColor="text1"/>
          <w:sz w:val="22"/>
          <w:szCs w:val="22"/>
          <w:u w:val="single"/>
        </w:rPr>
        <w:t xml:space="preserve">c. The policies behind the security-deposit provisions of SF 720 and related bills </w:t>
      </w:r>
      <w:r w:rsidR="00433BFA"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9</w:t>
      </w:r>
      <w:r w:rsidR="00433BFA" w:rsidRPr="00B708D1">
        <w:rPr>
          <w:rFonts w:ascii="Times New Roman" w:hAnsi="Times New Roman" w:cs="Times New Roman"/>
          <w:caps/>
          <w:color w:val="000000" w:themeColor="text1"/>
          <w:sz w:val="22"/>
          <w:szCs w:val="22"/>
        </w:rPr>
        <w:t xml:space="preserve"> </w:t>
      </w:r>
    </w:p>
    <w:p w14:paraId="5E1442F5" w14:textId="299F5EAA" w:rsidR="007441FE" w:rsidRPr="00B708D1" w:rsidRDefault="007441FE" w:rsidP="007441FE">
      <w:pPr>
        <w:ind w:left="2160"/>
        <w:rPr>
          <w:rFonts w:ascii="Times New Roman" w:hAnsi="Times New Roman" w:cs="Times New Roman"/>
          <w:color w:val="000000" w:themeColor="text1"/>
          <w:sz w:val="22"/>
          <w:szCs w:val="22"/>
          <w:u w:val="single"/>
        </w:rPr>
      </w:pPr>
      <w:r w:rsidRPr="00B708D1">
        <w:rPr>
          <w:rFonts w:ascii="Times New Roman" w:hAnsi="Times New Roman" w:cs="Times New Roman"/>
          <w:color w:val="000000" w:themeColor="text1"/>
          <w:sz w:val="22"/>
          <w:szCs w:val="22"/>
          <w:u w:val="single"/>
        </w:rPr>
        <w:t>d. The pathway from initial bills to final enactment of 1992 Minn. Laws ch.</w:t>
      </w:r>
      <w:proofErr w:type="gramStart"/>
      <w:r w:rsidRPr="00B708D1">
        <w:rPr>
          <w:rFonts w:ascii="Times New Roman" w:hAnsi="Times New Roman" w:cs="Times New Roman"/>
          <w:color w:val="000000" w:themeColor="text1"/>
          <w:sz w:val="22"/>
          <w:szCs w:val="22"/>
          <w:u w:val="single"/>
        </w:rPr>
        <w:t>376</w:t>
      </w:r>
      <w:r w:rsidR="00433BFA">
        <w:rPr>
          <w:rFonts w:ascii="Times New Roman" w:hAnsi="Times New Roman" w:cs="Times New Roman"/>
          <w:color w:val="000000" w:themeColor="text1"/>
          <w:sz w:val="22"/>
          <w:szCs w:val="22"/>
          <w:u w:val="single"/>
        </w:rPr>
        <w:t xml:space="preserve"> </w:t>
      </w:r>
      <w:r w:rsidR="008D7762" w:rsidRPr="00B708D1">
        <w:rPr>
          <w:rFonts w:ascii="Times New Roman" w:hAnsi="Times New Roman" w:cs="Times New Roman"/>
          <w:color w:val="000000" w:themeColor="text1"/>
          <w:sz w:val="22"/>
          <w:szCs w:val="22"/>
        </w:rPr>
        <w:t>.</w:t>
      </w:r>
      <w:proofErr w:type="gramEnd"/>
      <w:r w:rsidR="008D7762" w:rsidRPr="00B708D1">
        <w:rPr>
          <w:rFonts w:ascii="Times New Roman" w:hAnsi="Times New Roman" w:cs="Times New Roman"/>
          <w:color w:val="000000" w:themeColor="text1"/>
          <w:sz w:val="22"/>
          <w:szCs w:val="22"/>
        </w:rPr>
        <w:t xml:space="preserve"> </w:t>
      </w:r>
      <w:r w:rsidR="008D7762"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9</w:t>
      </w:r>
    </w:p>
    <w:p w14:paraId="4A599F5F" w14:textId="3C9EF1CD" w:rsidR="007441FE" w:rsidRPr="00B708D1" w:rsidRDefault="007441FE" w:rsidP="007441FE">
      <w:pPr>
        <w:ind w:left="2160"/>
        <w:rPr>
          <w:rFonts w:ascii="Times New Roman" w:hAnsi="Times New Roman" w:cs="Times New Roman"/>
          <w:color w:val="000000" w:themeColor="text1"/>
          <w:sz w:val="22"/>
          <w:szCs w:val="22"/>
        </w:rPr>
      </w:pPr>
      <w:r w:rsidRPr="00B708D1">
        <w:rPr>
          <w:rFonts w:ascii="Times New Roman" w:hAnsi="Times New Roman" w:cs="Times New Roman"/>
          <w:color w:val="000000" w:themeColor="text1"/>
          <w:sz w:val="22"/>
          <w:szCs w:val="22"/>
          <w:u w:val="single"/>
        </w:rPr>
        <w:t>e, The differences between the First Conference Report and the Second Conference Report</w:t>
      </w:r>
      <w:r w:rsidR="008D7762" w:rsidRPr="00B708D1">
        <w:rPr>
          <w:rFonts w:ascii="Times New Roman" w:hAnsi="Times New Roman" w:cs="Times New Roman"/>
          <w:color w:val="000000" w:themeColor="text1"/>
          <w:sz w:val="22"/>
          <w:szCs w:val="22"/>
        </w:rPr>
        <w:t xml:space="preserve">. </w:t>
      </w:r>
      <w:r w:rsidR="008D7762"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14</w:t>
      </w:r>
    </w:p>
    <w:p w14:paraId="6B43EEB4" w14:textId="283207B2" w:rsidR="007441FE" w:rsidRPr="00B708D1" w:rsidRDefault="007441FE" w:rsidP="007441FE">
      <w:pPr>
        <w:ind w:left="2880"/>
        <w:rPr>
          <w:rFonts w:ascii="Times New Roman" w:hAnsi="Times New Roman" w:cs="Times New Roman"/>
          <w:color w:val="000000" w:themeColor="text1"/>
          <w:sz w:val="22"/>
          <w:szCs w:val="22"/>
          <w:u w:val="single"/>
        </w:rPr>
      </w:pPr>
      <w:r w:rsidRPr="00B708D1">
        <w:rPr>
          <w:rFonts w:ascii="Times New Roman" w:hAnsi="Times New Roman" w:cs="Times New Roman"/>
          <w:color w:val="000000" w:themeColor="text1"/>
          <w:sz w:val="22"/>
          <w:szCs w:val="22"/>
          <w:u w:val="single"/>
        </w:rPr>
        <w:t>Most of the differences had nothing to do with security deposits</w:t>
      </w:r>
      <w:r w:rsidRPr="00B708D1">
        <w:rPr>
          <w:rFonts w:ascii="Times New Roman" w:hAnsi="Times New Roman" w:cs="Times New Roman"/>
          <w:caps/>
          <w:color w:val="000000" w:themeColor="text1"/>
          <w:sz w:val="22"/>
          <w:szCs w:val="22"/>
        </w:rPr>
        <w:t>.</w:t>
      </w:r>
      <w:r w:rsidRPr="00B708D1">
        <w:rPr>
          <w:rFonts w:ascii="Times New Roman" w:hAnsi="Times New Roman" w:cs="Times New Roman"/>
          <w:b/>
          <w:bCs/>
          <w:caps/>
          <w:color w:val="000000" w:themeColor="text1"/>
          <w:sz w:val="22"/>
          <w:szCs w:val="22"/>
        </w:rPr>
        <w:t xml:space="preserve"> </w:t>
      </w:r>
      <w:r w:rsidR="00433BFA"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14</w:t>
      </w:r>
    </w:p>
    <w:p w14:paraId="28295E83" w14:textId="3030242D" w:rsidR="007441FE" w:rsidRPr="00B708D1" w:rsidRDefault="007441FE" w:rsidP="007441FE">
      <w:pPr>
        <w:ind w:left="2880"/>
        <w:rPr>
          <w:rFonts w:ascii="Times New Roman" w:hAnsi="Times New Roman" w:cs="Times New Roman"/>
          <w:color w:val="000000" w:themeColor="text1"/>
          <w:sz w:val="22"/>
          <w:szCs w:val="22"/>
          <w:u w:val="single"/>
        </w:rPr>
      </w:pPr>
      <w:r w:rsidRPr="00B708D1">
        <w:rPr>
          <w:rFonts w:ascii="Times New Roman" w:hAnsi="Times New Roman" w:cs="Times New Roman"/>
          <w:color w:val="000000" w:themeColor="text1"/>
          <w:sz w:val="22"/>
          <w:szCs w:val="22"/>
          <w:u w:val="single"/>
        </w:rPr>
        <w:t>Differences relating to security deposits</w:t>
      </w:r>
      <w:r w:rsidR="00433BFA">
        <w:rPr>
          <w:rFonts w:ascii="Times New Roman" w:hAnsi="Times New Roman" w:cs="Times New Roman"/>
          <w:color w:val="EE0000"/>
          <w:sz w:val="22"/>
          <w:szCs w:val="22"/>
        </w:rPr>
        <w:t xml:space="preserve"> </w:t>
      </w:r>
      <w:r w:rsidR="00433BFA"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15</w:t>
      </w:r>
    </w:p>
    <w:p w14:paraId="561B8973" w14:textId="67C73DAC" w:rsidR="007441FE" w:rsidRPr="00B708D1" w:rsidRDefault="007441FE" w:rsidP="007441FE">
      <w:pPr>
        <w:ind w:left="2160"/>
        <w:rPr>
          <w:rFonts w:ascii="Times New Roman" w:hAnsi="Times New Roman" w:cs="Times New Roman"/>
          <w:color w:val="000000" w:themeColor="text1"/>
          <w:sz w:val="22"/>
          <w:szCs w:val="22"/>
        </w:rPr>
      </w:pPr>
      <w:r w:rsidRPr="00B708D1">
        <w:rPr>
          <w:rFonts w:ascii="Times New Roman" w:hAnsi="Times New Roman" w:cs="Times New Roman"/>
          <w:color w:val="000000" w:themeColor="text1"/>
          <w:sz w:val="22"/>
          <w:szCs w:val="22"/>
          <w:u w:val="single"/>
        </w:rPr>
        <w:t>f. The subdivision-4 language in the Second Conference Report resulted in two unfortunate real-world consequences</w:t>
      </w:r>
      <w:r w:rsidRPr="00B708D1">
        <w:rPr>
          <w:rFonts w:ascii="Times New Roman" w:hAnsi="Times New Roman" w:cs="Times New Roman"/>
          <w:color w:val="000000" w:themeColor="text1"/>
          <w:sz w:val="22"/>
          <w:szCs w:val="22"/>
        </w:rPr>
        <w:t xml:space="preserve">. </w:t>
      </w:r>
      <w:r w:rsidR="00433BFA"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16</w:t>
      </w:r>
    </w:p>
    <w:p w14:paraId="7974F404" w14:textId="4A01148C" w:rsidR="007441FE" w:rsidRPr="00B708D1" w:rsidRDefault="007441FE" w:rsidP="007441FE">
      <w:pPr>
        <w:ind w:left="2160"/>
        <w:rPr>
          <w:rFonts w:ascii="Times New Roman" w:hAnsi="Times New Roman" w:cs="Times New Roman"/>
          <w:color w:val="000000" w:themeColor="text1"/>
          <w:sz w:val="22"/>
          <w:szCs w:val="22"/>
        </w:rPr>
      </w:pPr>
      <w:r w:rsidRPr="00B708D1">
        <w:rPr>
          <w:rFonts w:ascii="Times New Roman" w:hAnsi="Times New Roman" w:cs="Times New Roman"/>
          <w:color w:val="000000" w:themeColor="text1"/>
          <w:sz w:val="22"/>
          <w:szCs w:val="22"/>
          <w:u w:val="single"/>
        </w:rPr>
        <w:t>g. Construction by the Court of Appeals</w:t>
      </w:r>
      <w:r w:rsidR="00433BFA">
        <w:rPr>
          <w:rFonts w:ascii="Times New Roman" w:hAnsi="Times New Roman" w:cs="Times New Roman"/>
          <w:color w:val="EE0000"/>
          <w:sz w:val="22"/>
          <w:szCs w:val="22"/>
        </w:rPr>
        <w:t xml:space="preserve"> </w:t>
      </w:r>
      <w:r w:rsidR="00433BFA"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17</w:t>
      </w:r>
    </w:p>
    <w:p w14:paraId="16C2253B" w14:textId="5E341BE0" w:rsidR="007441FE" w:rsidRPr="00B708D1" w:rsidRDefault="007441FE" w:rsidP="007441FE">
      <w:pPr>
        <w:ind w:left="1440" w:firstLine="720"/>
        <w:rPr>
          <w:rFonts w:ascii="Times New Roman" w:hAnsi="Times New Roman" w:cs="Times New Roman"/>
          <w:color w:val="000000" w:themeColor="text1"/>
          <w:sz w:val="22"/>
          <w:szCs w:val="22"/>
        </w:rPr>
      </w:pPr>
      <w:r w:rsidRPr="00B708D1">
        <w:rPr>
          <w:rFonts w:ascii="Times New Roman" w:hAnsi="Times New Roman" w:cs="Times New Roman"/>
          <w:color w:val="000000" w:themeColor="text1"/>
          <w:sz w:val="22"/>
          <w:szCs w:val="22"/>
          <w:u w:val="single"/>
        </w:rPr>
        <w:t>h. Summary of the 1991-1992 legislative history</w:t>
      </w:r>
      <w:r w:rsidRPr="00B708D1">
        <w:rPr>
          <w:rFonts w:ascii="Times New Roman" w:hAnsi="Times New Roman" w:cs="Times New Roman"/>
          <w:color w:val="000000" w:themeColor="text1"/>
          <w:sz w:val="22"/>
          <w:szCs w:val="22"/>
        </w:rPr>
        <w:t xml:space="preserve"> </w:t>
      </w:r>
      <w:r w:rsidR="00433BFA"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18</w:t>
      </w:r>
    </w:p>
    <w:p w14:paraId="311B11F1" w14:textId="74070946" w:rsidR="007441FE" w:rsidRPr="00B708D1" w:rsidRDefault="007441FE" w:rsidP="007441FE">
      <w:pPr>
        <w:ind w:firstLine="720"/>
        <w:jc w:val="both"/>
        <w:rPr>
          <w:rFonts w:ascii="Times New Roman" w:hAnsi="Times New Roman" w:cs="Times New Roman"/>
          <w:b/>
          <w:bCs/>
          <w:color w:val="000000" w:themeColor="text1"/>
          <w:sz w:val="22"/>
          <w:szCs w:val="22"/>
          <w:u w:val="single"/>
        </w:rPr>
      </w:pPr>
      <w:r w:rsidRPr="00B708D1">
        <w:rPr>
          <w:rFonts w:ascii="Times New Roman" w:hAnsi="Times New Roman" w:cs="Times New Roman"/>
          <w:b/>
          <w:bCs/>
          <w:color w:val="000000" w:themeColor="text1"/>
          <w:sz w:val="22"/>
          <w:szCs w:val="22"/>
          <w:u w:val="single"/>
        </w:rPr>
        <w:t>C.</w:t>
      </w:r>
      <w:r w:rsidR="001E14BA">
        <w:rPr>
          <w:rFonts w:ascii="Times New Roman" w:hAnsi="Times New Roman" w:cs="Times New Roman"/>
          <w:b/>
          <w:bCs/>
          <w:color w:val="000000" w:themeColor="text1"/>
          <w:sz w:val="22"/>
          <w:szCs w:val="22"/>
          <w:u w:val="single"/>
        </w:rPr>
        <w:t xml:space="preserve"> </w:t>
      </w:r>
      <w:r w:rsidRPr="00B708D1">
        <w:rPr>
          <w:rFonts w:ascii="Times New Roman" w:hAnsi="Times New Roman" w:cs="Times New Roman"/>
          <w:b/>
          <w:bCs/>
          <w:color w:val="000000" w:themeColor="text1"/>
          <w:sz w:val="22"/>
          <w:szCs w:val="22"/>
          <w:u w:val="single"/>
        </w:rPr>
        <w:t>Time to Sue for a Type-C Failure</w:t>
      </w:r>
      <w:r w:rsidR="00875AA0">
        <w:rPr>
          <w:rFonts w:ascii="Times New Roman" w:hAnsi="Times New Roman" w:cs="Times New Roman"/>
          <w:color w:val="EE0000"/>
          <w:sz w:val="22"/>
          <w:szCs w:val="22"/>
        </w:rPr>
        <w:t xml:space="preserve"> </w:t>
      </w:r>
      <w:r w:rsidR="00875AA0"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18</w:t>
      </w:r>
    </w:p>
    <w:p w14:paraId="1B17286B" w14:textId="61F701DF" w:rsidR="00875AA0" w:rsidRDefault="007441FE" w:rsidP="007441FE">
      <w:pPr>
        <w:ind w:left="720" w:firstLine="720"/>
        <w:jc w:val="both"/>
        <w:rPr>
          <w:rFonts w:ascii="Times New Roman" w:hAnsi="Times New Roman" w:cs="Times New Roman"/>
          <w:color w:val="000000" w:themeColor="text1"/>
          <w:sz w:val="22"/>
          <w:szCs w:val="22"/>
          <w:u w:val="single"/>
        </w:rPr>
      </w:pPr>
      <w:r w:rsidRPr="00B708D1">
        <w:rPr>
          <w:rFonts w:ascii="Times New Roman" w:hAnsi="Times New Roman" w:cs="Times New Roman"/>
          <w:color w:val="000000" w:themeColor="text1"/>
          <w:sz w:val="22"/>
          <w:szCs w:val="22"/>
          <w:u w:val="single"/>
        </w:rPr>
        <w:t>1. Analysis of the statute’s language</w:t>
      </w:r>
      <w:r w:rsidRPr="00B708D1">
        <w:rPr>
          <w:rFonts w:ascii="Times New Roman" w:hAnsi="Times New Roman" w:cs="Times New Roman"/>
          <w:color w:val="000000" w:themeColor="text1"/>
          <w:sz w:val="22"/>
          <w:szCs w:val="22"/>
        </w:rPr>
        <w:t xml:space="preserve"> </w:t>
      </w:r>
      <w:r w:rsidR="00875AA0"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18</w:t>
      </w:r>
      <w:r w:rsidR="00875AA0" w:rsidRPr="00B708D1">
        <w:rPr>
          <w:rFonts w:ascii="Times New Roman" w:hAnsi="Times New Roman" w:cs="Times New Roman"/>
          <w:color w:val="000000" w:themeColor="text1"/>
          <w:sz w:val="22"/>
          <w:szCs w:val="22"/>
          <w:u w:val="single"/>
        </w:rPr>
        <w:t xml:space="preserve"> </w:t>
      </w:r>
    </w:p>
    <w:p w14:paraId="74B3F7AB" w14:textId="7324EB79" w:rsidR="007441FE" w:rsidRPr="00B708D1" w:rsidRDefault="007441FE" w:rsidP="007441FE">
      <w:pPr>
        <w:ind w:left="720" w:firstLine="720"/>
        <w:jc w:val="both"/>
        <w:rPr>
          <w:rFonts w:ascii="Times New Roman" w:hAnsi="Times New Roman" w:cs="Times New Roman"/>
          <w:color w:val="000000" w:themeColor="text1"/>
          <w:sz w:val="22"/>
          <w:szCs w:val="22"/>
        </w:rPr>
      </w:pPr>
      <w:r w:rsidRPr="00B708D1">
        <w:rPr>
          <w:rFonts w:ascii="Times New Roman" w:hAnsi="Times New Roman" w:cs="Times New Roman"/>
          <w:color w:val="000000" w:themeColor="text1"/>
          <w:sz w:val="22"/>
          <w:szCs w:val="22"/>
          <w:u w:val="single"/>
        </w:rPr>
        <w:t>2. Analysis of the statute’s legislative history</w:t>
      </w:r>
      <w:r w:rsidRPr="00B708D1">
        <w:rPr>
          <w:rFonts w:ascii="Times New Roman" w:hAnsi="Times New Roman" w:cs="Times New Roman"/>
          <w:color w:val="000000" w:themeColor="text1"/>
          <w:sz w:val="22"/>
          <w:szCs w:val="22"/>
        </w:rPr>
        <w:t xml:space="preserve"> </w:t>
      </w:r>
      <w:r w:rsidR="00875AA0"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19</w:t>
      </w:r>
    </w:p>
    <w:p w14:paraId="23CE8091" w14:textId="3EC9F5EB" w:rsidR="007441FE" w:rsidRPr="00C74B5D" w:rsidRDefault="007441FE" w:rsidP="00C74B5D">
      <w:pPr>
        <w:jc w:val="both"/>
        <w:rPr>
          <w:rFonts w:ascii="Times New Roman" w:hAnsi="Times New Roman" w:cs="Times New Roman"/>
          <w:color w:val="000000" w:themeColor="text1"/>
          <w:sz w:val="22"/>
          <w:szCs w:val="22"/>
          <w:u w:val="single"/>
        </w:rPr>
      </w:pPr>
      <w:r w:rsidRPr="00B708D1">
        <w:rPr>
          <w:rFonts w:ascii="Times New Roman" w:hAnsi="Times New Roman" w:cs="Times New Roman"/>
          <w:b/>
          <w:bCs/>
          <w:caps/>
          <w:color w:val="000000" w:themeColor="text1"/>
          <w:sz w:val="22"/>
          <w:szCs w:val="22"/>
        </w:rPr>
        <w:t>iv. overall conclusion</w:t>
      </w:r>
      <w:r w:rsidRPr="00B708D1">
        <w:rPr>
          <w:rFonts w:ascii="Times New Roman" w:hAnsi="Times New Roman" w:cs="Times New Roman"/>
          <w:caps/>
          <w:color w:val="000000" w:themeColor="text1"/>
          <w:sz w:val="22"/>
          <w:szCs w:val="22"/>
        </w:rPr>
        <w:t xml:space="preserve"> </w:t>
      </w:r>
      <w:r w:rsidR="00875AA0" w:rsidRPr="007540A7">
        <w:rPr>
          <w:rFonts w:ascii="Times New Roman" w:hAnsi="Times New Roman" w:cs="Times New Roman"/>
          <w:i/>
          <w:iCs/>
          <w:color w:val="EE0000"/>
          <w:sz w:val="22"/>
          <w:szCs w:val="22"/>
        </w:rPr>
        <w:t xml:space="preserve">page </w:t>
      </w:r>
      <w:r w:rsidR="00C74B5D">
        <w:rPr>
          <w:rFonts w:ascii="Times New Roman" w:hAnsi="Times New Roman" w:cs="Times New Roman"/>
          <w:i/>
          <w:iCs/>
          <w:color w:val="EE0000"/>
          <w:sz w:val="22"/>
          <w:szCs w:val="22"/>
        </w:rPr>
        <w:t>21</w:t>
      </w:r>
      <w:r>
        <w:rPr>
          <w:rFonts w:ascii="Times New Roman" w:hAnsi="Times New Roman" w:cs="Times New Roman"/>
          <w:b/>
          <w:bCs/>
          <w:color w:val="000000" w:themeColor="text1"/>
          <w:sz w:val="26"/>
          <w:szCs w:val="26"/>
          <w:u w:val="single"/>
        </w:rPr>
        <w:br w:type="page"/>
      </w:r>
    </w:p>
    <w:p w14:paraId="2E78A583" w14:textId="22655083" w:rsidR="00D43B7E" w:rsidRPr="00A3137E" w:rsidRDefault="00A3137E" w:rsidP="00A3137E">
      <w:pPr>
        <w:rPr>
          <w:rFonts w:ascii="Times New Roman" w:hAnsi="Times New Roman" w:cs="Times New Roman"/>
          <w:b/>
          <w:bCs/>
          <w:caps/>
          <w:sz w:val="26"/>
          <w:szCs w:val="26"/>
        </w:rPr>
      </w:pPr>
      <w:r>
        <w:rPr>
          <w:rFonts w:ascii="Times New Roman" w:hAnsi="Times New Roman" w:cs="Times New Roman"/>
          <w:b/>
          <w:bCs/>
          <w:caps/>
          <w:sz w:val="26"/>
          <w:szCs w:val="26"/>
        </w:rPr>
        <w:lastRenderedPageBreak/>
        <w:t xml:space="preserve">I. </w:t>
      </w:r>
      <w:r w:rsidR="00D43B7E" w:rsidRPr="00A3137E">
        <w:rPr>
          <w:rFonts w:ascii="Times New Roman" w:hAnsi="Times New Roman" w:cs="Times New Roman"/>
          <w:b/>
          <w:bCs/>
          <w:caps/>
          <w:sz w:val="26"/>
          <w:szCs w:val="26"/>
        </w:rPr>
        <w:t>The</w:t>
      </w:r>
      <w:r w:rsidRPr="00A3137E">
        <w:rPr>
          <w:rFonts w:ascii="Times New Roman" w:hAnsi="Times New Roman" w:cs="Times New Roman"/>
          <w:b/>
          <w:bCs/>
          <w:caps/>
          <w:sz w:val="26"/>
          <w:szCs w:val="26"/>
        </w:rPr>
        <w:t xml:space="preserve"> </w:t>
      </w:r>
      <w:r w:rsidR="00D43B7E" w:rsidRPr="00A3137E">
        <w:rPr>
          <w:rFonts w:ascii="Times New Roman" w:hAnsi="Times New Roman" w:cs="Times New Roman"/>
          <w:b/>
          <w:bCs/>
          <w:caps/>
          <w:sz w:val="26"/>
          <w:szCs w:val="26"/>
        </w:rPr>
        <w:t>doubling-penalty provision in the security-deposit statute</w:t>
      </w:r>
    </w:p>
    <w:p w14:paraId="7D78ACE8" w14:textId="221E1C49" w:rsidR="00D71AAD" w:rsidRPr="005213DE" w:rsidRDefault="00D71AAD" w:rsidP="00D71AAD">
      <w:pPr>
        <w:rPr>
          <w:rFonts w:ascii="Times New Roman" w:hAnsi="Times New Roman" w:cs="Times New Roman"/>
          <w:sz w:val="26"/>
          <w:szCs w:val="26"/>
        </w:rPr>
      </w:pPr>
      <w:r w:rsidRPr="005213DE">
        <w:rPr>
          <w:rFonts w:ascii="Times New Roman" w:hAnsi="Times New Roman" w:cs="Times New Roman"/>
          <w:sz w:val="26"/>
          <w:szCs w:val="26"/>
        </w:rPr>
        <w:t xml:space="preserve">Minn. Stat. § 504B.178, subdivision 4 </w:t>
      </w:r>
      <w:r w:rsidR="004C1D6F">
        <w:rPr>
          <w:rFonts w:ascii="Times New Roman" w:hAnsi="Times New Roman" w:cs="Times New Roman"/>
          <w:sz w:val="26"/>
          <w:szCs w:val="26"/>
        </w:rPr>
        <w:t>currently r</w:t>
      </w:r>
      <w:r w:rsidRPr="005213DE">
        <w:rPr>
          <w:rFonts w:ascii="Times New Roman" w:hAnsi="Times New Roman" w:cs="Times New Roman"/>
          <w:sz w:val="26"/>
          <w:szCs w:val="26"/>
        </w:rPr>
        <w:t>eads as follows:</w:t>
      </w:r>
    </w:p>
    <w:p w14:paraId="1409373A" w14:textId="02D4F684" w:rsidR="00D71AAD" w:rsidRPr="002A2FC4" w:rsidRDefault="00D71AAD" w:rsidP="00D71AAD">
      <w:pPr>
        <w:ind w:firstLine="720"/>
        <w:rPr>
          <w:rFonts w:ascii="Arial" w:hAnsi="Arial" w:cs="Arial"/>
        </w:rPr>
      </w:pPr>
      <w:r w:rsidRPr="002A2FC4">
        <w:rPr>
          <w:rFonts w:ascii="Arial" w:hAnsi="Arial" w:cs="Arial"/>
        </w:rPr>
        <w:t xml:space="preserve">Subd. 4. </w:t>
      </w:r>
      <w:r w:rsidRPr="002A2FC4">
        <w:rPr>
          <w:rFonts w:ascii="Arial" w:hAnsi="Arial" w:cs="Arial"/>
          <w:b/>
          <w:bCs/>
        </w:rPr>
        <w:t>Damages.</w:t>
      </w:r>
      <w:r w:rsidRPr="002A2FC4">
        <w:rPr>
          <w:rFonts w:ascii="Arial" w:hAnsi="Arial" w:cs="Arial"/>
        </w:rPr>
        <w:t xml:space="preserve"> Any landlord who fails to:</w:t>
      </w:r>
    </w:p>
    <w:p w14:paraId="40985954" w14:textId="77777777" w:rsidR="00D71AAD" w:rsidRPr="002A2FC4" w:rsidRDefault="00D71AAD" w:rsidP="00D71AAD">
      <w:pPr>
        <w:ind w:left="1440"/>
        <w:rPr>
          <w:rFonts w:ascii="Arial" w:hAnsi="Arial" w:cs="Arial"/>
        </w:rPr>
      </w:pPr>
      <w:r w:rsidRPr="002A2FC4">
        <w:rPr>
          <w:rFonts w:ascii="Arial" w:hAnsi="Arial" w:cs="Arial"/>
        </w:rPr>
        <w:t>(1) provide a written statement within three weeks of termination of the tenancy;</w:t>
      </w:r>
    </w:p>
    <w:p w14:paraId="2FA7BA44" w14:textId="77777777" w:rsidR="00D71AAD" w:rsidRPr="002A2FC4" w:rsidRDefault="00D71AAD" w:rsidP="00D71AAD">
      <w:pPr>
        <w:ind w:left="1440"/>
        <w:rPr>
          <w:rFonts w:ascii="Arial" w:hAnsi="Arial" w:cs="Arial"/>
        </w:rPr>
      </w:pPr>
      <w:r w:rsidRPr="002A2FC4">
        <w:rPr>
          <w:rFonts w:ascii="Arial" w:hAnsi="Arial" w:cs="Arial"/>
        </w:rPr>
        <w:t>(2) provide a written statement within five days of the date when the tenant leaves the building or dwelling due to the legal condemnation of the building or dwelling in which the tenant lives for reasons not due to willful, malicious, or irresponsible conduct of the tenant;</w:t>
      </w:r>
    </w:p>
    <w:p w14:paraId="50A198DF" w14:textId="77777777" w:rsidR="00D71AAD" w:rsidRPr="002A2FC4" w:rsidRDefault="00D71AAD" w:rsidP="00D71AAD">
      <w:pPr>
        <w:ind w:left="1440"/>
        <w:rPr>
          <w:rFonts w:ascii="Arial" w:hAnsi="Arial" w:cs="Arial"/>
        </w:rPr>
      </w:pPr>
      <w:r w:rsidRPr="002A2FC4">
        <w:rPr>
          <w:rFonts w:ascii="Arial" w:hAnsi="Arial" w:cs="Arial"/>
        </w:rPr>
        <w:t>(3) transfer or return a deposit as required by subdivision 5; or</w:t>
      </w:r>
    </w:p>
    <w:p w14:paraId="62727881" w14:textId="77777777" w:rsidR="00D71AAD" w:rsidRPr="002A2FC4" w:rsidRDefault="00D71AAD" w:rsidP="00D71AAD">
      <w:pPr>
        <w:ind w:left="1440"/>
        <w:rPr>
          <w:rFonts w:ascii="Arial" w:hAnsi="Arial" w:cs="Arial"/>
        </w:rPr>
      </w:pPr>
      <w:r w:rsidRPr="002A2FC4">
        <w:rPr>
          <w:rFonts w:ascii="Arial" w:hAnsi="Arial" w:cs="Arial"/>
        </w:rPr>
        <w:t>(4) provide the tenant with notice for an initial inspection and move-out inspection as required by section </w:t>
      </w:r>
      <w:hyperlink r:id="rId8" w:history="1">
        <w:r w:rsidRPr="002A2FC4">
          <w:rPr>
            <w:rStyle w:val="Hyperlink"/>
            <w:rFonts w:ascii="Arial" w:hAnsi="Arial" w:cs="Arial"/>
          </w:rPr>
          <w:t>504B.182</w:t>
        </w:r>
      </w:hyperlink>
      <w:r w:rsidRPr="002A2FC4">
        <w:rPr>
          <w:rFonts w:ascii="Arial" w:hAnsi="Arial" w:cs="Arial"/>
        </w:rPr>
        <w:t>, and complete an initial inspection and move-out inspection when requested by the tenant,</w:t>
      </w:r>
    </w:p>
    <w:p w14:paraId="5C85D05E" w14:textId="34B5AA38" w:rsidR="00D71AAD" w:rsidRPr="002A2FC4" w:rsidRDefault="00D71AAD" w:rsidP="00D71AAD">
      <w:pPr>
        <w:ind w:left="720"/>
        <w:rPr>
          <w:rFonts w:ascii="Arial" w:hAnsi="Arial" w:cs="Arial"/>
          <w:color w:val="EE0000"/>
        </w:rPr>
      </w:pPr>
      <w:r w:rsidRPr="002A2FC4">
        <w:rPr>
          <w:rFonts w:ascii="Arial" w:hAnsi="Arial" w:cs="Arial"/>
        </w:rPr>
        <w:t xml:space="preserve">after receipt of the tenant's mailing address or delivery instructions, as required in subdivision 3, </w:t>
      </w:r>
      <w:r w:rsidRPr="002A2FC4">
        <w:rPr>
          <w:rFonts w:ascii="Arial" w:hAnsi="Arial" w:cs="Arial"/>
          <w:i/>
          <w:iCs/>
          <w:color w:val="000000" w:themeColor="text1"/>
        </w:rPr>
        <w:t>is liable to the tenant for damages in an amount equal to the portion of the deposit withheld by the landlord and interest thereon as provided in subdivision 2, as a penalty, in addition to the portion of the deposit wrongfully withheld by the landlord and interest thereon</w:t>
      </w:r>
      <w:r w:rsidRPr="002A2FC4">
        <w:rPr>
          <w:rFonts w:ascii="Arial" w:hAnsi="Arial" w:cs="Arial"/>
          <w:color w:val="EE0000"/>
        </w:rPr>
        <w:t>.</w:t>
      </w:r>
      <w:r w:rsidR="00965DB2" w:rsidRPr="002A2FC4">
        <w:rPr>
          <w:rFonts w:ascii="Arial" w:hAnsi="Arial" w:cs="Arial"/>
          <w:color w:val="EE0000"/>
        </w:rPr>
        <w:t xml:space="preserve"> </w:t>
      </w:r>
      <w:r w:rsidR="00965DB2" w:rsidRPr="002A2FC4">
        <w:rPr>
          <w:rFonts w:ascii="Arial" w:hAnsi="Arial" w:cs="Arial"/>
          <w:color w:val="000000" w:themeColor="text1"/>
        </w:rPr>
        <w:t>[</w:t>
      </w:r>
      <w:r w:rsidR="00AE2F20" w:rsidRPr="002A2FC4">
        <w:rPr>
          <w:rFonts w:ascii="Arial" w:hAnsi="Arial" w:cs="Arial"/>
          <w:color w:val="000000" w:themeColor="text1"/>
        </w:rPr>
        <w:t>italics</w:t>
      </w:r>
      <w:r w:rsidR="00965DB2" w:rsidRPr="002A2FC4">
        <w:rPr>
          <w:rFonts w:ascii="Arial" w:hAnsi="Arial" w:cs="Arial"/>
          <w:color w:val="000000" w:themeColor="text1"/>
        </w:rPr>
        <w:t xml:space="preserve"> added]</w:t>
      </w:r>
    </w:p>
    <w:p w14:paraId="5F9E836F" w14:textId="7FF7938C" w:rsidR="00D71AAD" w:rsidRPr="005213DE" w:rsidRDefault="00965DB2" w:rsidP="00965DB2">
      <w:pPr>
        <w:rPr>
          <w:rFonts w:ascii="Times New Roman" w:hAnsi="Times New Roman" w:cs="Times New Roman"/>
          <w:color w:val="000000"/>
          <w:sz w:val="26"/>
          <w:szCs w:val="26"/>
        </w:rPr>
      </w:pPr>
      <w:r w:rsidRPr="005213DE">
        <w:rPr>
          <w:rFonts w:ascii="Times New Roman" w:hAnsi="Times New Roman" w:cs="Times New Roman"/>
          <w:color w:val="000000"/>
          <w:sz w:val="26"/>
          <w:szCs w:val="26"/>
        </w:rPr>
        <w:t xml:space="preserve">The </w:t>
      </w:r>
      <w:r w:rsidR="00D71AAD" w:rsidRPr="005213DE">
        <w:rPr>
          <w:rFonts w:ascii="Times New Roman" w:hAnsi="Times New Roman" w:cs="Times New Roman"/>
          <w:color w:val="000000"/>
          <w:sz w:val="26"/>
          <w:szCs w:val="26"/>
        </w:rPr>
        <w:t xml:space="preserve">penalty (language in </w:t>
      </w:r>
      <w:r w:rsidR="00AE2F20" w:rsidRPr="005213DE">
        <w:rPr>
          <w:rFonts w:ascii="Times New Roman" w:hAnsi="Times New Roman" w:cs="Times New Roman"/>
          <w:i/>
          <w:iCs/>
          <w:color w:val="404040" w:themeColor="text1" w:themeTint="BF"/>
          <w:sz w:val="26"/>
          <w:szCs w:val="26"/>
        </w:rPr>
        <w:t>italics</w:t>
      </w:r>
      <w:r w:rsidR="00D71AAD" w:rsidRPr="005213DE">
        <w:rPr>
          <w:rFonts w:ascii="Times New Roman" w:hAnsi="Times New Roman" w:cs="Times New Roman"/>
          <w:color w:val="404040" w:themeColor="text1" w:themeTint="BF"/>
          <w:sz w:val="26"/>
          <w:szCs w:val="26"/>
        </w:rPr>
        <w:t xml:space="preserve"> </w:t>
      </w:r>
      <w:r w:rsidR="00D71AAD" w:rsidRPr="005213DE">
        <w:rPr>
          <w:rFonts w:ascii="Times New Roman" w:hAnsi="Times New Roman" w:cs="Times New Roman"/>
          <w:color w:val="000000"/>
          <w:sz w:val="26"/>
          <w:szCs w:val="26"/>
        </w:rPr>
        <w:t xml:space="preserve">above) </w:t>
      </w:r>
      <w:r w:rsidR="00253792">
        <w:rPr>
          <w:rFonts w:ascii="Times New Roman" w:hAnsi="Times New Roman" w:cs="Times New Roman"/>
          <w:color w:val="000000"/>
          <w:sz w:val="26"/>
          <w:szCs w:val="26"/>
        </w:rPr>
        <w:t>in slang is often called the “d</w:t>
      </w:r>
      <w:r w:rsidR="00D71AAD" w:rsidRPr="005213DE">
        <w:rPr>
          <w:rFonts w:ascii="Times New Roman" w:hAnsi="Times New Roman" w:cs="Times New Roman"/>
          <w:color w:val="000000"/>
          <w:sz w:val="26"/>
          <w:szCs w:val="26"/>
        </w:rPr>
        <w:t>oubling penalty</w:t>
      </w:r>
      <w:r w:rsidR="00253792">
        <w:rPr>
          <w:rFonts w:ascii="Times New Roman" w:hAnsi="Times New Roman" w:cs="Times New Roman"/>
          <w:color w:val="000000"/>
          <w:sz w:val="26"/>
          <w:szCs w:val="26"/>
        </w:rPr>
        <w:t xml:space="preserve">”. It gives the tenant a claim for her deposit + interest on top of other claims she might have. </w:t>
      </w:r>
    </w:p>
    <w:p w14:paraId="0EAB1CCF" w14:textId="6C6E1637" w:rsidR="00AA7653" w:rsidRPr="002B72E1" w:rsidRDefault="002B72E1" w:rsidP="00AA7653">
      <w:pPr>
        <w:rPr>
          <w:rFonts w:ascii="Times New Roman" w:hAnsi="Times New Roman" w:cs="Times New Roman"/>
          <w:b/>
          <w:bCs/>
          <w:caps/>
          <w:sz w:val="26"/>
          <w:szCs w:val="26"/>
        </w:rPr>
      </w:pPr>
      <w:r>
        <w:rPr>
          <w:rFonts w:ascii="Times New Roman" w:hAnsi="Times New Roman" w:cs="Times New Roman"/>
          <w:b/>
          <w:bCs/>
          <w:caps/>
          <w:sz w:val="26"/>
          <w:szCs w:val="26"/>
        </w:rPr>
        <w:t xml:space="preserve">II. </w:t>
      </w:r>
      <w:r w:rsidR="00AA7653" w:rsidRPr="002B72E1">
        <w:rPr>
          <w:rFonts w:ascii="Times New Roman" w:hAnsi="Times New Roman" w:cs="Times New Roman"/>
          <w:b/>
          <w:bCs/>
          <w:caps/>
          <w:sz w:val="26"/>
          <w:szCs w:val="26"/>
        </w:rPr>
        <w:t>The</w:t>
      </w:r>
      <w:r w:rsidRPr="002B72E1">
        <w:rPr>
          <w:rFonts w:ascii="Times New Roman" w:hAnsi="Times New Roman" w:cs="Times New Roman"/>
          <w:b/>
          <w:bCs/>
          <w:caps/>
          <w:sz w:val="26"/>
          <w:szCs w:val="26"/>
        </w:rPr>
        <w:t xml:space="preserve"> </w:t>
      </w:r>
      <w:r w:rsidR="00AA7653" w:rsidRPr="002B72E1">
        <w:rPr>
          <w:rFonts w:ascii="Times New Roman" w:hAnsi="Times New Roman" w:cs="Times New Roman"/>
          <w:b/>
          <w:bCs/>
          <w:caps/>
          <w:sz w:val="26"/>
          <w:szCs w:val="26"/>
        </w:rPr>
        <w:t>doubling-penalty provision applies to three types of breaches</w:t>
      </w:r>
      <w:r w:rsidR="001F6FA9">
        <w:rPr>
          <w:rFonts w:ascii="Times New Roman" w:hAnsi="Times New Roman" w:cs="Times New Roman"/>
          <w:b/>
          <w:bCs/>
          <w:caps/>
          <w:sz w:val="26"/>
          <w:szCs w:val="26"/>
        </w:rPr>
        <w:t>.</w:t>
      </w:r>
    </w:p>
    <w:p w14:paraId="2807C819" w14:textId="4AED480F" w:rsidR="00965DB2" w:rsidRPr="005213DE" w:rsidRDefault="00965DB2" w:rsidP="00965DB2">
      <w:pPr>
        <w:rPr>
          <w:rFonts w:ascii="Times New Roman" w:hAnsi="Times New Roman" w:cs="Times New Roman"/>
          <w:color w:val="000000"/>
          <w:sz w:val="26"/>
          <w:szCs w:val="26"/>
        </w:rPr>
      </w:pPr>
      <w:r w:rsidRPr="005213DE">
        <w:rPr>
          <w:rFonts w:ascii="Times New Roman" w:hAnsi="Times New Roman" w:cs="Times New Roman"/>
          <w:color w:val="000000"/>
          <w:sz w:val="26"/>
          <w:szCs w:val="26"/>
        </w:rPr>
        <w:t xml:space="preserve">This subdivision is not a model of clarity, but it surely is meant to impose the doubling penalty for any of these three </w:t>
      </w:r>
      <w:r w:rsidR="00022200">
        <w:rPr>
          <w:rFonts w:ascii="Times New Roman" w:hAnsi="Times New Roman" w:cs="Times New Roman"/>
          <w:color w:val="000000"/>
          <w:sz w:val="26"/>
          <w:szCs w:val="26"/>
        </w:rPr>
        <w:t xml:space="preserve">types of </w:t>
      </w:r>
      <w:r w:rsidRPr="005213DE">
        <w:rPr>
          <w:rFonts w:ascii="Times New Roman" w:hAnsi="Times New Roman" w:cs="Times New Roman"/>
          <w:color w:val="000000"/>
          <w:sz w:val="26"/>
          <w:szCs w:val="26"/>
        </w:rPr>
        <w:t xml:space="preserve">violations by the landlord: </w:t>
      </w:r>
    </w:p>
    <w:p w14:paraId="7EBA1490" w14:textId="0709DBDA" w:rsidR="00F2660C" w:rsidRPr="005213DE" w:rsidRDefault="00965DB2" w:rsidP="00DB576D">
      <w:pPr>
        <w:ind w:left="720"/>
        <w:rPr>
          <w:rFonts w:ascii="Times New Roman" w:hAnsi="Times New Roman" w:cs="Times New Roman"/>
          <w:color w:val="000000"/>
          <w:sz w:val="26"/>
          <w:szCs w:val="26"/>
        </w:rPr>
      </w:pPr>
      <w:r w:rsidRPr="005213DE">
        <w:rPr>
          <w:rFonts w:ascii="Times New Roman" w:hAnsi="Times New Roman" w:cs="Times New Roman"/>
          <w:color w:val="000000"/>
          <w:sz w:val="26"/>
          <w:szCs w:val="26"/>
        </w:rPr>
        <w:t>[</w:t>
      </w:r>
      <w:r w:rsidR="00022200" w:rsidRPr="00354448">
        <w:rPr>
          <w:rFonts w:ascii="Times New Roman" w:hAnsi="Times New Roman" w:cs="Times New Roman"/>
          <w:color w:val="000000"/>
          <w:sz w:val="26"/>
          <w:szCs w:val="26"/>
          <w:u w:val="single"/>
        </w:rPr>
        <w:t xml:space="preserve">Type </w:t>
      </w:r>
      <w:r w:rsidRPr="00354448">
        <w:rPr>
          <w:rFonts w:ascii="Times New Roman" w:hAnsi="Times New Roman" w:cs="Times New Roman"/>
          <w:color w:val="000000"/>
          <w:sz w:val="26"/>
          <w:szCs w:val="26"/>
          <w:u w:val="single"/>
        </w:rPr>
        <w:t>A</w:t>
      </w:r>
      <w:r w:rsidR="001F6FA9">
        <w:rPr>
          <w:rFonts w:ascii="Times New Roman" w:hAnsi="Times New Roman" w:cs="Times New Roman"/>
          <w:color w:val="000000"/>
          <w:sz w:val="26"/>
          <w:szCs w:val="26"/>
          <w:u w:val="single"/>
        </w:rPr>
        <w:t xml:space="preserve"> Violation</w:t>
      </w:r>
      <w:r w:rsidRPr="005213DE">
        <w:rPr>
          <w:rFonts w:ascii="Times New Roman" w:hAnsi="Times New Roman" w:cs="Times New Roman"/>
          <w:color w:val="000000"/>
          <w:sz w:val="26"/>
          <w:szCs w:val="26"/>
        </w:rPr>
        <w:t xml:space="preserve">] Failure to return or account for the deposit </w:t>
      </w:r>
      <w:r w:rsidR="008D1BDC">
        <w:rPr>
          <w:rFonts w:ascii="Times New Roman" w:hAnsi="Times New Roman" w:cs="Times New Roman"/>
          <w:color w:val="000000"/>
          <w:sz w:val="26"/>
          <w:szCs w:val="26"/>
        </w:rPr>
        <w:t>by</w:t>
      </w:r>
      <w:r w:rsidRPr="005213DE">
        <w:rPr>
          <w:rFonts w:ascii="Times New Roman" w:hAnsi="Times New Roman" w:cs="Times New Roman"/>
          <w:color w:val="000000"/>
          <w:sz w:val="26"/>
          <w:szCs w:val="26"/>
        </w:rPr>
        <w:t xml:space="preserve"> the applicable three-week or five-day </w:t>
      </w:r>
      <w:r w:rsidR="008D1BDC">
        <w:rPr>
          <w:rFonts w:ascii="Times New Roman" w:hAnsi="Times New Roman" w:cs="Times New Roman"/>
          <w:color w:val="000000"/>
          <w:sz w:val="26"/>
          <w:szCs w:val="26"/>
        </w:rPr>
        <w:t>deadline</w:t>
      </w:r>
      <w:r w:rsidRPr="005213DE">
        <w:rPr>
          <w:rFonts w:ascii="Times New Roman" w:hAnsi="Times New Roman" w:cs="Times New Roman"/>
          <w:color w:val="000000"/>
          <w:sz w:val="26"/>
          <w:szCs w:val="26"/>
        </w:rPr>
        <w:t>. See paragraphs 1-2 of subdivision</w:t>
      </w:r>
      <w:r w:rsidR="00AE2F20" w:rsidRPr="005213DE">
        <w:rPr>
          <w:rFonts w:ascii="Times New Roman" w:hAnsi="Times New Roman" w:cs="Times New Roman"/>
          <w:color w:val="000000"/>
          <w:sz w:val="26"/>
          <w:szCs w:val="26"/>
        </w:rPr>
        <w:t xml:space="preserve"> 4</w:t>
      </w:r>
      <w:r w:rsidRPr="005213DE">
        <w:rPr>
          <w:rFonts w:ascii="Times New Roman" w:hAnsi="Times New Roman" w:cs="Times New Roman"/>
          <w:color w:val="000000"/>
          <w:sz w:val="26"/>
          <w:szCs w:val="26"/>
        </w:rPr>
        <w:t xml:space="preserve">. This deadline is the one discussed at length in my blog essay, </w:t>
      </w:r>
      <w:hyperlink r:id="rId9" w:history="1">
        <w:r w:rsidR="00EB25E4" w:rsidRPr="005213DE">
          <w:rPr>
            <w:rStyle w:val="Hyperlink"/>
            <w:rFonts w:ascii="Times New Roman" w:hAnsi="Times New Roman" w:cs="Times New Roman"/>
            <w:sz w:val="26"/>
            <w:szCs w:val="26"/>
          </w:rPr>
          <w:t>Mungall v. Garry: The Court of Appeals Misconstrues the 21-Day Clock in Minn. Stat. § 504B.178</w:t>
        </w:r>
      </w:hyperlink>
      <w:r w:rsidR="00EB25E4" w:rsidRPr="005213DE">
        <w:rPr>
          <w:rFonts w:ascii="Times New Roman" w:hAnsi="Times New Roman" w:cs="Times New Roman"/>
          <w:color w:val="000000"/>
          <w:sz w:val="26"/>
          <w:szCs w:val="26"/>
        </w:rPr>
        <w:t xml:space="preserve"> . </w:t>
      </w:r>
      <w:r w:rsidR="00DB576D" w:rsidRPr="005213DE">
        <w:rPr>
          <w:rFonts w:ascii="Times New Roman" w:hAnsi="Times New Roman" w:cs="Times New Roman"/>
          <w:color w:val="000000"/>
          <w:sz w:val="26"/>
          <w:szCs w:val="26"/>
        </w:rPr>
        <w:t xml:space="preserve">This </w:t>
      </w:r>
      <w:r w:rsidR="00EB25E4" w:rsidRPr="005213DE">
        <w:rPr>
          <w:rFonts w:ascii="Times New Roman" w:hAnsi="Times New Roman" w:cs="Times New Roman"/>
          <w:color w:val="000000"/>
          <w:sz w:val="26"/>
          <w:szCs w:val="26"/>
        </w:rPr>
        <w:t>deadline comes into play after the tenancy ends.</w:t>
      </w:r>
    </w:p>
    <w:p w14:paraId="116D5809" w14:textId="57D5A955" w:rsidR="00C27A0B" w:rsidRPr="005213DE" w:rsidRDefault="00EB25E4" w:rsidP="00DB576D">
      <w:pPr>
        <w:ind w:left="720"/>
        <w:rPr>
          <w:rFonts w:ascii="Times New Roman" w:hAnsi="Times New Roman" w:cs="Times New Roman"/>
          <w:color w:val="000000"/>
          <w:sz w:val="26"/>
          <w:szCs w:val="26"/>
        </w:rPr>
      </w:pPr>
      <w:r w:rsidRPr="005213DE">
        <w:rPr>
          <w:rFonts w:ascii="Times New Roman" w:hAnsi="Times New Roman" w:cs="Times New Roman"/>
          <w:color w:val="000000"/>
          <w:sz w:val="26"/>
          <w:szCs w:val="26"/>
        </w:rPr>
        <w:t>[</w:t>
      </w:r>
      <w:r w:rsidR="00022200" w:rsidRPr="00354448">
        <w:rPr>
          <w:rFonts w:ascii="Times New Roman" w:hAnsi="Times New Roman" w:cs="Times New Roman"/>
          <w:color w:val="000000"/>
          <w:sz w:val="26"/>
          <w:szCs w:val="26"/>
          <w:u w:val="single"/>
        </w:rPr>
        <w:t xml:space="preserve">Type </w:t>
      </w:r>
      <w:r w:rsidRPr="00354448">
        <w:rPr>
          <w:rFonts w:ascii="Times New Roman" w:hAnsi="Times New Roman" w:cs="Times New Roman"/>
          <w:color w:val="000000"/>
          <w:sz w:val="26"/>
          <w:szCs w:val="26"/>
          <w:u w:val="single"/>
        </w:rPr>
        <w:t>B</w:t>
      </w:r>
      <w:r w:rsidR="001F6FA9">
        <w:rPr>
          <w:rFonts w:ascii="Times New Roman" w:hAnsi="Times New Roman" w:cs="Times New Roman"/>
          <w:color w:val="000000"/>
          <w:sz w:val="26"/>
          <w:szCs w:val="26"/>
          <w:u w:val="single"/>
        </w:rPr>
        <w:t xml:space="preserve"> Violation</w:t>
      </w:r>
      <w:r w:rsidRPr="005213DE">
        <w:rPr>
          <w:rFonts w:ascii="Times New Roman" w:hAnsi="Times New Roman" w:cs="Times New Roman"/>
          <w:color w:val="000000"/>
          <w:sz w:val="26"/>
          <w:szCs w:val="26"/>
        </w:rPr>
        <w:t>] Failure</w:t>
      </w:r>
      <w:r w:rsidR="00631774" w:rsidRPr="005213DE">
        <w:rPr>
          <w:rFonts w:ascii="Times New Roman" w:hAnsi="Times New Roman" w:cs="Times New Roman"/>
          <w:color w:val="000000"/>
          <w:sz w:val="26"/>
          <w:szCs w:val="26"/>
        </w:rPr>
        <w:t xml:space="preserve"> per subdivision 5 of section 504B.178</w:t>
      </w:r>
      <w:r w:rsidR="00AE2F20" w:rsidRPr="005213DE">
        <w:rPr>
          <w:rFonts w:ascii="Times New Roman" w:hAnsi="Times New Roman" w:cs="Times New Roman"/>
          <w:color w:val="000000"/>
          <w:sz w:val="26"/>
          <w:szCs w:val="26"/>
        </w:rPr>
        <w:t>. See paragraph 3 of the subdivision 4. Subdivision 5 reads</w:t>
      </w:r>
      <w:r w:rsidR="00C27A0B" w:rsidRPr="005213DE">
        <w:rPr>
          <w:rFonts w:ascii="Times New Roman" w:hAnsi="Times New Roman" w:cs="Times New Roman"/>
          <w:color w:val="000000"/>
          <w:sz w:val="26"/>
          <w:szCs w:val="26"/>
        </w:rPr>
        <w:t>:</w:t>
      </w:r>
    </w:p>
    <w:p w14:paraId="781EF49B" w14:textId="551C4E9A" w:rsidR="00C27A0B" w:rsidRPr="002A2FC4" w:rsidRDefault="00C27A0B" w:rsidP="00C27A0B">
      <w:pPr>
        <w:ind w:left="1440"/>
        <w:rPr>
          <w:rFonts w:ascii="Arial" w:hAnsi="Arial" w:cs="Arial"/>
          <w:color w:val="000000"/>
        </w:rPr>
      </w:pPr>
      <w:r w:rsidRPr="002A2FC4">
        <w:rPr>
          <w:rFonts w:ascii="Arial" w:hAnsi="Arial" w:cs="Arial"/>
          <w:color w:val="000000"/>
        </w:rPr>
        <w:lastRenderedPageBreak/>
        <w:t xml:space="preserve">Subd. 5. </w:t>
      </w:r>
      <w:r w:rsidRPr="002A2FC4">
        <w:rPr>
          <w:rFonts w:ascii="Arial" w:hAnsi="Arial" w:cs="Arial"/>
          <w:b/>
          <w:bCs/>
          <w:color w:val="000000"/>
        </w:rPr>
        <w:t xml:space="preserve">Return of deposit following termination of the landlord's interest in the premises. </w:t>
      </w:r>
      <w:r w:rsidRPr="002A2FC4">
        <w:rPr>
          <w:rFonts w:ascii="Arial" w:hAnsi="Arial" w:cs="Arial"/>
          <w:color w:val="000000"/>
        </w:rPr>
        <w:t>Upon termination of the landlord's interest in the premises, whether by sale, assignment, death, appointment of receiver or otherwise, the landlord or the landlord's agent shall, within 60 days of termination of the interest or when the successor in interest is required to return or otherwise account for the deposit to the tenant, whichever occurs first, do one of the following acts, either of which shall relieve the landlord or agent of further liability with respect to such deposit:</w:t>
      </w:r>
    </w:p>
    <w:p w14:paraId="569ADCDD" w14:textId="77777777" w:rsidR="00C27A0B" w:rsidRPr="002A2FC4" w:rsidRDefault="00C27A0B" w:rsidP="00C27A0B">
      <w:pPr>
        <w:ind w:left="2160"/>
        <w:rPr>
          <w:rFonts w:ascii="Arial" w:hAnsi="Arial" w:cs="Arial"/>
          <w:color w:val="000000"/>
        </w:rPr>
      </w:pPr>
      <w:r w:rsidRPr="002A2FC4">
        <w:rPr>
          <w:rFonts w:ascii="Arial" w:hAnsi="Arial" w:cs="Arial"/>
          <w:color w:val="000000"/>
        </w:rPr>
        <w:t>(1) transfer the deposit, or any remainder after any lawful deductions made under subdivision 3, with interest thereon as provided in subdivision 2, to the landlord's successor in interest and thereafter notify the tenant of the transfer and of the transferee's name and address; or</w:t>
      </w:r>
    </w:p>
    <w:p w14:paraId="080E1FFE" w14:textId="77777777" w:rsidR="00343C9B" w:rsidRDefault="00C27A0B" w:rsidP="00C27A0B">
      <w:pPr>
        <w:ind w:left="2160"/>
        <w:rPr>
          <w:rFonts w:ascii="Arial" w:hAnsi="Arial" w:cs="Arial"/>
          <w:color w:val="000000"/>
        </w:rPr>
      </w:pPr>
      <w:r w:rsidRPr="002A2FC4">
        <w:rPr>
          <w:rFonts w:ascii="Arial" w:hAnsi="Arial" w:cs="Arial"/>
          <w:color w:val="000000"/>
        </w:rPr>
        <w:t>(2) return the deposit, or any remainder after any lawful deductions made under subdivision 3, with interest thereon as provided in subdivision 2, to the tenant.</w:t>
      </w:r>
      <w:r w:rsidR="00343C9B">
        <w:rPr>
          <w:rFonts w:ascii="Arial" w:hAnsi="Arial" w:cs="Arial"/>
          <w:color w:val="000000"/>
        </w:rPr>
        <w:t xml:space="preserve"> </w:t>
      </w:r>
    </w:p>
    <w:p w14:paraId="0E17DC2F" w14:textId="6E4A311C" w:rsidR="00C27A0B" w:rsidRPr="002A2FC4" w:rsidRDefault="00343C9B" w:rsidP="00343C9B">
      <w:pPr>
        <w:rPr>
          <w:rFonts w:ascii="Arial" w:hAnsi="Arial" w:cs="Arial"/>
          <w:color w:val="000000"/>
        </w:rPr>
      </w:pPr>
      <w:r>
        <w:rPr>
          <w:rFonts w:ascii="Arial" w:hAnsi="Arial" w:cs="Arial"/>
          <w:color w:val="000000"/>
        </w:rPr>
        <w:t>(bold emphasis in original).</w:t>
      </w:r>
    </w:p>
    <w:p w14:paraId="2E63D93B" w14:textId="58722BCE" w:rsidR="00DB576D" w:rsidRPr="005213DE" w:rsidRDefault="00DB576D" w:rsidP="00DB576D">
      <w:pPr>
        <w:ind w:left="720"/>
        <w:rPr>
          <w:rFonts w:ascii="Times New Roman" w:hAnsi="Times New Roman" w:cs="Times New Roman"/>
          <w:color w:val="000000"/>
          <w:sz w:val="26"/>
          <w:szCs w:val="26"/>
        </w:rPr>
      </w:pPr>
      <w:r w:rsidRPr="005213DE">
        <w:rPr>
          <w:rFonts w:ascii="Times New Roman" w:hAnsi="Times New Roman" w:cs="Times New Roman"/>
          <w:color w:val="000000"/>
          <w:sz w:val="26"/>
          <w:szCs w:val="26"/>
        </w:rPr>
        <w:t>[</w:t>
      </w:r>
      <w:r w:rsidR="00022200" w:rsidRPr="00354448">
        <w:rPr>
          <w:rFonts w:ascii="Times New Roman" w:hAnsi="Times New Roman" w:cs="Times New Roman"/>
          <w:color w:val="000000"/>
          <w:sz w:val="26"/>
          <w:szCs w:val="26"/>
          <w:u w:val="single"/>
        </w:rPr>
        <w:t xml:space="preserve">Type </w:t>
      </w:r>
      <w:r w:rsidRPr="00354448">
        <w:rPr>
          <w:rFonts w:ascii="Times New Roman" w:hAnsi="Times New Roman" w:cs="Times New Roman"/>
          <w:color w:val="000000"/>
          <w:sz w:val="26"/>
          <w:szCs w:val="26"/>
          <w:u w:val="single"/>
        </w:rPr>
        <w:t>C</w:t>
      </w:r>
      <w:r w:rsidR="001F6FA9">
        <w:rPr>
          <w:rFonts w:ascii="Times New Roman" w:hAnsi="Times New Roman" w:cs="Times New Roman"/>
          <w:color w:val="000000"/>
          <w:sz w:val="26"/>
          <w:szCs w:val="26"/>
          <w:u w:val="single"/>
        </w:rPr>
        <w:t xml:space="preserve"> Violation</w:t>
      </w:r>
      <w:r w:rsidRPr="005213DE">
        <w:rPr>
          <w:rFonts w:ascii="Times New Roman" w:hAnsi="Times New Roman" w:cs="Times New Roman"/>
          <w:color w:val="000000"/>
          <w:sz w:val="26"/>
          <w:szCs w:val="26"/>
        </w:rPr>
        <w:t xml:space="preserve">] </w:t>
      </w:r>
      <w:r w:rsidR="00C8597F" w:rsidRPr="005213DE">
        <w:rPr>
          <w:rFonts w:ascii="Times New Roman" w:hAnsi="Times New Roman" w:cs="Times New Roman"/>
          <w:color w:val="000000"/>
          <w:sz w:val="26"/>
          <w:szCs w:val="26"/>
        </w:rPr>
        <w:t xml:space="preserve">Failure to follow the rules in </w:t>
      </w:r>
      <w:r w:rsidR="00C8597F" w:rsidRPr="005213DE">
        <w:rPr>
          <w:rFonts w:ascii="Times New Roman" w:hAnsi="Times New Roman" w:cs="Times New Roman"/>
          <w:sz w:val="26"/>
          <w:szCs w:val="26"/>
        </w:rPr>
        <w:t xml:space="preserve">Minn. Stat. § 504B.182 </w:t>
      </w:r>
      <w:r w:rsidR="00C8597F" w:rsidRPr="005213DE">
        <w:rPr>
          <w:rFonts w:ascii="Times New Roman" w:hAnsi="Times New Roman" w:cs="Times New Roman"/>
          <w:color w:val="000000"/>
          <w:sz w:val="26"/>
          <w:szCs w:val="26"/>
        </w:rPr>
        <w:t xml:space="preserve">regarding initial and final </w:t>
      </w:r>
      <w:r w:rsidR="00E851FC" w:rsidRPr="005213DE">
        <w:rPr>
          <w:rFonts w:ascii="Times New Roman" w:hAnsi="Times New Roman" w:cs="Times New Roman"/>
          <w:color w:val="000000"/>
          <w:sz w:val="26"/>
          <w:szCs w:val="26"/>
        </w:rPr>
        <w:t>“</w:t>
      </w:r>
      <w:r w:rsidR="00C8597F" w:rsidRPr="005213DE">
        <w:rPr>
          <w:rFonts w:ascii="Times New Roman" w:hAnsi="Times New Roman" w:cs="Times New Roman"/>
          <w:color w:val="000000"/>
          <w:sz w:val="26"/>
          <w:szCs w:val="26"/>
        </w:rPr>
        <w:t>inspections” (</w:t>
      </w:r>
      <w:r w:rsidR="008D1BDC">
        <w:rPr>
          <w:rFonts w:ascii="Times New Roman" w:hAnsi="Times New Roman" w:cs="Times New Roman"/>
          <w:color w:val="000000"/>
          <w:sz w:val="26"/>
          <w:szCs w:val="26"/>
        </w:rPr>
        <w:t>“</w:t>
      </w:r>
      <w:r w:rsidR="00414FD6">
        <w:rPr>
          <w:rFonts w:ascii="Times New Roman" w:hAnsi="Times New Roman" w:cs="Times New Roman"/>
          <w:color w:val="000000"/>
          <w:sz w:val="26"/>
          <w:szCs w:val="26"/>
        </w:rPr>
        <w:t xml:space="preserve">joint </w:t>
      </w:r>
      <w:r w:rsidR="00C8597F" w:rsidRPr="005213DE">
        <w:rPr>
          <w:rFonts w:ascii="Times New Roman" w:hAnsi="Times New Roman" w:cs="Times New Roman"/>
          <w:color w:val="000000"/>
          <w:sz w:val="26"/>
          <w:szCs w:val="26"/>
        </w:rPr>
        <w:t>walkthroughs</w:t>
      </w:r>
      <w:r w:rsidR="008D1BDC">
        <w:rPr>
          <w:rFonts w:ascii="Times New Roman" w:hAnsi="Times New Roman" w:cs="Times New Roman"/>
          <w:color w:val="000000"/>
          <w:sz w:val="26"/>
          <w:szCs w:val="26"/>
        </w:rPr>
        <w:t>”</w:t>
      </w:r>
      <w:r w:rsidR="00C8597F" w:rsidRPr="005213DE">
        <w:rPr>
          <w:rFonts w:ascii="Times New Roman" w:hAnsi="Times New Roman" w:cs="Times New Roman"/>
          <w:color w:val="000000"/>
          <w:sz w:val="26"/>
          <w:szCs w:val="26"/>
        </w:rPr>
        <w:t xml:space="preserve"> in common parlance).</w:t>
      </w:r>
      <w:r w:rsidR="00AE2F20" w:rsidRPr="005213DE">
        <w:rPr>
          <w:rFonts w:ascii="Times New Roman" w:hAnsi="Times New Roman" w:cs="Times New Roman"/>
          <w:color w:val="000000"/>
          <w:sz w:val="26"/>
          <w:szCs w:val="26"/>
        </w:rPr>
        <w:t xml:space="preserve"> See paragraph 4 of subdivision 4. Section 504B.182 reads:</w:t>
      </w:r>
    </w:p>
    <w:p w14:paraId="6EAC13F0" w14:textId="77777777" w:rsidR="00ED7729" w:rsidRPr="002A2FC4" w:rsidRDefault="00ED7729" w:rsidP="00AE2F20">
      <w:pPr>
        <w:ind w:left="1440"/>
        <w:rPr>
          <w:rFonts w:ascii="Times New Roman" w:hAnsi="Times New Roman" w:cs="Times New Roman"/>
          <w:b/>
          <w:bCs/>
          <w:color w:val="000000"/>
        </w:rPr>
      </w:pPr>
      <w:r w:rsidRPr="002A2FC4">
        <w:rPr>
          <w:rFonts w:ascii="Arial" w:hAnsi="Arial" w:cs="Arial"/>
          <w:b/>
          <w:bCs/>
          <w:color w:val="000000"/>
        </w:rPr>
        <w:t>504B.182 INITIAL AND FINAL INSPECTION REQUIRED</w:t>
      </w:r>
      <w:r w:rsidRPr="002A2FC4">
        <w:rPr>
          <w:rFonts w:ascii="Times New Roman" w:hAnsi="Times New Roman" w:cs="Times New Roman"/>
          <w:b/>
          <w:bCs/>
          <w:color w:val="000000"/>
        </w:rPr>
        <w:t>.</w:t>
      </w:r>
    </w:p>
    <w:p w14:paraId="4E46079C" w14:textId="215FD0A7" w:rsidR="00ED7729" w:rsidRPr="002A2FC4" w:rsidRDefault="00ED7729" w:rsidP="00AE2F20">
      <w:pPr>
        <w:ind w:left="1440" w:firstLine="720"/>
        <w:rPr>
          <w:rFonts w:ascii="Arial" w:hAnsi="Arial" w:cs="Arial"/>
          <w:color w:val="000000"/>
        </w:rPr>
      </w:pPr>
      <w:r w:rsidRPr="005213DE">
        <w:rPr>
          <w:rFonts w:ascii="Times New Roman" w:hAnsi="Times New Roman" w:cs="Times New Roman"/>
          <w:color w:val="000000"/>
          <w:sz w:val="26"/>
          <w:szCs w:val="26"/>
        </w:rPr>
        <w:t>Subdivision 1.</w:t>
      </w:r>
      <w:r w:rsidR="00AE2F20" w:rsidRPr="005213DE">
        <w:rPr>
          <w:rFonts w:ascii="Times New Roman" w:hAnsi="Times New Roman" w:cs="Times New Roman"/>
          <w:color w:val="000000"/>
          <w:sz w:val="26"/>
          <w:szCs w:val="26"/>
        </w:rPr>
        <w:t xml:space="preserve"> </w:t>
      </w:r>
      <w:r w:rsidRPr="005213DE">
        <w:rPr>
          <w:rFonts w:ascii="Times New Roman" w:hAnsi="Times New Roman" w:cs="Times New Roman"/>
          <w:b/>
          <w:bCs/>
          <w:color w:val="000000"/>
          <w:sz w:val="26"/>
          <w:szCs w:val="26"/>
        </w:rPr>
        <w:t>Initial inspection.</w:t>
      </w:r>
      <w:r w:rsidR="00AE2F20" w:rsidRPr="005213DE">
        <w:rPr>
          <w:rFonts w:ascii="Times New Roman" w:hAnsi="Times New Roman" w:cs="Times New Roman"/>
          <w:b/>
          <w:bCs/>
          <w:color w:val="000000"/>
          <w:sz w:val="26"/>
          <w:szCs w:val="26"/>
        </w:rPr>
        <w:t xml:space="preserve"> </w:t>
      </w:r>
      <w:r w:rsidRPr="005213DE">
        <w:rPr>
          <w:rFonts w:ascii="Times New Roman" w:hAnsi="Times New Roman" w:cs="Times New Roman"/>
          <w:color w:val="000000"/>
          <w:sz w:val="26"/>
          <w:szCs w:val="26"/>
        </w:rPr>
        <w:t xml:space="preserve">(a) At the commencement of a residential tenancy, or within 14 days of a residential tenant occupying a </w:t>
      </w:r>
      <w:r w:rsidRPr="002A2FC4">
        <w:rPr>
          <w:rFonts w:ascii="Arial" w:hAnsi="Arial" w:cs="Arial"/>
          <w:color w:val="000000"/>
        </w:rPr>
        <w:t>unit, the landlord must notify the tenant of their option to request an initial inspection of the residential unit for the purposes of identifying existing deficiencies in the rental unit to avoid deductions for the security deposit of the tenant at a future date. If the tenant requests an inspection, the landlord and tenant shall schedule the inspection at a mutually acceptable date and time.</w:t>
      </w:r>
    </w:p>
    <w:p w14:paraId="6F9ECCED" w14:textId="77777777" w:rsidR="00ED7729" w:rsidRPr="002A2FC4" w:rsidRDefault="00ED7729" w:rsidP="00AE2F20">
      <w:pPr>
        <w:ind w:left="1440" w:firstLine="720"/>
        <w:rPr>
          <w:rFonts w:ascii="Arial" w:hAnsi="Arial" w:cs="Arial"/>
          <w:color w:val="000000"/>
        </w:rPr>
      </w:pPr>
      <w:r w:rsidRPr="002A2FC4">
        <w:rPr>
          <w:rFonts w:ascii="Arial" w:hAnsi="Arial" w:cs="Arial"/>
          <w:color w:val="000000"/>
        </w:rPr>
        <w:t>(b) In lieu of an initial inspection or move-out inspection under subdivision 2, when a tenant agrees, a landlord may provide written acknowledgment to the tenant of photos or videos of a rental unit and agree to the condition of the rental unit at the start or end of the tenancy.</w:t>
      </w:r>
    </w:p>
    <w:p w14:paraId="4414531A" w14:textId="6579B213" w:rsidR="00ED7729" w:rsidRPr="002A2FC4" w:rsidRDefault="00ED7729" w:rsidP="00AE2F20">
      <w:pPr>
        <w:ind w:left="1440" w:firstLine="720"/>
        <w:rPr>
          <w:rFonts w:ascii="Arial" w:hAnsi="Arial" w:cs="Arial"/>
          <w:color w:val="000000"/>
        </w:rPr>
      </w:pPr>
      <w:r w:rsidRPr="002A2FC4">
        <w:rPr>
          <w:rFonts w:ascii="Arial" w:hAnsi="Arial" w:cs="Arial"/>
          <w:color w:val="000000"/>
        </w:rPr>
        <w:t>Subd. 2.</w:t>
      </w:r>
      <w:r w:rsidR="00AE2F20" w:rsidRPr="002A2FC4">
        <w:rPr>
          <w:rFonts w:ascii="Arial" w:hAnsi="Arial" w:cs="Arial"/>
          <w:color w:val="000000"/>
        </w:rPr>
        <w:t xml:space="preserve"> </w:t>
      </w:r>
      <w:r w:rsidRPr="002A2FC4">
        <w:rPr>
          <w:rFonts w:ascii="Arial" w:hAnsi="Arial" w:cs="Arial"/>
          <w:b/>
          <w:bCs/>
          <w:color w:val="000000"/>
        </w:rPr>
        <w:t>Move-out inspection.</w:t>
      </w:r>
      <w:r w:rsidR="00AE2F20" w:rsidRPr="002A2FC4">
        <w:rPr>
          <w:rFonts w:ascii="Arial" w:hAnsi="Arial" w:cs="Arial"/>
          <w:b/>
          <w:bCs/>
          <w:color w:val="000000"/>
        </w:rPr>
        <w:t xml:space="preserve"> </w:t>
      </w:r>
      <w:r w:rsidRPr="002A2FC4">
        <w:rPr>
          <w:rFonts w:ascii="Arial" w:hAnsi="Arial" w:cs="Arial"/>
          <w:color w:val="000000"/>
        </w:rPr>
        <w:t xml:space="preserve">Within a reasonable time after notification of either a landlord or residential tenant's intention to terminate the tenancy, or before the end of the lease term, the landlord shall notify </w:t>
      </w:r>
      <w:r w:rsidRPr="002A2FC4">
        <w:rPr>
          <w:rFonts w:ascii="Arial" w:hAnsi="Arial" w:cs="Arial"/>
          <w:color w:val="000000"/>
        </w:rPr>
        <w:lastRenderedPageBreak/>
        <w:t>the tenant in writing of the tenant's option to request a move-out inspection and of the tenant's right to be present at the inspection. At a reasonable time, but no earlier than five days before the termination or the end of the lease date, or day the tenant plans to vacate the unit, the landlord, or an agent of the landlord, shall, upon the request of the tenant, make a move-out inspection of the premises. The purpose of the move-out inspection shall be to allow the tenant an opportunity to remedy identified deficiencies, in a manner consistent with the rights and obligations of the parties under the rental agreement, in order to avoid deductions from the security deposit. If a tenant chooses not to request a move-out inspection, the duties of the landlord under this subdivision are discharged. If an inspection is requested, the parties shall attempt to schedule the inspection at a mutually acceptable date and time.</w:t>
      </w:r>
    </w:p>
    <w:p w14:paraId="3384E8B3" w14:textId="5B2F448E" w:rsidR="00ED7729" w:rsidRPr="002A2FC4" w:rsidRDefault="00ED7729" w:rsidP="006C16E5">
      <w:pPr>
        <w:ind w:left="1440" w:firstLine="720"/>
        <w:rPr>
          <w:rFonts w:ascii="Arial" w:hAnsi="Arial" w:cs="Arial"/>
          <w:color w:val="000000"/>
        </w:rPr>
      </w:pPr>
      <w:r w:rsidRPr="002A2FC4">
        <w:rPr>
          <w:rFonts w:ascii="Arial" w:hAnsi="Arial" w:cs="Arial"/>
          <w:color w:val="000000"/>
        </w:rPr>
        <w:t>Subd. 3.</w:t>
      </w:r>
      <w:r w:rsidR="00AE2F20" w:rsidRPr="002A2FC4">
        <w:rPr>
          <w:rFonts w:ascii="Arial" w:hAnsi="Arial" w:cs="Arial"/>
          <w:color w:val="000000"/>
        </w:rPr>
        <w:t xml:space="preserve"> </w:t>
      </w:r>
      <w:r w:rsidRPr="002A2FC4">
        <w:rPr>
          <w:rFonts w:ascii="Arial" w:hAnsi="Arial" w:cs="Arial"/>
          <w:b/>
          <w:bCs/>
          <w:color w:val="000000"/>
        </w:rPr>
        <w:t>Other requirements under law.</w:t>
      </w:r>
      <w:r w:rsidR="00AE2F20" w:rsidRPr="002A2FC4">
        <w:rPr>
          <w:rFonts w:ascii="Arial" w:hAnsi="Arial" w:cs="Arial"/>
          <w:color w:val="000000"/>
        </w:rPr>
        <w:t xml:space="preserve"> </w:t>
      </w:r>
      <w:r w:rsidRPr="002A2FC4">
        <w:rPr>
          <w:rFonts w:ascii="Arial" w:hAnsi="Arial" w:cs="Arial"/>
          <w:color w:val="000000"/>
        </w:rPr>
        <w:t>Nothing in this section changes the requirements or obligations under any other section of law, including but not limited to sections</w:t>
      </w:r>
      <w:r w:rsidR="002A2FC4">
        <w:rPr>
          <w:rFonts w:ascii="Arial" w:hAnsi="Arial" w:cs="Arial"/>
          <w:color w:val="000000"/>
        </w:rPr>
        <w:t xml:space="preserve"> 504B.178, 504B.185, 504B.195, 504B.271, 504B.</w:t>
      </w:r>
      <w:r w:rsidR="006C16E5">
        <w:rPr>
          <w:rFonts w:ascii="Arial" w:hAnsi="Arial" w:cs="Arial"/>
          <w:color w:val="000000"/>
        </w:rPr>
        <w:t>375, 504B.381.</w:t>
      </w:r>
    </w:p>
    <w:p w14:paraId="69AFDA23" w14:textId="09D0AFFA" w:rsidR="00ED7729" w:rsidRDefault="00ED7729" w:rsidP="00AE2F20">
      <w:pPr>
        <w:ind w:left="1440" w:firstLine="720"/>
        <w:rPr>
          <w:rFonts w:ascii="Arial" w:hAnsi="Arial" w:cs="Arial"/>
          <w:color w:val="000000"/>
        </w:rPr>
      </w:pPr>
      <w:r w:rsidRPr="002A2FC4">
        <w:rPr>
          <w:rFonts w:ascii="Arial" w:hAnsi="Arial" w:cs="Arial"/>
          <w:color w:val="000000"/>
        </w:rPr>
        <w:t>Subd. 4.</w:t>
      </w:r>
      <w:r w:rsidR="008E6FFB">
        <w:rPr>
          <w:rFonts w:ascii="Arial" w:hAnsi="Arial" w:cs="Arial"/>
          <w:color w:val="000000"/>
        </w:rPr>
        <w:t xml:space="preserve"> </w:t>
      </w:r>
      <w:r w:rsidRPr="002A2FC4">
        <w:rPr>
          <w:rFonts w:ascii="Arial" w:hAnsi="Arial" w:cs="Arial"/>
          <w:b/>
          <w:bCs/>
          <w:color w:val="000000"/>
        </w:rPr>
        <w:t>Waiver.</w:t>
      </w:r>
      <w:r w:rsidR="00AE2F20" w:rsidRPr="002A2FC4">
        <w:rPr>
          <w:rFonts w:ascii="Arial" w:hAnsi="Arial" w:cs="Arial"/>
          <w:b/>
          <w:bCs/>
          <w:color w:val="000000"/>
        </w:rPr>
        <w:t xml:space="preserve"> </w:t>
      </w:r>
      <w:r w:rsidRPr="002A2FC4">
        <w:rPr>
          <w:rFonts w:ascii="Arial" w:hAnsi="Arial" w:cs="Arial"/>
          <w:color w:val="000000"/>
        </w:rPr>
        <w:t>Except as allowed under subdivisions 1 and 2, when a tenant chooses not to request an initial or move-out inspection, or alternate inspection under subdivision 1, paragraph (b), any provision, whether oral or written, of any lease or other agreement, whereby any provision of this section is waived by a tenant, is contrary to public policy and void</w:t>
      </w:r>
      <w:r w:rsidR="00343C9B">
        <w:rPr>
          <w:rFonts w:ascii="Arial" w:hAnsi="Arial" w:cs="Arial"/>
          <w:color w:val="000000"/>
        </w:rPr>
        <w:t>.</w:t>
      </w:r>
    </w:p>
    <w:p w14:paraId="1652F629" w14:textId="0E5FE534" w:rsidR="00343C9B" w:rsidRPr="002A2FC4" w:rsidRDefault="00343C9B" w:rsidP="00343C9B">
      <w:pPr>
        <w:rPr>
          <w:rFonts w:ascii="Arial" w:hAnsi="Arial" w:cs="Arial"/>
          <w:color w:val="000000"/>
        </w:rPr>
      </w:pPr>
      <w:r>
        <w:rPr>
          <w:rFonts w:ascii="Arial" w:hAnsi="Arial" w:cs="Arial"/>
          <w:color w:val="000000"/>
        </w:rPr>
        <w:t>(bold emphasis in original).</w:t>
      </w:r>
    </w:p>
    <w:p w14:paraId="60BD03BE" w14:textId="7B5CA390" w:rsidR="00AA7653" w:rsidRPr="00343C9B" w:rsidRDefault="00343C9B" w:rsidP="00AA7653">
      <w:pPr>
        <w:rPr>
          <w:rFonts w:ascii="Times New Roman" w:hAnsi="Times New Roman" w:cs="Times New Roman"/>
          <w:b/>
          <w:bCs/>
          <w:caps/>
          <w:color w:val="000000"/>
          <w:sz w:val="26"/>
          <w:szCs w:val="26"/>
        </w:rPr>
      </w:pPr>
      <w:bookmarkStart w:id="0" w:name="_Hlk223187223"/>
      <w:r>
        <w:rPr>
          <w:rFonts w:ascii="Times New Roman" w:hAnsi="Times New Roman" w:cs="Times New Roman"/>
          <w:b/>
          <w:bCs/>
          <w:caps/>
          <w:sz w:val="26"/>
          <w:szCs w:val="26"/>
        </w:rPr>
        <w:t xml:space="preserve">III. </w:t>
      </w:r>
      <w:r w:rsidR="00AA7653" w:rsidRPr="00343C9B">
        <w:rPr>
          <w:rFonts w:ascii="Times New Roman" w:hAnsi="Times New Roman" w:cs="Times New Roman"/>
          <w:b/>
          <w:bCs/>
          <w:caps/>
          <w:sz w:val="26"/>
          <w:szCs w:val="26"/>
        </w:rPr>
        <w:t>When does the right to sue for the doubling-penalty for each type of breach</w:t>
      </w:r>
      <w:r w:rsidR="001F6FA9">
        <w:rPr>
          <w:rFonts w:ascii="Times New Roman" w:hAnsi="Times New Roman" w:cs="Times New Roman"/>
          <w:b/>
          <w:bCs/>
          <w:caps/>
          <w:sz w:val="26"/>
          <w:szCs w:val="26"/>
        </w:rPr>
        <w:t xml:space="preserve"> VEST</w:t>
      </w:r>
      <w:r w:rsidR="00AA7653" w:rsidRPr="00343C9B">
        <w:rPr>
          <w:rFonts w:ascii="Times New Roman" w:hAnsi="Times New Roman" w:cs="Times New Roman"/>
          <w:b/>
          <w:bCs/>
          <w:caps/>
          <w:sz w:val="26"/>
          <w:szCs w:val="26"/>
        </w:rPr>
        <w:t>?</w:t>
      </w:r>
    </w:p>
    <w:p w14:paraId="3B5C1AC8" w14:textId="7F813EDE" w:rsidR="00E851FC" w:rsidRPr="005213DE" w:rsidRDefault="00E851FC" w:rsidP="00E851FC">
      <w:pPr>
        <w:jc w:val="both"/>
        <w:rPr>
          <w:rFonts w:ascii="Times New Roman" w:hAnsi="Times New Roman" w:cs="Times New Roman"/>
          <w:color w:val="000000"/>
          <w:sz w:val="26"/>
          <w:szCs w:val="26"/>
        </w:rPr>
      </w:pPr>
      <w:r w:rsidRPr="005213DE">
        <w:rPr>
          <w:rFonts w:ascii="Times New Roman" w:hAnsi="Times New Roman" w:cs="Times New Roman"/>
          <w:color w:val="000000"/>
          <w:sz w:val="26"/>
          <w:szCs w:val="26"/>
        </w:rPr>
        <w:t>Subdivision 4 does not directly say when the tenant’s claim for the doubling penalty vests,</w:t>
      </w:r>
      <w:r w:rsidR="00B15B8E" w:rsidRPr="005213DE">
        <w:rPr>
          <w:rFonts w:ascii="Times New Roman" w:hAnsi="Times New Roman" w:cs="Times New Roman"/>
          <w:color w:val="000000"/>
          <w:sz w:val="26"/>
          <w:szCs w:val="26"/>
        </w:rPr>
        <w:t xml:space="preserve"> i.e.</w:t>
      </w:r>
      <w:r w:rsidRPr="005213DE">
        <w:rPr>
          <w:rFonts w:ascii="Times New Roman" w:hAnsi="Times New Roman" w:cs="Times New Roman"/>
          <w:color w:val="000000"/>
          <w:sz w:val="26"/>
          <w:szCs w:val="26"/>
        </w:rPr>
        <w:t xml:space="preserve"> when is the earliest he can sue for each of the landlord’s possible failures listed above. I discuss each of these </w:t>
      </w:r>
      <w:r w:rsidR="008D1BDC">
        <w:rPr>
          <w:rFonts w:ascii="Times New Roman" w:hAnsi="Times New Roman" w:cs="Times New Roman"/>
          <w:color w:val="000000"/>
          <w:sz w:val="26"/>
          <w:szCs w:val="26"/>
        </w:rPr>
        <w:t>different failures</w:t>
      </w:r>
      <w:r w:rsidRPr="005213DE">
        <w:rPr>
          <w:rFonts w:ascii="Times New Roman" w:hAnsi="Times New Roman" w:cs="Times New Roman"/>
          <w:color w:val="000000"/>
          <w:sz w:val="26"/>
          <w:szCs w:val="26"/>
        </w:rPr>
        <w:t xml:space="preserve"> below.</w:t>
      </w:r>
    </w:p>
    <w:p w14:paraId="731D0284" w14:textId="043D5FAA" w:rsidR="00E851FC" w:rsidRPr="006E4200" w:rsidRDefault="006E4200" w:rsidP="006E4200">
      <w:pPr>
        <w:ind w:firstLine="720"/>
        <w:jc w:val="both"/>
        <w:rPr>
          <w:rFonts w:ascii="Times New Roman" w:hAnsi="Times New Roman" w:cs="Times New Roman"/>
          <w:b/>
          <w:bCs/>
          <w:color w:val="000000"/>
          <w:sz w:val="26"/>
          <w:szCs w:val="26"/>
          <w:u w:val="single"/>
        </w:rPr>
      </w:pPr>
      <w:r>
        <w:rPr>
          <w:rFonts w:ascii="Times New Roman" w:hAnsi="Times New Roman" w:cs="Times New Roman"/>
          <w:b/>
          <w:bCs/>
          <w:color w:val="000000"/>
          <w:sz w:val="26"/>
          <w:szCs w:val="26"/>
          <w:u w:val="single"/>
        </w:rPr>
        <w:t>A. T</w:t>
      </w:r>
      <w:r w:rsidR="00E851FC" w:rsidRPr="006E4200">
        <w:rPr>
          <w:rFonts w:ascii="Times New Roman" w:hAnsi="Times New Roman" w:cs="Times New Roman"/>
          <w:b/>
          <w:bCs/>
          <w:color w:val="000000"/>
          <w:sz w:val="26"/>
          <w:szCs w:val="26"/>
          <w:u w:val="single"/>
        </w:rPr>
        <w:t>ime to Sue for a Type</w:t>
      </w:r>
      <w:r w:rsidR="00B639F4" w:rsidRPr="006E4200">
        <w:rPr>
          <w:rFonts w:ascii="Times New Roman" w:hAnsi="Times New Roman" w:cs="Times New Roman"/>
          <w:b/>
          <w:bCs/>
          <w:color w:val="000000"/>
          <w:sz w:val="26"/>
          <w:szCs w:val="26"/>
          <w:u w:val="single"/>
        </w:rPr>
        <w:t>-</w:t>
      </w:r>
      <w:r w:rsidR="00E851FC" w:rsidRPr="006E4200">
        <w:rPr>
          <w:rFonts w:ascii="Times New Roman" w:hAnsi="Times New Roman" w:cs="Times New Roman"/>
          <w:b/>
          <w:bCs/>
          <w:color w:val="000000"/>
          <w:sz w:val="26"/>
          <w:szCs w:val="26"/>
          <w:u w:val="single"/>
        </w:rPr>
        <w:t xml:space="preserve">A </w:t>
      </w:r>
      <w:r w:rsidR="008D093A">
        <w:rPr>
          <w:rFonts w:ascii="Times New Roman" w:hAnsi="Times New Roman" w:cs="Times New Roman"/>
          <w:b/>
          <w:bCs/>
          <w:color w:val="000000"/>
          <w:sz w:val="26"/>
          <w:szCs w:val="26"/>
          <w:u w:val="single"/>
        </w:rPr>
        <w:t>Failure</w:t>
      </w:r>
    </w:p>
    <w:bookmarkEnd w:id="0"/>
    <w:p w14:paraId="101DD593" w14:textId="0709550C" w:rsidR="00E851FC" w:rsidRPr="005213DE" w:rsidRDefault="00E851FC" w:rsidP="00E851FC">
      <w:pPr>
        <w:jc w:val="both"/>
        <w:rPr>
          <w:rFonts w:ascii="Times New Roman" w:hAnsi="Times New Roman" w:cs="Times New Roman"/>
          <w:color w:val="000000"/>
          <w:sz w:val="26"/>
          <w:szCs w:val="26"/>
        </w:rPr>
      </w:pPr>
      <w:r w:rsidRPr="005213DE">
        <w:rPr>
          <w:rFonts w:ascii="Times New Roman" w:hAnsi="Times New Roman" w:cs="Times New Roman"/>
          <w:color w:val="000000"/>
          <w:sz w:val="26"/>
          <w:szCs w:val="26"/>
        </w:rPr>
        <w:t xml:space="preserve">As discussed at length in </w:t>
      </w:r>
      <w:hyperlink r:id="rId10" w:history="1">
        <w:r w:rsidRPr="005213DE">
          <w:rPr>
            <w:rStyle w:val="Hyperlink"/>
            <w:rFonts w:ascii="Times New Roman" w:hAnsi="Times New Roman" w:cs="Times New Roman"/>
            <w:sz w:val="26"/>
            <w:szCs w:val="26"/>
          </w:rPr>
          <w:t>Mungall v. Garry: The Court of Appeals Misconstrues the 21-Day Clock in Minn. Stat. § 504B.178</w:t>
        </w:r>
      </w:hyperlink>
      <w:r w:rsidRPr="005213DE">
        <w:rPr>
          <w:rFonts w:ascii="Times New Roman" w:hAnsi="Times New Roman" w:cs="Times New Roman"/>
          <w:color w:val="000000"/>
          <w:sz w:val="26"/>
          <w:szCs w:val="26"/>
        </w:rPr>
        <w:t>, the landlord’s deadline to return or account for the deposit is three weeks after</w:t>
      </w:r>
      <w:r w:rsidR="00BB37F9" w:rsidRPr="005213DE">
        <w:rPr>
          <w:rFonts w:ascii="Times New Roman" w:hAnsi="Times New Roman" w:cs="Times New Roman"/>
          <w:color w:val="000000"/>
          <w:sz w:val="26"/>
          <w:szCs w:val="26"/>
        </w:rPr>
        <w:t xml:space="preserve"> the later of </w:t>
      </w:r>
      <w:r w:rsidRPr="005213DE">
        <w:rPr>
          <w:rFonts w:ascii="Times New Roman" w:hAnsi="Times New Roman" w:cs="Times New Roman"/>
          <w:color w:val="000000"/>
          <w:sz w:val="26"/>
          <w:szCs w:val="26"/>
        </w:rPr>
        <w:t>the</w:t>
      </w:r>
      <w:r w:rsidR="00BB37F9" w:rsidRPr="005213DE">
        <w:rPr>
          <w:rFonts w:ascii="Times New Roman" w:hAnsi="Times New Roman" w:cs="Times New Roman"/>
          <w:color w:val="000000"/>
          <w:sz w:val="26"/>
          <w:szCs w:val="26"/>
        </w:rPr>
        <w:t xml:space="preserve"> end </w:t>
      </w:r>
      <w:r w:rsidR="00B15B8E" w:rsidRPr="005213DE">
        <w:rPr>
          <w:rFonts w:ascii="Times New Roman" w:hAnsi="Times New Roman" w:cs="Times New Roman"/>
          <w:color w:val="000000"/>
          <w:sz w:val="26"/>
          <w:szCs w:val="26"/>
        </w:rPr>
        <w:t xml:space="preserve">date </w:t>
      </w:r>
      <w:r w:rsidR="00BB37F9" w:rsidRPr="005213DE">
        <w:rPr>
          <w:rFonts w:ascii="Times New Roman" w:hAnsi="Times New Roman" w:cs="Times New Roman"/>
          <w:color w:val="000000"/>
          <w:sz w:val="26"/>
          <w:szCs w:val="26"/>
        </w:rPr>
        <w:t>of the</w:t>
      </w:r>
      <w:r w:rsidRPr="005213DE">
        <w:rPr>
          <w:rFonts w:ascii="Times New Roman" w:hAnsi="Times New Roman" w:cs="Times New Roman"/>
          <w:color w:val="000000"/>
          <w:sz w:val="26"/>
          <w:szCs w:val="26"/>
        </w:rPr>
        <w:t xml:space="preserve"> tenancy and the </w:t>
      </w:r>
      <w:r w:rsidR="00B15B8E" w:rsidRPr="005213DE">
        <w:rPr>
          <w:rFonts w:ascii="Times New Roman" w:hAnsi="Times New Roman" w:cs="Times New Roman"/>
          <w:color w:val="000000"/>
          <w:sz w:val="26"/>
          <w:szCs w:val="26"/>
        </w:rPr>
        <w:t xml:space="preserve">day the </w:t>
      </w:r>
      <w:r w:rsidRPr="005213DE">
        <w:rPr>
          <w:rFonts w:ascii="Times New Roman" w:hAnsi="Times New Roman" w:cs="Times New Roman"/>
          <w:color w:val="000000"/>
          <w:sz w:val="26"/>
          <w:szCs w:val="26"/>
        </w:rPr>
        <w:t>tenant</w:t>
      </w:r>
      <w:r w:rsidR="00B15B8E" w:rsidRPr="005213DE">
        <w:rPr>
          <w:rFonts w:ascii="Times New Roman" w:hAnsi="Times New Roman" w:cs="Times New Roman"/>
          <w:color w:val="000000"/>
          <w:sz w:val="26"/>
          <w:szCs w:val="26"/>
        </w:rPr>
        <w:t xml:space="preserve"> gave</w:t>
      </w:r>
      <w:r w:rsidRPr="005213DE">
        <w:rPr>
          <w:rFonts w:ascii="Times New Roman" w:hAnsi="Times New Roman" w:cs="Times New Roman"/>
          <w:color w:val="000000"/>
          <w:sz w:val="26"/>
          <w:szCs w:val="26"/>
        </w:rPr>
        <w:t xml:space="preserve"> the landlord her mailing address or delivery instructions</w:t>
      </w:r>
      <w:r w:rsidR="00281741" w:rsidRPr="005213DE">
        <w:rPr>
          <w:rFonts w:ascii="Times New Roman" w:hAnsi="Times New Roman" w:cs="Times New Roman"/>
          <w:color w:val="000000"/>
          <w:sz w:val="26"/>
          <w:szCs w:val="26"/>
        </w:rPr>
        <w:t xml:space="preserve">. Three weeks is reduced to five days if the tenancy is terminated by </w:t>
      </w:r>
      <w:r w:rsidR="007E2BD9" w:rsidRPr="005213DE">
        <w:rPr>
          <w:rFonts w:ascii="Times New Roman" w:hAnsi="Times New Roman" w:cs="Times New Roman"/>
          <w:color w:val="000000"/>
          <w:sz w:val="26"/>
          <w:szCs w:val="26"/>
        </w:rPr>
        <w:t>condemnation.</w:t>
      </w:r>
    </w:p>
    <w:p w14:paraId="6C0277D7" w14:textId="610721D4" w:rsidR="009A7F9C" w:rsidRPr="005213DE" w:rsidRDefault="009A7F9C" w:rsidP="00E851FC">
      <w:pPr>
        <w:jc w:val="both"/>
        <w:rPr>
          <w:rFonts w:ascii="Times New Roman" w:hAnsi="Times New Roman" w:cs="Times New Roman"/>
          <w:sz w:val="26"/>
          <w:szCs w:val="26"/>
        </w:rPr>
      </w:pPr>
      <w:r w:rsidRPr="005213DE">
        <w:rPr>
          <w:rFonts w:ascii="Times New Roman" w:hAnsi="Times New Roman" w:cs="Times New Roman"/>
          <w:color w:val="000000"/>
          <w:sz w:val="26"/>
          <w:szCs w:val="26"/>
        </w:rPr>
        <w:lastRenderedPageBreak/>
        <w:t xml:space="preserve">Given that the landlord cannot breach </w:t>
      </w:r>
      <w:r w:rsidRPr="005213DE">
        <w:rPr>
          <w:rFonts w:ascii="Times New Roman" w:hAnsi="Times New Roman" w:cs="Times New Roman"/>
          <w:sz w:val="26"/>
          <w:szCs w:val="26"/>
        </w:rPr>
        <w:t>Minn. Stat. § 504B.178, subdivision 3 until this three-week</w:t>
      </w:r>
      <w:r w:rsidR="007E2BD9" w:rsidRPr="005213DE">
        <w:rPr>
          <w:rFonts w:ascii="Times New Roman" w:hAnsi="Times New Roman" w:cs="Times New Roman"/>
          <w:sz w:val="26"/>
          <w:szCs w:val="26"/>
        </w:rPr>
        <w:t>/five-day</w:t>
      </w:r>
      <w:r w:rsidRPr="005213DE">
        <w:rPr>
          <w:rFonts w:ascii="Times New Roman" w:hAnsi="Times New Roman" w:cs="Times New Roman"/>
          <w:sz w:val="26"/>
          <w:szCs w:val="26"/>
        </w:rPr>
        <w:t xml:space="preserve"> point, the poorly</w:t>
      </w:r>
      <w:r w:rsidR="00D97C26">
        <w:rPr>
          <w:rFonts w:ascii="Times New Roman" w:hAnsi="Times New Roman" w:cs="Times New Roman"/>
          <w:sz w:val="26"/>
          <w:szCs w:val="26"/>
        </w:rPr>
        <w:t>-d</w:t>
      </w:r>
      <w:r w:rsidRPr="005213DE">
        <w:rPr>
          <w:rFonts w:ascii="Times New Roman" w:hAnsi="Times New Roman" w:cs="Times New Roman"/>
          <w:sz w:val="26"/>
          <w:szCs w:val="26"/>
        </w:rPr>
        <w:t>rafted</w:t>
      </w:r>
      <w:r w:rsidR="00D97C26">
        <w:rPr>
          <w:rFonts w:ascii="Times New Roman" w:hAnsi="Times New Roman" w:cs="Times New Roman"/>
          <w:sz w:val="26"/>
          <w:szCs w:val="26"/>
        </w:rPr>
        <w:t xml:space="preserve">, </w:t>
      </w:r>
      <w:r w:rsidRPr="005213DE">
        <w:rPr>
          <w:rFonts w:ascii="Times New Roman" w:hAnsi="Times New Roman" w:cs="Times New Roman"/>
          <w:sz w:val="26"/>
          <w:szCs w:val="26"/>
        </w:rPr>
        <w:t>last part of Minn. Stat. § 504B.178, subdivision 4 must refer to this three-week</w:t>
      </w:r>
      <w:r w:rsidR="007E2BD9" w:rsidRPr="005213DE">
        <w:rPr>
          <w:rFonts w:ascii="Times New Roman" w:hAnsi="Times New Roman" w:cs="Times New Roman"/>
          <w:sz w:val="26"/>
          <w:szCs w:val="26"/>
        </w:rPr>
        <w:t>/five-day</w:t>
      </w:r>
      <w:r w:rsidRPr="005213DE">
        <w:rPr>
          <w:rFonts w:ascii="Times New Roman" w:hAnsi="Times New Roman" w:cs="Times New Roman"/>
          <w:sz w:val="26"/>
          <w:szCs w:val="26"/>
        </w:rPr>
        <w:t xml:space="preserve"> point plus a day as the day the tenant’s Type A claim vests.</w:t>
      </w:r>
      <w:r w:rsidR="007E2BD9" w:rsidRPr="005213DE">
        <w:rPr>
          <w:rFonts w:ascii="Times New Roman" w:hAnsi="Times New Roman" w:cs="Times New Roman"/>
          <w:sz w:val="26"/>
          <w:szCs w:val="26"/>
        </w:rPr>
        <w:t xml:space="preserve"> Put another way, the phrase “after receipt of the tenant's mailing address or delivery instructions, as required in subdivision 3” in subdivision 4 becomes duplicative in a Type-A failure.</w:t>
      </w:r>
    </w:p>
    <w:p w14:paraId="2DE14E2F" w14:textId="2C3557F5" w:rsidR="00CB6BFD" w:rsidRPr="008555EF" w:rsidRDefault="00CB6BFD" w:rsidP="00CB6BFD">
      <w:pPr>
        <w:ind w:firstLine="720"/>
        <w:jc w:val="both"/>
        <w:rPr>
          <w:rFonts w:ascii="Times New Roman" w:hAnsi="Times New Roman" w:cs="Times New Roman"/>
          <w:b/>
          <w:bCs/>
          <w:color w:val="000000"/>
          <w:sz w:val="26"/>
          <w:szCs w:val="26"/>
          <w:u w:val="single"/>
        </w:rPr>
      </w:pPr>
      <w:bookmarkStart w:id="1" w:name="_Hlk223187247"/>
      <w:r w:rsidRPr="008555EF">
        <w:rPr>
          <w:rFonts w:ascii="Times New Roman" w:hAnsi="Times New Roman" w:cs="Times New Roman"/>
          <w:b/>
          <w:bCs/>
          <w:color w:val="000000"/>
          <w:sz w:val="26"/>
          <w:szCs w:val="26"/>
          <w:u w:val="single"/>
        </w:rPr>
        <w:t>B.</w:t>
      </w:r>
      <w:r w:rsidR="006E4200">
        <w:rPr>
          <w:rFonts w:ascii="Times New Roman" w:hAnsi="Times New Roman" w:cs="Times New Roman"/>
          <w:b/>
          <w:bCs/>
          <w:color w:val="000000"/>
          <w:sz w:val="26"/>
          <w:szCs w:val="26"/>
          <w:u w:val="single"/>
        </w:rPr>
        <w:t xml:space="preserve"> </w:t>
      </w:r>
      <w:r w:rsidRPr="008555EF">
        <w:rPr>
          <w:rFonts w:ascii="Times New Roman" w:hAnsi="Times New Roman" w:cs="Times New Roman"/>
          <w:b/>
          <w:bCs/>
          <w:color w:val="000000"/>
          <w:sz w:val="26"/>
          <w:szCs w:val="26"/>
          <w:u w:val="single"/>
        </w:rPr>
        <w:t>Time to Sue for a Type-B Failure</w:t>
      </w:r>
    </w:p>
    <w:p w14:paraId="4A0B1BC7" w14:textId="6A186463" w:rsidR="00E2496D" w:rsidRPr="005213DE" w:rsidRDefault="008339F1" w:rsidP="00E2496D">
      <w:pPr>
        <w:ind w:left="720" w:firstLine="720"/>
        <w:jc w:val="both"/>
        <w:rPr>
          <w:rFonts w:ascii="Times New Roman" w:hAnsi="Times New Roman" w:cs="Times New Roman"/>
          <w:color w:val="000000"/>
          <w:sz w:val="26"/>
          <w:szCs w:val="26"/>
          <w:u w:val="single"/>
        </w:rPr>
      </w:pPr>
      <w:r>
        <w:rPr>
          <w:rFonts w:ascii="Times New Roman" w:hAnsi="Times New Roman" w:cs="Times New Roman"/>
          <w:color w:val="000000"/>
          <w:sz w:val="26"/>
          <w:szCs w:val="26"/>
          <w:u w:val="single"/>
        </w:rPr>
        <w:t xml:space="preserve">1. </w:t>
      </w:r>
      <w:r w:rsidR="00E2496D">
        <w:rPr>
          <w:rFonts w:ascii="Times New Roman" w:hAnsi="Times New Roman" w:cs="Times New Roman"/>
          <w:color w:val="000000"/>
          <w:sz w:val="26"/>
          <w:szCs w:val="26"/>
          <w:u w:val="single"/>
        </w:rPr>
        <w:t>Analysis of the statute’s language</w:t>
      </w:r>
    </w:p>
    <w:bookmarkEnd w:id="1"/>
    <w:p w14:paraId="107F28D7" w14:textId="0C88E117" w:rsidR="00740434" w:rsidRPr="005213DE" w:rsidRDefault="005C5A8C" w:rsidP="00227FF4">
      <w:pPr>
        <w:jc w:val="both"/>
        <w:rPr>
          <w:rFonts w:ascii="Times New Roman" w:hAnsi="Times New Roman" w:cs="Times New Roman"/>
          <w:color w:val="000000" w:themeColor="text1"/>
          <w:sz w:val="26"/>
          <w:szCs w:val="26"/>
        </w:rPr>
      </w:pPr>
      <w:r w:rsidRPr="005213DE">
        <w:rPr>
          <w:rFonts w:ascii="Times New Roman" w:hAnsi="Times New Roman" w:cs="Times New Roman"/>
          <w:color w:val="000000"/>
          <w:sz w:val="26"/>
          <w:szCs w:val="26"/>
        </w:rPr>
        <w:t>This type of breach can only occur if there is a transfer of interest in the property. However,</w:t>
      </w:r>
      <w:r w:rsidR="00631774" w:rsidRPr="005213DE">
        <w:rPr>
          <w:rFonts w:ascii="Times New Roman" w:hAnsi="Times New Roman" w:cs="Times New Roman"/>
          <w:color w:val="000000"/>
          <w:sz w:val="26"/>
          <w:szCs w:val="26"/>
        </w:rPr>
        <w:t xml:space="preserve"> subdivision 4</w:t>
      </w:r>
      <w:r w:rsidR="00AA33B9">
        <w:rPr>
          <w:rFonts w:ascii="Times New Roman" w:hAnsi="Times New Roman" w:cs="Times New Roman"/>
          <w:color w:val="000000"/>
          <w:sz w:val="26"/>
          <w:szCs w:val="26"/>
        </w:rPr>
        <w:t xml:space="preserve">(3) </w:t>
      </w:r>
      <w:r w:rsidR="00631774" w:rsidRPr="005213DE">
        <w:rPr>
          <w:rFonts w:ascii="Times New Roman" w:hAnsi="Times New Roman" w:cs="Times New Roman"/>
          <w:color w:val="000000"/>
          <w:sz w:val="26"/>
          <w:szCs w:val="26"/>
        </w:rPr>
        <w:t>says, “</w:t>
      </w:r>
      <w:r w:rsidR="00631774" w:rsidRPr="005213DE">
        <w:rPr>
          <w:rFonts w:ascii="Times New Roman" w:hAnsi="Times New Roman" w:cs="Times New Roman"/>
          <w:sz w:val="26"/>
          <w:szCs w:val="26"/>
        </w:rPr>
        <w:t xml:space="preserve">Any landlord who fails to … (3) transfer or return a deposit as required by subdivision 5 … </w:t>
      </w:r>
      <w:r w:rsidR="00631774" w:rsidRPr="005213DE">
        <w:rPr>
          <w:rFonts w:ascii="Times New Roman" w:hAnsi="Times New Roman" w:cs="Times New Roman"/>
          <w:color w:val="000000" w:themeColor="text1"/>
          <w:sz w:val="26"/>
          <w:szCs w:val="26"/>
          <w:u w:val="single"/>
        </w:rPr>
        <w:t xml:space="preserve">after receipt of the tenant's mailing address or delivery instructions, as required in subdivision 3, is liable to the </w:t>
      </w:r>
      <w:r w:rsidR="00631774" w:rsidRPr="005213DE">
        <w:rPr>
          <w:rFonts w:ascii="Times New Roman" w:hAnsi="Times New Roman" w:cs="Times New Roman"/>
          <w:b/>
          <w:bCs/>
          <w:color w:val="000000" w:themeColor="text1"/>
          <w:sz w:val="26"/>
          <w:szCs w:val="26"/>
          <w:u w:val="single"/>
        </w:rPr>
        <w:t xml:space="preserve">tenant. </w:t>
      </w:r>
      <w:r w:rsidR="00631774" w:rsidRPr="005213DE">
        <w:rPr>
          <w:rFonts w:ascii="Times New Roman" w:hAnsi="Times New Roman" w:cs="Times New Roman"/>
          <w:color w:val="000000" w:themeColor="text1"/>
          <w:sz w:val="26"/>
          <w:szCs w:val="26"/>
        </w:rPr>
        <w:t xml:space="preserve">[emphasis added]”. Therefore, even though subdivision 5 </w:t>
      </w:r>
      <w:r w:rsidR="00AA33B9">
        <w:rPr>
          <w:rFonts w:ascii="Times New Roman" w:hAnsi="Times New Roman" w:cs="Times New Roman"/>
          <w:color w:val="000000" w:themeColor="text1"/>
          <w:sz w:val="26"/>
          <w:szCs w:val="26"/>
        </w:rPr>
        <w:t>primarily involves</w:t>
      </w:r>
      <w:r w:rsidR="00631774" w:rsidRPr="005213DE">
        <w:rPr>
          <w:rFonts w:ascii="Times New Roman" w:hAnsi="Times New Roman" w:cs="Times New Roman"/>
          <w:color w:val="000000" w:themeColor="text1"/>
          <w:sz w:val="26"/>
          <w:szCs w:val="26"/>
        </w:rPr>
        <w:t xml:space="preserve"> an obligation of the predecessor </w:t>
      </w:r>
      <w:r w:rsidR="000D5471" w:rsidRPr="005213DE">
        <w:rPr>
          <w:rFonts w:ascii="Times New Roman" w:hAnsi="Times New Roman" w:cs="Times New Roman"/>
          <w:color w:val="000000" w:themeColor="text1"/>
          <w:sz w:val="26"/>
          <w:szCs w:val="26"/>
        </w:rPr>
        <w:t xml:space="preserve">(original </w:t>
      </w:r>
      <w:r w:rsidR="00631774" w:rsidRPr="005213DE">
        <w:rPr>
          <w:rFonts w:ascii="Times New Roman" w:hAnsi="Times New Roman" w:cs="Times New Roman"/>
          <w:color w:val="000000" w:themeColor="text1"/>
          <w:sz w:val="26"/>
          <w:szCs w:val="26"/>
        </w:rPr>
        <w:t>landlord</w:t>
      </w:r>
      <w:r w:rsidR="000D5471" w:rsidRPr="005213DE">
        <w:rPr>
          <w:rFonts w:ascii="Times New Roman" w:hAnsi="Times New Roman" w:cs="Times New Roman"/>
          <w:color w:val="000000" w:themeColor="text1"/>
          <w:sz w:val="26"/>
          <w:szCs w:val="26"/>
        </w:rPr>
        <w:t>)</w:t>
      </w:r>
      <w:r w:rsidR="00631774" w:rsidRPr="005213DE">
        <w:rPr>
          <w:rFonts w:ascii="Times New Roman" w:hAnsi="Times New Roman" w:cs="Times New Roman"/>
          <w:color w:val="000000" w:themeColor="text1"/>
          <w:sz w:val="26"/>
          <w:szCs w:val="26"/>
        </w:rPr>
        <w:t xml:space="preserve"> to successor </w:t>
      </w:r>
      <w:r w:rsidR="000D5471" w:rsidRPr="005213DE">
        <w:rPr>
          <w:rFonts w:ascii="Times New Roman" w:hAnsi="Times New Roman" w:cs="Times New Roman"/>
          <w:color w:val="000000" w:themeColor="text1"/>
          <w:sz w:val="26"/>
          <w:szCs w:val="26"/>
        </w:rPr>
        <w:t xml:space="preserve">(eventual </w:t>
      </w:r>
      <w:r w:rsidR="00631774" w:rsidRPr="005213DE">
        <w:rPr>
          <w:rFonts w:ascii="Times New Roman" w:hAnsi="Times New Roman" w:cs="Times New Roman"/>
          <w:color w:val="000000" w:themeColor="text1"/>
          <w:sz w:val="26"/>
          <w:szCs w:val="26"/>
        </w:rPr>
        <w:t>landlord</w:t>
      </w:r>
      <w:r w:rsidR="000D5471" w:rsidRPr="005213DE">
        <w:rPr>
          <w:rFonts w:ascii="Times New Roman" w:hAnsi="Times New Roman" w:cs="Times New Roman"/>
          <w:color w:val="000000" w:themeColor="text1"/>
          <w:sz w:val="26"/>
          <w:szCs w:val="26"/>
        </w:rPr>
        <w:t>),</w:t>
      </w:r>
      <w:r w:rsidR="00631774" w:rsidRPr="005213DE">
        <w:rPr>
          <w:rFonts w:ascii="Times New Roman" w:hAnsi="Times New Roman" w:cs="Times New Roman"/>
          <w:color w:val="000000" w:themeColor="text1"/>
          <w:sz w:val="26"/>
          <w:szCs w:val="26"/>
        </w:rPr>
        <w:t xml:space="preserve"> subdivision 4</w:t>
      </w:r>
      <w:r w:rsidR="00AA33B9">
        <w:rPr>
          <w:rFonts w:ascii="Times New Roman" w:hAnsi="Times New Roman" w:cs="Times New Roman"/>
          <w:color w:val="000000" w:themeColor="text1"/>
          <w:sz w:val="26"/>
          <w:szCs w:val="26"/>
        </w:rPr>
        <w:t>(3)</w:t>
      </w:r>
      <w:r w:rsidR="00631774" w:rsidRPr="005213DE">
        <w:rPr>
          <w:rFonts w:ascii="Times New Roman" w:hAnsi="Times New Roman" w:cs="Times New Roman"/>
          <w:color w:val="000000" w:themeColor="text1"/>
          <w:sz w:val="26"/>
          <w:szCs w:val="26"/>
        </w:rPr>
        <w:t xml:space="preserve"> only gives the </w:t>
      </w:r>
      <w:r w:rsidR="00631774" w:rsidRPr="005213DE">
        <w:rPr>
          <w:rFonts w:ascii="Times New Roman" w:hAnsi="Times New Roman" w:cs="Times New Roman"/>
          <w:color w:val="000000" w:themeColor="text1"/>
          <w:sz w:val="26"/>
          <w:szCs w:val="26"/>
          <w:u w:val="single"/>
        </w:rPr>
        <w:t>tenant</w:t>
      </w:r>
      <w:r w:rsidR="00631774" w:rsidRPr="005213DE">
        <w:rPr>
          <w:rFonts w:ascii="Times New Roman" w:hAnsi="Times New Roman" w:cs="Times New Roman"/>
          <w:color w:val="000000" w:themeColor="text1"/>
          <w:sz w:val="26"/>
          <w:szCs w:val="26"/>
        </w:rPr>
        <w:t xml:space="preserve"> the right to sue for the doubling penalty. </w:t>
      </w:r>
    </w:p>
    <w:p w14:paraId="423B2BCD" w14:textId="5A5CC15A" w:rsidR="00B639F4" w:rsidRPr="005213DE" w:rsidRDefault="00BB37F9" w:rsidP="00740434">
      <w:pPr>
        <w:rPr>
          <w:rFonts w:ascii="Times New Roman" w:hAnsi="Times New Roman" w:cs="Times New Roman"/>
          <w:color w:val="000000"/>
          <w:sz w:val="26"/>
          <w:szCs w:val="26"/>
        </w:rPr>
      </w:pPr>
      <w:r w:rsidRPr="005213DE">
        <w:rPr>
          <w:rFonts w:ascii="Times New Roman" w:hAnsi="Times New Roman" w:cs="Times New Roman"/>
          <w:color w:val="000000"/>
          <w:sz w:val="26"/>
          <w:szCs w:val="26"/>
        </w:rPr>
        <w:t>That said, if</w:t>
      </w:r>
      <w:r w:rsidR="00227FF4" w:rsidRPr="005213DE">
        <w:rPr>
          <w:rFonts w:ascii="Times New Roman" w:hAnsi="Times New Roman" w:cs="Times New Roman"/>
          <w:color w:val="000000"/>
          <w:sz w:val="26"/>
          <w:szCs w:val="26"/>
        </w:rPr>
        <w:t xml:space="preserve"> there is a transfer of interest, </w:t>
      </w:r>
      <w:r w:rsidR="00DD43CE" w:rsidRPr="005213DE">
        <w:rPr>
          <w:rFonts w:ascii="Times New Roman" w:hAnsi="Times New Roman" w:cs="Times New Roman"/>
          <w:color w:val="000000"/>
          <w:sz w:val="26"/>
          <w:szCs w:val="26"/>
        </w:rPr>
        <w:t>how</w:t>
      </w:r>
      <w:r w:rsidRPr="005213DE">
        <w:rPr>
          <w:rFonts w:ascii="Times New Roman" w:hAnsi="Times New Roman" w:cs="Times New Roman"/>
          <w:color w:val="000000"/>
          <w:sz w:val="26"/>
          <w:szCs w:val="26"/>
        </w:rPr>
        <w:t xml:space="preserve"> can </w:t>
      </w:r>
      <w:r w:rsidR="00227FF4" w:rsidRPr="005213DE">
        <w:rPr>
          <w:rFonts w:ascii="Times New Roman" w:hAnsi="Times New Roman" w:cs="Times New Roman"/>
          <w:color w:val="000000"/>
          <w:sz w:val="26"/>
          <w:szCs w:val="26"/>
        </w:rPr>
        <w:t>the predecessor in interest (“landlord” in subdivision 5)</w:t>
      </w:r>
      <w:r w:rsidR="008B07ED" w:rsidRPr="005213DE">
        <w:rPr>
          <w:rFonts w:ascii="Times New Roman" w:hAnsi="Times New Roman" w:cs="Times New Roman"/>
          <w:color w:val="000000"/>
          <w:sz w:val="26"/>
          <w:szCs w:val="26"/>
        </w:rPr>
        <w:t xml:space="preserve"> breach</w:t>
      </w:r>
      <w:r w:rsidR="00DD43CE" w:rsidRPr="005213DE">
        <w:rPr>
          <w:rFonts w:ascii="Times New Roman" w:hAnsi="Times New Roman" w:cs="Times New Roman"/>
          <w:color w:val="000000"/>
          <w:sz w:val="26"/>
          <w:szCs w:val="26"/>
        </w:rPr>
        <w:t>?</w:t>
      </w:r>
      <w:r w:rsidRPr="005213DE">
        <w:rPr>
          <w:rFonts w:ascii="Times New Roman" w:hAnsi="Times New Roman" w:cs="Times New Roman"/>
          <w:color w:val="000000"/>
          <w:sz w:val="26"/>
          <w:szCs w:val="26"/>
        </w:rPr>
        <w:t xml:space="preserve"> There are </w:t>
      </w:r>
      <w:r w:rsidR="00DB15DA" w:rsidRPr="005213DE">
        <w:rPr>
          <w:rFonts w:ascii="Times New Roman" w:hAnsi="Times New Roman" w:cs="Times New Roman"/>
          <w:color w:val="000000"/>
          <w:sz w:val="26"/>
          <w:szCs w:val="26"/>
        </w:rPr>
        <w:t>two</w:t>
      </w:r>
      <w:r w:rsidRPr="005213DE">
        <w:rPr>
          <w:rFonts w:ascii="Times New Roman" w:hAnsi="Times New Roman" w:cs="Times New Roman"/>
          <w:color w:val="000000"/>
          <w:sz w:val="26"/>
          <w:szCs w:val="26"/>
        </w:rPr>
        <w:t xml:space="preserve"> such</w:t>
      </w:r>
      <w:r w:rsidR="00227FF4" w:rsidRPr="005213DE">
        <w:rPr>
          <w:rFonts w:ascii="Times New Roman" w:hAnsi="Times New Roman" w:cs="Times New Roman"/>
          <w:color w:val="000000"/>
          <w:sz w:val="26"/>
          <w:szCs w:val="26"/>
        </w:rPr>
        <w:t xml:space="preserve"> situations:</w:t>
      </w:r>
    </w:p>
    <w:p w14:paraId="4A470E40" w14:textId="7FD2613E" w:rsidR="0023784F" w:rsidRPr="005213DE" w:rsidRDefault="00227FF4" w:rsidP="0023784F">
      <w:pPr>
        <w:ind w:left="720"/>
        <w:rPr>
          <w:rFonts w:ascii="Times New Roman" w:hAnsi="Times New Roman" w:cs="Times New Roman"/>
          <w:color w:val="000000"/>
          <w:sz w:val="26"/>
          <w:szCs w:val="26"/>
        </w:rPr>
      </w:pPr>
      <w:r w:rsidRPr="005213DE">
        <w:rPr>
          <w:rFonts w:ascii="Times New Roman" w:hAnsi="Times New Roman" w:cs="Times New Roman"/>
          <w:color w:val="000000"/>
          <w:sz w:val="26"/>
          <w:szCs w:val="26"/>
        </w:rPr>
        <w:t xml:space="preserve">[Situation X] The predecessor never does the transfer to the successor under part (1) of subdivision 5 </w:t>
      </w:r>
      <w:r w:rsidR="00BB37F9" w:rsidRPr="005213DE">
        <w:rPr>
          <w:rFonts w:ascii="Times New Roman" w:hAnsi="Times New Roman" w:cs="Times New Roman"/>
          <w:color w:val="000000"/>
          <w:sz w:val="26"/>
          <w:szCs w:val="26"/>
        </w:rPr>
        <w:t>and</w:t>
      </w:r>
      <w:r w:rsidRPr="005213DE">
        <w:rPr>
          <w:rFonts w:ascii="Times New Roman" w:hAnsi="Times New Roman" w:cs="Times New Roman"/>
          <w:color w:val="000000"/>
          <w:sz w:val="26"/>
          <w:szCs w:val="26"/>
        </w:rPr>
        <w:t xml:space="preserve"> never returns the deposit or accounts for the deposit under part (</w:t>
      </w:r>
      <w:r w:rsidR="00E90B60" w:rsidRPr="005213DE">
        <w:rPr>
          <w:rFonts w:ascii="Times New Roman" w:hAnsi="Times New Roman" w:cs="Times New Roman"/>
          <w:color w:val="000000"/>
          <w:sz w:val="26"/>
          <w:szCs w:val="26"/>
        </w:rPr>
        <w:t>2</w:t>
      </w:r>
      <w:r w:rsidRPr="005213DE">
        <w:rPr>
          <w:rFonts w:ascii="Times New Roman" w:hAnsi="Times New Roman" w:cs="Times New Roman"/>
          <w:color w:val="000000"/>
          <w:sz w:val="26"/>
          <w:szCs w:val="26"/>
        </w:rPr>
        <w:t>) of subdivision 5</w:t>
      </w:r>
      <w:r w:rsidR="00DB15DA" w:rsidRPr="005213DE">
        <w:rPr>
          <w:rFonts w:ascii="Times New Roman" w:hAnsi="Times New Roman" w:cs="Times New Roman"/>
          <w:color w:val="000000"/>
          <w:sz w:val="26"/>
          <w:szCs w:val="26"/>
        </w:rPr>
        <w:t>,</w:t>
      </w:r>
      <w:r w:rsidR="0023784F" w:rsidRPr="005213DE">
        <w:rPr>
          <w:rFonts w:ascii="Times New Roman" w:hAnsi="Times New Roman" w:cs="Times New Roman"/>
          <w:color w:val="000000"/>
          <w:sz w:val="26"/>
          <w:szCs w:val="26"/>
        </w:rPr>
        <w:t xml:space="preserve"> or does not do them within 60 days of the transfer of interest.</w:t>
      </w:r>
    </w:p>
    <w:p w14:paraId="3CBD3C67" w14:textId="3A2E3939" w:rsidR="000D5471" w:rsidRPr="005213DE" w:rsidRDefault="00014C95" w:rsidP="00F107E5">
      <w:pPr>
        <w:ind w:left="720"/>
        <w:rPr>
          <w:rFonts w:ascii="Times New Roman" w:hAnsi="Times New Roman" w:cs="Times New Roman"/>
          <w:color w:val="000000"/>
          <w:sz w:val="26"/>
          <w:szCs w:val="26"/>
        </w:rPr>
      </w:pPr>
      <w:r w:rsidRPr="005213DE">
        <w:rPr>
          <w:rFonts w:ascii="Times New Roman" w:hAnsi="Times New Roman" w:cs="Times New Roman"/>
          <w:color w:val="000000"/>
          <w:sz w:val="26"/>
          <w:szCs w:val="26"/>
        </w:rPr>
        <w:t xml:space="preserve">[Situation </w:t>
      </w:r>
      <w:r w:rsidR="00414FD6">
        <w:rPr>
          <w:rFonts w:ascii="Times New Roman" w:hAnsi="Times New Roman" w:cs="Times New Roman"/>
          <w:color w:val="000000"/>
          <w:sz w:val="26"/>
          <w:szCs w:val="26"/>
        </w:rPr>
        <w:t>Y] Fi</w:t>
      </w:r>
      <w:r w:rsidR="00E90B60" w:rsidRPr="005213DE">
        <w:rPr>
          <w:rFonts w:ascii="Times New Roman" w:hAnsi="Times New Roman" w:cs="Times New Roman"/>
          <w:color w:val="000000"/>
          <w:sz w:val="26"/>
          <w:szCs w:val="26"/>
        </w:rPr>
        <w:t xml:space="preserve">rst, </w:t>
      </w:r>
      <w:r w:rsidR="00DD43CE" w:rsidRPr="005213DE">
        <w:rPr>
          <w:rFonts w:ascii="Times New Roman" w:hAnsi="Times New Roman" w:cs="Times New Roman"/>
          <w:color w:val="000000"/>
          <w:sz w:val="26"/>
          <w:szCs w:val="26"/>
        </w:rPr>
        <w:t>the deadline by which “</w:t>
      </w:r>
      <w:r w:rsidR="00BB37F9" w:rsidRPr="005213DE">
        <w:rPr>
          <w:rFonts w:ascii="Times New Roman" w:hAnsi="Times New Roman" w:cs="Times New Roman"/>
          <w:color w:val="000000"/>
          <w:sz w:val="26"/>
          <w:szCs w:val="26"/>
        </w:rPr>
        <w:t>the successor in interest is required to return or otherwise account for the deposit to the tenant</w:t>
      </w:r>
      <w:r w:rsidR="00DD43CE" w:rsidRPr="005213DE">
        <w:rPr>
          <w:rFonts w:ascii="Times New Roman" w:hAnsi="Times New Roman" w:cs="Times New Roman"/>
          <w:color w:val="000000"/>
          <w:sz w:val="26"/>
          <w:szCs w:val="26"/>
        </w:rPr>
        <w:t xml:space="preserve">” has come and gone. This is the three-week or five-day deadline briefly discussed above and at length in </w:t>
      </w:r>
      <w:hyperlink r:id="rId11" w:history="1">
        <w:r w:rsidR="00DD43CE" w:rsidRPr="005213DE">
          <w:rPr>
            <w:rStyle w:val="Hyperlink"/>
            <w:rFonts w:ascii="Times New Roman" w:hAnsi="Times New Roman" w:cs="Times New Roman"/>
            <w:sz w:val="26"/>
            <w:szCs w:val="26"/>
          </w:rPr>
          <w:t>Mungall v. Garry: The Court of Appeals Misconstrues the 21-Day Clock in Minn. Stat. § 504B.178</w:t>
        </w:r>
      </w:hyperlink>
      <w:r w:rsidR="00BB37F9" w:rsidRPr="005213DE">
        <w:rPr>
          <w:rFonts w:ascii="Times New Roman" w:hAnsi="Times New Roman" w:cs="Times New Roman"/>
          <w:color w:val="000000"/>
          <w:sz w:val="26"/>
          <w:szCs w:val="26"/>
        </w:rPr>
        <w:t xml:space="preserve">. </w:t>
      </w:r>
      <w:r w:rsidR="00414FD6">
        <w:rPr>
          <w:rFonts w:ascii="Times New Roman" w:hAnsi="Times New Roman" w:cs="Times New Roman"/>
          <w:color w:val="000000"/>
          <w:sz w:val="26"/>
          <w:szCs w:val="26"/>
        </w:rPr>
        <w:t>T</w:t>
      </w:r>
      <w:r w:rsidR="00DD43CE" w:rsidRPr="005213DE">
        <w:rPr>
          <w:rFonts w:ascii="Times New Roman" w:hAnsi="Times New Roman" w:cs="Times New Roman"/>
          <w:color w:val="000000"/>
          <w:sz w:val="26"/>
          <w:szCs w:val="26"/>
        </w:rPr>
        <w:t>h</w:t>
      </w:r>
      <w:r w:rsidR="00414FD6">
        <w:rPr>
          <w:rFonts w:ascii="Times New Roman" w:hAnsi="Times New Roman" w:cs="Times New Roman"/>
          <w:color w:val="000000"/>
          <w:sz w:val="26"/>
          <w:szCs w:val="26"/>
        </w:rPr>
        <w:t>e</w:t>
      </w:r>
      <w:r w:rsidR="00DD43CE" w:rsidRPr="005213DE">
        <w:rPr>
          <w:rFonts w:ascii="Times New Roman" w:hAnsi="Times New Roman" w:cs="Times New Roman"/>
          <w:color w:val="000000"/>
          <w:sz w:val="26"/>
          <w:szCs w:val="26"/>
        </w:rPr>
        <w:t xml:space="preserve"> deadline facing the </w:t>
      </w:r>
      <w:r w:rsidR="00DD43CE" w:rsidRPr="005213DE">
        <w:rPr>
          <w:rFonts w:ascii="Times New Roman" w:hAnsi="Times New Roman" w:cs="Times New Roman"/>
          <w:i/>
          <w:iCs/>
          <w:color w:val="000000"/>
          <w:sz w:val="26"/>
          <w:szCs w:val="26"/>
        </w:rPr>
        <w:t>predecessor in interest</w:t>
      </w:r>
      <w:r w:rsidR="00DD43CE" w:rsidRPr="005213DE">
        <w:rPr>
          <w:rFonts w:ascii="Times New Roman" w:hAnsi="Times New Roman" w:cs="Times New Roman"/>
          <w:color w:val="000000"/>
          <w:sz w:val="26"/>
          <w:szCs w:val="26"/>
        </w:rPr>
        <w:t xml:space="preserve"> is defined by acts of the tenant and the </w:t>
      </w:r>
      <w:r w:rsidR="00DD43CE" w:rsidRPr="005213DE">
        <w:rPr>
          <w:rFonts w:ascii="Times New Roman" w:hAnsi="Times New Roman" w:cs="Times New Roman"/>
          <w:i/>
          <w:iCs/>
          <w:color w:val="000000"/>
          <w:sz w:val="26"/>
          <w:szCs w:val="26"/>
        </w:rPr>
        <w:t>successor in interest</w:t>
      </w:r>
      <w:r w:rsidR="00DD43CE" w:rsidRPr="005213DE">
        <w:rPr>
          <w:rFonts w:ascii="Times New Roman" w:hAnsi="Times New Roman" w:cs="Times New Roman"/>
          <w:color w:val="000000"/>
          <w:sz w:val="26"/>
          <w:szCs w:val="26"/>
        </w:rPr>
        <w:t xml:space="preserve">. </w:t>
      </w:r>
      <w:r w:rsidR="00E90B60" w:rsidRPr="005213DE">
        <w:rPr>
          <w:rFonts w:ascii="Times New Roman" w:hAnsi="Times New Roman" w:cs="Times New Roman"/>
          <w:color w:val="000000"/>
          <w:sz w:val="26"/>
          <w:szCs w:val="26"/>
        </w:rPr>
        <w:t xml:space="preserve">Second, </w:t>
      </w:r>
      <w:r w:rsidR="00312D27" w:rsidRPr="005213DE">
        <w:rPr>
          <w:rFonts w:ascii="Times New Roman" w:hAnsi="Times New Roman" w:cs="Times New Roman"/>
          <w:color w:val="000000"/>
          <w:sz w:val="26"/>
          <w:szCs w:val="26"/>
        </w:rPr>
        <w:t xml:space="preserve">by </w:t>
      </w:r>
      <w:r w:rsidR="00BF1C37" w:rsidRPr="005213DE">
        <w:rPr>
          <w:rFonts w:ascii="Times New Roman" w:hAnsi="Times New Roman" w:cs="Times New Roman"/>
          <w:color w:val="000000"/>
          <w:sz w:val="26"/>
          <w:szCs w:val="26"/>
        </w:rPr>
        <w:t xml:space="preserve">the end of </w:t>
      </w:r>
      <w:r w:rsidR="00312D27" w:rsidRPr="005213DE">
        <w:rPr>
          <w:rFonts w:ascii="Times New Roman" w:hAnsi="Times New Roman" w:cs="Times New Roman"/>
          <w:color w:val="000000"/>
          <w:sz w:val="26"/>
          <w:szCs w:val="26"/>
        </w:rPr>
        <w:t xml:space="preserve">this deadline </w:t>
      </w:r>
      <w:r w:rsidR="00BF1C37" w:rsidRPr="005213DE">
        <w:rPr>
          <w:rFonts w:ascii="Times New Roman" w:hAnsi="Times New Roman" w:cs="Times New Roman"/>
          <w:color w:val="000000"/>
          <w:sz w:val="26"/>
          <w:szCs w:val="26"/>
        </w:rPr>
        <w:t xml:space="preserve">the </w:t>
      </w:r>
      <w:r w:rsidR="00DD43CE" w:rsidRPr="005213DE">
        <w:rPr>
          <w:rFonts w:ascii="Times New Roman" w:hAnsi="Times New Roman" w:cs="Times New Roman"/>
          <w:i/>
          <w:iCs/>
          <w:color w:val="000000"/>
          <w:sz w:val="26"/>
          <w:szCs w:val="26"/>
        </w:rPr>
        <w:t>predecessor in interest</w:t>
      </w:r>
      <w:r w:rsidR="00DD43CE" w:rsidRPr="005213DE">
        <w:rPr>
          <w:rFonts w:ascii="Times New Roman" w:hAnsi="Times New Roman" w:cs="Times New Roman"/>
          <w:color w:val="000000"/>
          <w:sz w:val="26"/>
          <w:szCs w:val="26"/>
        </w:rPr>
        <w:t xml:space="preserve"> </w:t>
      </w:r>
      <w:r w:rsidR="00312D27" w:rsidRPr="005213DE">
        <w:rPr>
          <w:rFonts w:ascii="Times New Roman" w:hAnsi="Times New Roman" w:cs="Times New Roman"/>
          <w:color w:val="000000"/>
          <w:sz w:val="26"/>
          <w:szCs w:val="26"/>
        </w:rPr>
        <w:t xml:space="preserve">has </w:t>
      </w:r>
      <w:r w:rsidR="00DB15DA" w:rsidRPr="005213DE">
        <w:rPr>
          <w:rFonts w:ascii="Times New Roman" w:hAnsi="Times New Roman" w:cs="Times New Roman"/>
          <w:color w:val="000000"/>
          <w:sz w:val="26"/>
          <w:szCs w:val="26"/>
        </w:rPr>
        <w:t>neither</w:t>
      </w:r>
      <w:r w:rsidR="00312D27" w:rsidRPr="005213DE">
        <w:rPr>
          <w:rFonts w:ascii="Times New Roman" w:hAnsi="Times New Roman" w:cs="Times New Roman"/>
          <w:color w:val="000000"/>
          <w:sz w:val="26"/>
          <w:szCs w:val="26"/>
        </w:rPr>
        <w:t xml:space="preserve"> done</w:t>
      </w:r>
      <w:r w:rsidR="00BF1C37" w:rsidRPr="005213DE">
        <w:rPr>
          <w:rFonts w:ascii="Times New Roman" w:hAnsi="Times New Roman" w:cs="Times New Roman"/>
          <w:color w:val="000000"/>
          <w:sz w:val="26"/>
          <w:szCs w:val="26"/>
        </w:rPr>
        <w:t xml:space="preserve"> the</w:t>
      </w:r>
      <w:r w:rsidR="00312D27" w:rsidRPr="005213DE">
        <w:rPr>
          <w:rFonts w:ascii="Times New Roman" w:hAnsi="Times New Roman" w:cs="Times New Roman"/>
          <w:color w:val="000000"/>
          <w:sz w:val="26"/>
          <w:szCs w:val="26"/>
        </w:rPr>
        <w:t xml:space="preserve"> transfer to the successor under part (1) of subdivision 5 </w:t>
      </w:r>
      <w:r w:rsidR="00DB15DA" w:rsidRPr="005213DE">
        <w:rPr>
          <w:rFonts w:ascii="Times New Roman" w:hAnsi="Times New Roman" w:cs="Times New Roman"/>
          <w:color w:val="000000"/>
          <w:sz w:val="26"/>
          <w:szCs w:val="26"/>
        </w:rPr>
        <w:t>n</w:t>
      </w:r>
      <w:r w:rsidR="00312D27" w:rsidRPr="005213DE">
        <w:rPr>
          <w:rFonts w:ascii="Times New Roman" w:hAnsi="Times New Roman" w:cs="Times New Roman"/>
          <w:color w:val="000000"/>
          <w:sz w:val="26"/>
          <w:szCs w:val="26"/>
        </w:rPr>
        <w:t>or returned the deposit or accounted for the deposit under part (2) of subdivision 5.</w:t>
      </w:r>
    </w:p>
    <w:p w14:paraId="5564C051" w14:textId="7DA0F4B4" w:rsidR="00FA048D" w:rsidRPr="005213DE" w:rsidRDefault="00132C67" w:rsidP="00227FF4">
      <w:pPr>
        <w:rPr>
          <w:rFonts w:ascii="Times New Roman" w:hAnsi="Times New Roman" w:cs="Times New Roman"/>
          <w:sz w:val="26"/>
          <w:szCs w:val="26"/>
        </w:rPr>
      </w:pPr>
      <w:r w:rsidRPr="005213DE">
        <w:rPr>
          <w:rFonts w:ascii="Times New Roman" w:hAnsi="Times New Roman" w:cs="Times New Roman"/>
          <w:sz w:val="26"/>
          <w:szCs w:val="26"/>
        </w:rPr>
        <w:t xml:space="preserve">In these </w:t>
      </w:r>
      <w:r w:rsidR="0023784F" w:rsidRPr="005213DE">
        <w:rPr>
          <w:rFonts w:ascii="Times New Roman" w:hAnsi="Times New Roman" w:cs="Times New Roman"/>
          <w:sz w:val="26"/>
          <w:szCs w:val="26"/>
        </w:rPr>
        <w:t>two</w:t>
      </w:r>
      <w:r w:rsidRPr="005213DE">
        <w:rPr>
          <w:rFonts w:ascii="Times New Roman" w:hAnsi="Times New Roman" w:cs="Times New Roman"/>
          <w:sz w:val="26"/>
          <w:szCs w:val="26"/>
        </w:rPr>
        <w:t xml:space="preserve"> situations, how does</w:t>
      </w:r>
      <w:r w:rsidR="00F107E5" w:rsidRPr="005213DE">
        <w:rPr>
          <w:rFonts w:ascii="Times New Roman" w:hAnsi="Times New Roman" w:cs="Times New Roman"/>
          <w:sz w:val="26"/>
          <w:szCs w:val="26"/>
        </w:rPr>
        <w:t xml:space="preserve"> the phrase “after receipt of the tenant's mailing address or delivery instructions, as required in subdivision 3” in subdivision 4 </w:t>
      </w:r>
      <w:r w:rsidRPr="005213DE">
        <w:rPr>
          <w:rFonts w:ascii="Times New Roman" w:hAnsi="Times New Roman" w:cs="Times New Roman"/>
          <w:sz w:val="26"/>
          <w:szCs w:val="26"/>
        </w:rPr>
        <w:t>come into play?</w:t>
      </w:r>
      <w:r w:rsidR="008B07ED" w:rsidRPr="005213DE">
        <w:rPr>
          <w:rFonts w:ascii="Times New Roman" w:hAnsi="Times New Roman" w:cs="Times New Roman"/>
          <w:sz w:val="26"/>
          <w:szCs w:val="26"/>
        </w:rPr>
        <w:t xml:space="preserve"> </w:t>
      </w:r>
    </w:p>
    <w:p w14:paraId="6650BB99" w14:textId="4276F764" w:rsidR="00132C67" w:rsidRPr="005213DE" w:rsidRDefault="00FA048D" w:rsidP="00227FF4">
      <w:pPr>
        <w:rPr>
          <w:rFonts w:ascii="Times New Roman" w:hAnsi="Times New Roman" w:cs="Times New Roman"/>
          <w:sz w:val="26"/>
          <w:szCs w:val="26"/>
        </w:rPr>
      </w:pPr>
      <w:r w:rsidRPr="005213DE">
        <w:rPr>
          <w:rFonts w:ascii="Times New Roman" w:hAnsi="Times New Roman" w:cs="Times New Roman"/>
          <w:sz w:val="26"/>
          <w:szCs w:val="26"/>
        </w:rPr>
        <w:lastRenderedPageBreak/>
        <w:t>In Situation Y, as discussed above,</w:t>
      </w:r>
      <w:r w:rsidR="005C3A64" w:rsidRPr="005213DE">
        <w:rPr>
          <w:rFonts w:ascii="Times New Roman" w:hAnsi="Times New Roman" w:cs="Times New Roman"/>
          <w:sz w:val="26"/>
          <w:szCs w:val="26"/>
        </w:rPr>
        <w:t xml:space="preserve"> </w:t>
      </w:r>
      <w:r w:rsidRPr="005213DE">
        <w:rPr>
          <w:rFonts w:ascii="Times New Roman" w:hAnsi="Times New Roman" w:cs="Times New Roman"/>
          <w:sz w:val="26"/>
          <w:szCs w:val="26"/>
        </w:rPr>
        <w:t xml:space="preserve">the successor in interest has been given the tenant’s mailing address or delivery instructions. </w:t>
      </w:r>
      <w:r w:rsidR="005C3A64" w:rsidRPr="005213DE">
        <w:rPr>
          <w:rFonts w:ascii="Times New Roman" w:hAnsi="Times New Roman" w:cs="Times New Roman"/>
          <w:sz w:val="26"/>
          <w:szCs w:val="26"/>
        </w:rPr>
        <w:t>However, is</w:t>
      </w:r>
      <w:r w:rsidRPr="005213DE">
        <w:rPr>
          <w:rFonts w:ascii="Times New Roman" w:hAnsi="Times New Roman" w:cs="Times New Roman"/>
          <w:sz w:val="26"/>
          <w:szCs w:val="26"/>
        </w:rPr>
        <w:t xml:space="preserve"> this enough to satisfy subdivision 4’s requirement – “after receipt of the tenant's mailing address or delivery instructions, as required in subdivision 3” – when the tenant is suing </w:t>
      </w:r>
      <w:r w:rsidRPr="005213DE">
        <w:rPr>
          <w:rFonts w:ascii="Times New Roman" w:hAnsi="Times New Roman" w:cs="Times New Roman"/>
          <w:sz w:val="26"/>
          <w:szCs w:val="26"/>
          <w:u w:val="single"/>
        </w:rPr>
        <w:t>the predecessor</w:t>
      </w:r>
      <w:r w:rsidRPr="005213DE">
        <w:rPr>
          <w:rFonts w:ascii="Times New Roman" w:hAnsi="Times New Roman" w:cs="Times New Roman"/>
          <w:sz w:val="26"/>
          <w:szCs w:val="26"/>
        </w:rPr>
        <w:t xml:space="preserve">? </w:t>
      </w:r>
      <w:r w:rsidR="008B07ED" w:rsidRPr="005213DE">
        <w:rPr>
          <w:rFonts w:ascii="Times New Roman" w:hAnsi="Times New Roman" w:cs="Times New Roman"/>
          <w:sz w:val="26"/>
          <w:szCs w:val="26"/>
        </w:rPr>
        <w:t>N</w:t>
      </w:r>
      <w:r w:rsidR="00C122FD" w:rsidRPr="005213DE">
        <w:rPr>
          <w:rFonts w:ascii="Times New Roman" w:hAnsi="Times New Roman" w:cs="Times New Roman"/>
          <w:sz w:val="26"/>
          <w:szCs w:val="26"/>
        </w:rPr>
        <w:t xml:space="preserve">ote the </w:t>
      </w:r>
      <w:r w:rsidR="008B07ED" w:rsidRPr="005213DE">
        <w:rPr>
          <w:rFonts w:ascii="Times New Roman" w:hAnsi="Times New Roman" w:cs="Times New Roman"/>
          <w:sz w:val="26"/>
          <w:szCs w:val="26"/>
        </w:rPr>
        <w:t>clause</w:t>
      </w:r>
      <w:r w:rsidR="00C122FD" w:rsidRPr="005213DE">
        <w:rPr>
          <w:rFonts w:ascii="Times New Roman" w:hAnsi="Times New Roman" w:cs="Times New Roman"/>
          <w:sz w:val="26"/>
          <w:szCs w:val="26"/>
        </w:rPr>
        <w:t xml:space="preserve"> in subdivision 5 saying “either of which shall relieve the landlord or agent [predecessor in interest] of further liability with respect to such deposit”. The phrase “either of which” refers </w:t>
      </w:r>
      <w:r w:rsidR="0023784F" w:rsidRPr="005213DE">
        <w:rPr>
          <w:rFonts w:ascii="Times New Roman" w:hAnsi="Times New Roman" w:cs="Times New Roman"/>
          <w:sz w:val="26"/>
          <w:szCs w:val="26"/>
        </w:rPr>
        <w:t xml:space="preserve">to </w:t>
      </w:r>
      <w:r w:rsidR="00C122FD" w:rsidRPr="005213DE">
        <w:rPr>
          <w:rFonts w:ascii="Times New Roman" w:hAnsi="Times New Roman" w:cs="Times New Roman"/>
          <w:sz w:val="26"/>
          <w:szCs w:val="26"/>
        </w:rPr>
        <w:t>the two escape routes set out in paragraphs (B)(1) and (B)(2) of subdivision 5.</w:t>
      </w:r>
      <w:r w:rsidR="008B07ED" w:rsidRPr="005213DE">
        <w:rPr>
          <w:rFonts w:ascii="Times New Roman" w:hAnsi="Times New Roman" w:cs="Times New Roman"/>
          <w:sz w:val="26"/>
          <w:szCs w:val="26"/>
        </w:rPr>
        <w:t xml:space="preserve"> This indicates that when the predecessor has taken </w:t>
      </w:r>
      <w:r w:rsidR="00DB15DA" w:rsidRPr="005213DE">
        <w:rPr>
          <w:rFonts w:ascii="Times New Roman" w:hAnsi="Times New Roman" w:cs="Times New Roman"/>
          <w:sz w:val="26"/>
          <w:szCs w:val="26"/>
        </w:rPr>
        <w:t>ne</w:t>
      </w:r>
      <w:r w:rsidR="008B07ED" w:rsidRPr="005213DE">
        <w:rPr>
          <w:rFonts w:ascii="Times New Roman" w:hAnsi="Times New Roman" w:cs="Times New Roman"/>
          <w:sz w:val="26"/>
          <w:szCs w:val="26"/>
        </w:rPr>
        <w:t>ither escape route by the applicable deadline</w:t>
      </w:r>
      <w:r w:rsidR="00DB15DA" w:rsidRPr="005213DE">
        <w:rPr>
          <w:rFonts w:ascii="Times New Roman" w:hAnsi="Times New Roman" w:cs="Times New Roman"/>
          <w:sz w:val="26"/>
          <w:szCs w:val="26"/>
        </w:rPr>
        <w:t>,</w:t>
      </w:r>
      <w:r w:rsidR="008B07ED" w:rsidRPr="005213DE">
        <w:rPr>
          <w:rFonts w:ascii="Times New Roman" w:hAnsi="Times New Roman" w:cs="Times New Roman"/>
          <w:sz w:val="26"/>
          <w:szCs w:val="26"/>
        </w:rPr>
        <w:t xml:space="preserve"> the predecessor is on the hook for the security deposit just like a successor in interest or a landlord in a non-succession situation. </w:t>
      </w:r>
      <w:r w:rsidRPr="005213DE">
        <w:rPr>
          <w:rFonts w:ascii="Times New Roman" w:hAnsi="Times New Roman" w:cs="Times New Roman"/>
          <w:sz w:val="26"/>
          <w:szCs w:val="26"/>
        </w:rPr>
        <w:t>Therefore, in Situation Y</w:t>
      </w:r>
      <w:r w:rsidR="006E70EB" w:rsidRPr="005213DE">
        <w:rPr>
          <w:rFonts w:ascii="Times New Roman" w:hAnsi="Times New Roman" w:cs="Times New Roman"/>
          <w:sz w:val="26"/>
          <w:szCs w:val="26"/>
        </w:rPr>
        <w:t>,</w:t>
      </w:r>
      <w:r w:rsidRPr="005213DE">
        <w:rPr>
          <w:rFonts w:ascii="Times New Roman" w:hAnsi="Times New Roman" w:cs="Times New Roman"/>
          <w:sz w:val="26"/>
          <w:szCs w:val="26"/>
        </w:rPr>
        <w:t xml:space="preserve"> where the tenant is suing the predecessor </w:t>
      </w:r>
      <w:r w:rsidRPr="008E6FFB">
        <w:rPr>
          <w:rFonts w:ascii="Times New Roman" w:hAnsi="Times New Roman" w:cs="Times New Roman"/>
          <w:sz w:val="26"/>
          <w:szCs w:val="26"/>
          <w:u w:val="single"/>
        </w:rPr>
        <w:t>prior</w:t>
      </w:r>
      <w:r w:rsidRPr="005213DE">
        <w:rPr>
          <w:rFonts w:ascii="Times New Roman" w:hAnsi="Times New Roman" w:cs="Times New Roman"/>
          <w:sz w:val="26"/>
          <w:szCs w:val="26"/>
        </w:rPr>
        <w:t xml:space="preserve"> to the 60-day deadline – i.e. is suing the predecessor similar to suing the successor –</w:t>
      </w:r>
      <w:r w:rsidR="00CB1A1A" w:rsidRPr="005213DE">
        <w:rPr>
          <w:rFonts w:ascii="Times New Roman" w:hAnsi="Times New Roman" w:cs="Times New Roman"/>
          <w:sz w:val="26"/>
          <w:szCs w:val="26"/>
        </w:rPr>
        <w:t>,</w:t>
      </w:r>
      <w:r w:rsidRPr="005213DE">
        <w:rPr>
          <w:rFonts w:ascii="Times New Roman" w:hAnsi="Times New Roman" w:cs="Times New Roman"/>
          <w:sz w:val="26"/>
          <w:szCs w:val="26"/>
        </w:rPr>
        <w:t xml:space="preserve"> the tenant probably has to follow the same rules regarding delivery instructions as when suing the successor or </w:t>
      </w:r>
      <w:r w:rsidR="002F5D92" w:rsidRPr="005213DE">
        <w:rPr>
          <w:rFonts w:ascii="Times New Roman" w:hAnsi="Times New Roman" w:cs="Times New Roman"/>
          <w:sz w:val="26"/>
          <w:szCs w:val="26"/>
        </w:rPr>
        <w:t>a landlord in a non-succession situation.</w:t>
      </w:r>
    </w:p>
    <w:p w14:paraId="71440307" w14:textId="07C2B5DF" w:rsidR="00005021" w:rsidRPr="005213DE" w:rsidRDefault="007346CD" w:rsidP="00227FF4">
      <w:pPr>
        <w:rPr>
          <w:rFonts w:ascii="Times New Roman" w:hAnsi="Times New Roman" w:cs="Times New Roman"/>
          <w:sz w:val="26"/>
          <w:szCs w:val="26"/>
        </w:rPr>
      </w:pPr>
      <w:r w:rsidRPr="005213DE">
        <w:rPr>
          <w:rFonts w:ascii="Times New Roman" w:hAnsi="Times New Roman" w:cs="Times New Roman"/>
          <w:sz w:val="26"/>
          <w:szCs w:val="26"/>
        </w:rPr>
        <w:t>In situation X</w:t>
      </w:r>
      <w:r w:rsidR="0023784F" w:rsidRPr="005213DE">
        <w:rPr>
          <w:rFonts w:ascii="Times New Roman" w:hAnsi="Times New Roman" w:cs="Times New Roman"/>
          <w:sz w:val="26"/>
          <w:szCs w:val="26"/>
        </w:rPr>
        <w:t xml:space="preserve"> --</w:t>
      </w:r>
      <w:r w:rsidRPr="005213DE">
        <w:rPr>
          <w:rFonts w:ascii="Times New Roman" w:hAnsi="Times New Roman" w:cs="Times New Roman"/>
          <w:sz w:val="26"/>
          <w:szCs w:val="26"/>
        </w:rPr>
        <w:t xml:space="preserve"> when the tenant sues the predecessor based on the 60-day deadline (probably during the tenancy but not necessarily)</w:t>
      </w:r>
      <w:r w:rsidR="0023784F" w:rsidRPr="005213DE">
        <w:rPr>
          <w:rFonts w:ascii="Times New Roman" w:hAnsi="Times New Roman" w:cs="Times New Roman"/>
          <w:sz w:val="26"/>
          <w:szCs w:val="26"/>
        </w:rPr>
        <w:t xml:space="preserve"> --</w:t>
      </w:r>
      <w:r w:rsidRPr="005213DE">
        <w:rPr>
          <w:rFonts w:ascii="Times New Roman" w:hAnsi="Times New Roman" w:cs="Times New Roman"/>
          <w:sz w:val="26"/>
          <w:szCs w:val="26"/>
        </w:rPr>
        <w:t xml:space="preserve"> what is the tenant’s obligation regarding giving the predecessor her “mailing address or delivery instructions”? That phrase </w:t>
      </w:r>
      <w:r w:rsidR="006E3B5D" w:rsidRPr="005213DE">
        <w:rPr>
          <w:rFonts w:ascii="Times New Roman" w:hAnsi="Times New Roman" w:cs="Times New Roman"/>
          <w:sz w:val="26"/>
          <w:szCs w:val="26"/>
        </w:rPr>
        <w:t>should not</w:t>
      </w:r>
      <w:r w:rsidRPr="005213DE">
        <w:rPr>
          <w:rFonts w:ascii="Times New Roman" w:hAnsi="Times New Roman" w:cs="Times New Roman"/>
          <w:sz w:val="26"/>
          <w:szCs w:val="26"/>
        </w:rPr>
        <w:t xml:space="preserve"> be ignored. </w:t>
      </w:r>
      <w:r w:rsidR="006E3B5D" w:rsidRPr="005213DE">
        <w:rPr>
          <w:rFonts w:ascii="Times New Roman" w:hAnsi="Times New Roman" w:cs="Times New Roman"/>
          <w:sz w:val="26"/>
          <w:szCs w:val="26"/>
          <w:lang w:val="en-CA"/>
        </w:rPr>
        <w:fldChar w:fldCharType="begin"/>
      </w:r>
      <w:r w:rsidR="006E3B5D" w:rsidRPr="005213DE">
        <w:rPr>
          <w:rFonts w:ascii="Times New Roman" w:hAnsi="Times New Roman" w:cs="Times New Roman"/>
          <w:sz w:val="26"/>
          <w:szCs w:val="26"/>
          <w:lang w:val="en-CA"/>
        </w:rPr>
        <w:instrText xml:space="preserve"> SEQ CHAPTER \h \r 1</w:instrText>
      </w:r>
      <w:r w:rsidR="006E3B5D" w:rsidRPr="005213DE">
        <w:rPr>
          <w:rFonts w:ascii="Times New Roman" w:hAnsi="Times New Roman" w:cs="Times New Roman"/>
          <w:sz w:val="26"/>
          <w:szCs w:val="26"/>
        </w:rPr>
        <w:fldChar w:fldCharType="end"/>
      </w:r>
      <w:r w:rsidR="006E3B5D" w:rsidRPr="005213DE">
        <w:rPr>
          <w:rFonts w:ascii="Times New Roman" w:hAnsi="Times New Roman" w:cs="Times New Roman"/>
          <w:sz w:val="26"/>
          <w:szCs w:val="26"/>
          <w:u w:val="single"/>
        </w:rPr>
        <w:t xml:space="preserve">Duluth Firemen's Relief </w:t>
      </w:r>
      <w:proofErr w:type="spellStart"/>
      <w:r w:rsidR="006E3B5D" w:rsidRPr="005213DE">
        <w:rPr>
          <w:rFonts w:ascii="Times New Roman" w:hAnsi="Times New Roman" w:cs="Times New Roman"/>
          <w:sz w:val="26"/>
          <w:szCs w:val="26"/>
          <w:u w:val="single"/>
        </w:rPr>
        <w:t>Ass'n</w:t>
      </w:r>
      <w:proofErr w:type="spellEnd"/>
      <w:r w:rsidR="006E3B5D" w:rsidRPr="005213DE">
        <w:rPr>
          <w:rFonts w:ascii="Times New Roman" w:hAnsi="Times New Roman" w:cs="Times New Roman"/>
          <w:sz w:val="26"/>
          <w:szCs w:val="26"/>
          <w:u w:val="single"/>
        </w:rPr>
        <w:t xml:space="preserve"> v. City of Duluth</w:t>
      </w:r>
      <w:r w:rsidR="006E3B5D" w:rsidRPr="005213DE">
        <w:rPr>
          <w:rFonts w:ascii="Times New Roman" w:hAnsi="Times New Roman" w:cs="Times New Roman"/>
          <w:sz w:val="26"/>
          <w:szCs w:val="26"/>
        </w:rPr>
        <w:t>, 361 N.W.2d 381, 385 (Minn. 1985) (it is a "basic maxim of statutory construction that a statute is to be construed, if possible, so that no word, phrase, or sentence is superfluous, void, or insignificant")</w:t>
      </w:r>
      <w:r w:rsidRPr="005213DE">
        <w:rPr>
          <w:rFonts w:ascii="Times New Roman" w:hAnsi="Times New Roman" w:cs="Times New Roman"/>
          <w:sz w:val="26"/>
          <w:szCs w:val="26"/>
        </w:rPr>
        <w:t xml:space="preserve">. Therefore, the earliest the tenant could file such a suit would be after providing her mailing address or delivery instructions. </w:t>
      </w:r>
    </w:p>
    <w:p w14:paraId="3A8453C7" w14:textId="1C6DFC6A" w:rsidR="0023784F" w:rsidRPr="005213DE" w:rsidRDefault="007346CD" w:rsidP="00227FF4">
      <w:pPr>
        <w:rPr>
          <w:rFonts w:ascii="Times New Roman" w:hAnsi="Times New Roman" w:cs="Times New Roman"/>
          <w:sz w:val="26"/>
          <w:szCs w:val="26"/>
        </w:rPr>
      </w:pPr>
      <w:r w:rsidRPr="005213DE">
        <w:rPr>
          <w:rFonts w:ascii="Times New Roman" w:hAnsi="Times New Roman" w:cs="Times New Roman"/>
          <w:sz w:val="26"/>
          <w:szCs w:val="26"/>
        </w:rPr>
        <w:t xml:space="preserve">However, what about the next clause, “as required in subdivision 3”? Under </w:t>
      </w:r>
      <w:r w:rsidR="006E3B5D" w:rsidRPr="005213DE">
        <w:rPr>
          <w:rFonts w:ascii="Times New Roman" w:hAnsi="Times New Roman" w:cs="Times New Roman"/>
          <w:sz w:val="26"/>
          <w:szCs w:val="26"/>
          <w:u w:val="single"/>
        </w:rPr>
        <w:t xml:space="preserve">Duluth Firemen's Relief </w:t>
      </w:r>
      <w:proofErr w:type="spellStart"/>
      <w:r w:rsidR="006E3B5D" w:rsidRPr="005213DE">
        <w:rPr>
          <w:rFonts w:ascii="Times New Roman" w:hAnsi="Times New Roman" w:cs="Times New Roman"/>
          <w:sz w:val="26"/>
          <w:szCs w:val="26"/>
          <w:u w:val="single"/>
        </w:rPr>
        <w:t>Ass'n</w:t>
      </w:r>
      <w:proofErr w:type="spellEnd"/>
      <w:r w:rsidR="00AA33B9">
        <w:rPr>
          <w:rFonts w:ascii="Times New Roman" w:hAnsi="Times New Roman" w:cs="Times New Roman"/>
          <w:sz w:val="26"/>
          <w:szCs w:val="26"/>
        </w:rPr>
        <w:t>,</w:t>
      </w:r>
      <w:r w:rsidRPr="005213DE">
        <w:rPr>
          <w:rFonts w:ascii="Times New Roman" w:hAnsi="Times New Roman" w:cs="Times New Roman"/>
          <w:sz w:val="26"/>
          <w:szCs w:val="26"/>
        </w:rPr>
        <w:t xml:space="preserve"> that clause shouldn’t be ignored </w:t>
      </w:r>
      <w:r w:rsidR="006E3B5D" w:rsidRPr="005213DE">
        <w:rPr>
          <w:rFonts w:ascii="Times New Roman" w:hAnsi="Times New Roman" w:cs="Times New Roman"/>
          <w:sz w:val="26"/>
          <w:szCs w:val="26"/>
        </w:rPr>
        <w:t xml:space="preserve">either, </w:t>
      </w:r>
      <w:r w:rsidRPr="005213DE">
        <w:rPr>
          <w:rFonts w:ascii="Times New Roman" w:hAnsi="Times New Roman" w:cs="Times New Roman"/>
          <w:sz w:val="26"/>
          <w:szCs w:val="26"/>
        </w:rPr>
        <w:t>but subdivision 3 imposes no requirement in a 60-day, succession-in-interest situation</w:t>
      </w:r>
      <w:r w:rsidR="0023784F" w:rsidRPr="005213DE">
        <w:rPr>
          <w:rFonts w:ascii="Times New Roman" w:hAnsi="Times New Roman" w:cs="Times New Roman"/>
          <w:sz w:val="26"/>
          <w:szCs w:val="26"/>
        </w:rPr>
        <w:t xml:space="preserve">. Probably “as required in subdivision 3” is in the statute just to deal with situation Y.  </w:t>
      </w:r>
      <w:r w:rsidR="00BC33B4" w:rsidRPr="005213DE">
        <w:rPr>
          <w:rFonts w:ascii="Times New Roman" w:hAnsi="Times New Roman" w:cs="Times New Roman"/>
          <w:sz w:val="26"/>
          <w:szCs w:val="26"/>
        </w:rPr>
        <w:t xml:space="preserve">Perhaps the tenant can give her mailing address or delivery instructions and sue right away so long as the 60 days have also passed. This </w:t>
      </w:r>
      <w:r w:rsidR="005E4183" w:rsidRPr="005213DE">
        <w:rPr>
          <w:rFonts w:ascii="Times New Roman" w:hAnsi="Times New Roman" w:cs="Times New Roman"/>
          <w:sz w:val="26"/>
          <w:szCs w:val="26"/>
        </w:rPr>
        <w:t xml:space="preserve">construction </w:t>
      </w:r>
      <w:r w:rsidR="00BC33B4" w:rsidRPr="005213DE">
        <w:rPr>
          <w:rFonts w:ascii="Times New Roman" w:hAnsi="Times New Roman" w:cs="Times New Roman"/>
          <w:sz w:val="26"/>
          <w:szCs w:val="26"/>
        </w:rPr>
        <w:t>seems a bit odd but</w:t>
      </w:r>
      <w:r w:rsidR="006E3B5D" w:rsidRPr="005213DE">
        <w:rPr>
          <w:rFonts w:ascii="Times New Roman" w:hAnsi="Times New Roman" w:cs="Times New Roman"/>
          <w:sz w:val="26"/>
          <w:szCs w:val="26"/>
        </w:rPr>
        <w:t xml:space="preserve"> </w:t>
      </w:r>
      <w:r w:rsidR="00414FD6">
        <w:rPr>
          <w:rFonts w:ascii="Times New Roman" w:hAnsi="Times New Roman" w:cs="Times New Roman"/>
          <w:sz w:val="26"/>
          <w:szCs w:val="26"/>
        </w:rPr>
        <w:t>is n</w:t>
      </w:r>
      <w:r w:rsidR="005E4183" w:rsidRPr="005213DE">
        <w:rPr>
          <w:rFonts w:ascii="Times New Roman" w:hAnsi="Times New Roman" w:cs="Times New Roman"/>
          <w:sz w:val="26"/>
          <w:szCs w:val="26"/>
        </w:rPr>
        <w:t>either</w:t>
      </w:r>
      <w:r w:rsidR="006E3B5D" w:rsidRPr="005213DE">
        <w:rPr>
          <w:rFonts w:ascii="Times New Roman" w:hAnsi="Times New Roman" w:cs="Times New Roman"/>
          <w:sz w:val="26"/>
          <w:szCs w:val="26"/>
        </w:rPr>
        <w:t xml:space="preserve"> absurd</w:t>
      </w:r>
      <w:r w:rsidR="005E4183" w:rsidRPr="005213DE">
        <w:rPr>
          <w:rFonts w:ascii="Times New Roman" w:hAnsi="Times New Roman" w:cs="Times New Roman"/>
          <w:sz w:val="26"/>
          <w:szCs w:val="26"/>
        </w:rPr>
        <w:t xml:space="preserve"> nor unreasonable, and thus </w:t>
      </w:r>
      <w:r w:rsidR="00414FD6">
        <w:rPr>
          <w:rFonts w:ascii="Times New Roman" w:hAnsi="Times New Roman" w:cs="Times New Roman"/>
          <w:sz w:val="26"/>
          <w:szCs w:val="26"/>
        </w:rPr>
        <w:t xml:space="preserve">might be </w:t>
      </w:r>
      <w:r w:rsidR="005E4183" w:rsidRPr="005213DE">
        <w:rPr>
          <w:rFonts w:ascii="Times New Roman" w:hAnsi="Times New Roman" w:cs="Times New Roman"/>
          <w:sz w:val="26"/>
          <w:szCs w:val="26"/>
        </w:rPr>
        <w:t>allowed under Minn. Stat. § 645.17</w:t>
      </w:r>
    </w:p>
    <w:p w14:paraId="66107F61" w14:textId="289F2F22" w:rsidR="00414FD6" w:rsidRDefault="00443CD5" w:rsidP="00227FF4">
      <w:pPr>
        <w:rPr>
          <w:rFonts w:ascii="Times New Roman" w:hAnsi="Times New Roman" w:cs="Times New Roman"/>
          <w:sz w:val="26"/>
          <w:szCs w:val="26"/>
        </w:rPr>
      </w:pPr>
      <w:r w:rsidRPr="005213DE">
        <w:rPr>
          <w:rFonts w:ascii="Times New Roman" w:hAnsi="Times New Roman" w:cs="Times New Roman"/>
          <w:sz w:val="26"/>
          <w:szCs w:val="26"/>
        </w:rPr>
        <w:t>I conclude that this part of t</w:t>
      </w:r>
      <w:r w:rsidR="00CB1A1A" w:rsidRPr="005213DE">
        <w:rPr>
          <w:rFonts w:ascii="Times New Roman" w:hAnsi="Times New Roman" w:cs="Times New Roman"/>
          <w:sz w:val="26"/>
          <w:szCs w:val="26"/>
        </w:rPr>
        <w:t>he statute</w:t>
      </w:r>
      <w:r w:rsidR="00414FD6">
        <w:rPr>
          <w:rFonts w:ascii="Times New Roman" w:hAnsi="Times New Roman" w:cs="Times New Roman"/>
          <w:sz w:val="26"/>
          <w:szCs w:val="26"/>
        </w:rPr>
        <w:t xml:space="preserve"> – Type B --</w:t>
      </w:r>
      <w:r w:rsidR="00CB1A1A" w:rsidRPr="005213DE">
        <w:rPr>
          <w:rFonts w:ascii="Times New Roman" w:hAnsi="Times New Roman" w:cs="Times New Roman"/>
          <w:sz w:val="26"/>
          <w:szCs w:val="26"/>
        </w:rPr>
        <w:t xml:space="preserve"> </w:t>
      </w:r>
      <w:r w:rsidRPr="005213DE">
        <w:rPr>
          <w:rFonts w:ascii="Times New Roman" w:hAnsi="Times New Roman" w:cs="Times New Roman"/>
          <w:sz w:val="26"/>
          <w:szCs w:val="26"/>
        </w:rPr>
        <w:t>is</w:t>
      </w:r>
      <w:r w:rsidR="00CB1A1A" w:rsidRPr="005213DE">
        <w:rPr>
          <w:rFonts w:ascii="Times New Roman" w:hAnsi="Times New Roman" w:cs="Times New Roman"/>
          <w:sz w:val="26"/>
          <w:szCs w:val="26"/>
        </w:rPr>
        <w:t xml:space="preserve"> ambiguous.</w:t>
      </w:r>
      <w:r w:rsidR="0023784F" w:rsidRPr="005213DE">
        <w:rPr>
          <w:rFonts w:ascii="Times New Roman" w:hAnsi="Times New Roman" w:cs="Times New Roman"/>
          <w:sz w:val="26"/>
          <w:szCs w:val="26"/>
        </w:rPr>
        <w:t xml:space="preserve"> </w:t>
      </w:r>
      <w:r w:rsidR="00C57B60">
        <w:rPr>
          <w:rFonts w:ascii="Times New Roman" w:hAnsi="Times New Roman" w:cs="Times New Roman"/>
          <w:sz w:val="26"/>
          <w:szCs w:val="26"/>
        </w:rPr>
        <w:t>The tenant has to give her mailing address or delivery instructions but it is unclear when after that she can sue.</w:t>
      </w:r>
    </w:p>
    <w:p w14:paraId="2D834167" w14:textId="5E5CE833" w:rsidR="00227FF4" w:rsidRDefault="00262911" w:rsidP="00227FF4">
      <w:pPr>
        <w:rPr>
          <w:rFonts w:ascii="Times New Roman" w:hAnsi="Times New Roman" w:cs="Times New Roman"/>
          <w:sz w:val="26"/>
          <w:szCs w:val="26"/>
        </w:rPr>
      </w:pPr>
      <w:r>
        <w:rPr>
          <w:rFonts w:ascii="Times New Roman" w:hAnsi="Times New Roman" w:cs="Times New Roman"/>
          <w:sz w:val="26"/>
          <w:szCs w:val="26"/>
        </w:rPr>
        <w:t>Below</w:t>
      </w:r>
      <w:r w:rsidR="0023784F" w:rsidRPr="005213DE">
        <w:rPr>
          <w:rFonts w:ascii="Times New Roman" w:hAnsi="Times New Roman" w:cs="Times New Roman"/>
          <w:sz w:val="26"/>
          <w:szCs w:val="26"/>
        </w:rPr>
        <w:t xml:space="preserve"> I review the legislative history of this provision. The history is </w:t>
      </w:r>
      <w:r w:rsidR="00414FD6">
        <w:rPr>
          <w:rFonts w:ascii="Times New Roman" w:hAnsi="Times New Roman" w:cs="Times New Roman"/>
          <w:sz w:val="26"/>
          <w:szCs w:val="26"/>
        </w:rPr>
        <w:t>very</w:t>
      </w:r>
      <w:r w:rsidR="0023784F" w:rsidRPr="005213DE">
        <w:rPr>
          <w:rFonts w:ascii="Times New Roman" w:hAnsi="Times New Roman" w:cs="Times New Roman"/>
          <w:sz w:val="26"/>
          <w:szCs w:val="26"/>
        </w:rPr>
        <w:t xml:space="preserve"> interesting but </w:t>
      </w:r>
      <w:r w:rsidR="000A3564" w:rsidRPr="005213DE">
        <w:rPr>
          <w:rFonts w:ascii="Times New Roman" w:hAnsi="Times New Roman" w:cs="Times New Roman"/>
          <w:sz w:val="26"/>
          <w:szCs w:val="26"/>
        </w:rPr>
        <w:t>not ultimately helpful in resolving the ambiguity.</w:t>
      </w:r>
    </w:p>
    <w:p w14:paraId="34207AA4" w14:textId="77777777" w:rsidR="00157F30" w:rsidRDefault="00157F30">
      <w:pPr>
        <w:rPr>
          <w:rFonts w:ascii="Times New Roman" w:hAnsi="Times New Roman" w:cs="Times New Roman"/>
          <w:color w:val="000000" w:themeColor="text1"/>
          <w:sz w:val="26"/>
          <w:szCs w:val="26"/>
          <w:u w:val="single"/>
        </w:rPr>
      </w:pPr>
      <w:bookmarkStart w:id="2" w:name="_Hlk223187301"/>
      <w:r>
        <w:rPr>
          <w:rFonts w:ascii="Times New Roman" w:hAnsi="Times New Roman" w:cs="Times New Roman"/>
          <w:color w:val="000000" w:themeColor="text1"/>
          <w:sz w:val="26"/>
          <w:szCs w:val="26"/>
          <w:u w:val="single"/>
        </w:rPr>
        <w:br w:type="page"/>
      </w:r>
    </w:p>
    <w:p w14:paraId="04694DED" w14:textId="7D51546B" w:rsidR="00E2496D" w:rsidRPr="00AA33B9" w:rsidRDefault="008339F1" w:rsidP="00E2496D">
      <w:pPr>
        <w:ind w:left="720" w:firstLine="720"/>
        <w:jc w:val="both"/>
        <w:rPr>
          <w:rFonts w:ascii="Times New Roman" w:hAnsi="Times New Roman" w:cs="Times New Roman"/>
          <w:color w:val="000000" w:themeColor="text1"/>
          <w:sz w:val="26"/>
          <w:szCs w:val="26"/>
          <w:u w:val="single"/>
        </w:rPr>
      </w:pPr>
      <w:r w:rsidRPr="00AA33B9">
        <w:rPr>
          <w:rFonts w:ascii="Times New Roman" w:hAnsi="Times New Roman" w:cs="Times New Roman"/>
          <w:color w:val="000000" w:themeColor="text1"/>
          <w:sz w:val="26"/>
          <w:szCs w:val="26"/>
          <w:u w:val="single"/>
        </w:rPr>
        <w:lastRenderedPageBreak/>
        <w:t xml:space="preserve">2. </w:t>
      </w:r>
      <w:r w:rsidR="00E2496D" w:rsidRPr="00AA33B9">
        <w:rPr>
          <w:rFonts w:ascii="Times New Roman" w:hAnsi="Times New Roman" w:cs="Times New Roman"/>
          <w:color w:val="000000" w:themeColor="text1"/>
          <w:sz w:val="26"/>
          <w:szCs w:val="26"/>
          <w:u w:val="single"/>
        </w:rPr>
        <w:t>Analysis of the statute’s legislative history</w:t>
      </w:r>
    </w:p>
    <w:p w14:paraId="232A4F97" w14:textId="3D88E2BD" w:rsidR="00910F3B" w:rsidRPr="00526E52" w:rsidRDefault="00910F3B" w:rsidP="00FD4D53">
      <w:pPr>
        <w:ind w:left="2160"/>
        <w:rPr>
          <w:rFonts w:ascii="Times New Roman" w:hAnsi="Times New Roman" w:cs="Times New Roman"/>
          <w:sz w:val="26"/>
          <w:szCs w:val="26"/>
          <w:u w:val="single"/>
        </w:rPr>
      </w:pPr>
      <w:r>
        <w:rPr>
          <w:rFonts w:ascii="Times New Roman" w:hAnsi="Times New Roman" w:cs="Times New Roman"/>
          <w:sz w:val="26"/>
          <w:szCs w:val="26"/>
          <w:u w:val="single"/>
        </w:rPr>
        <w:t xml:space="preserve">a. </w:t>
      </w:r>
      <w:r w:rsidR="00FD4D53">
        <w:rPr>
          <w:rFonts w:ascii="Times New Roman" w:hAnsi="Times New Roman" w:cs="Times New Roman"/>
          <w:sz w:val="26"/>
          <w:szCs w:val="26"/>
          <w:u w:val="single"/>
        </w:rPr>
        <w:t>F</w:t>
      </w:r>
      <w:r w:rsidRPr="00526E52">
        <w:rPr>
          <w:rFonts w:ascii="Times New Roman" w:hAnsi="Times New Roman" w:cs="Times New Roman"/>
          <w:sz w:val="26"/>
          <w:szCs w:val="26"/>
          <w:u w:val="single"/>
        </w:rPr>
        <w:t>our</w:t>
      </w:r>
      <w:r w:rsidR="00FD4D53">
        <w:rPr>
          <w:rFonts w:ascii="Times New Roman" w:hAnsi="Times New Roman" w:cs="Times New Roman"/>
          <w:sz w:val="26"/>
          <w:szCs w:val="26"/>
          <w:u w:val="single"/>
        </w:rPr>
        <w:t xml:space="preserve"> relevant</w:t>
      </w:r>
      <w:r w:rsidRPr="00526E52">
        <w:rPr>
          <w:rFonts w:ascii="Times New Roman" w:hAnsi="Times New Roman" w:cs="Times New Roman"/>
          <w:sz w:val="26"/>
          <w:szCs w:val="26"/>
          <w:u w:val="single"/>
        </w:rPr>
        <w:t xml:space="preserve"> amendments to Minn. Stat. § 504B.17</w:t>
      </w:r>
      <w:r>
        <w:rPr>
          <w:rFonts w:ascii="Times New Roman" w:hAnsi="Times New Roman" w:cs="Times New Roman"/>
          <w:sz w:val="26"/>
          <w:szCs w:val="26"/>
          <w:u w:val="single"/>
        </w:rPr>
        <w:t>8 since 1991</w:t>
      </w:r>
      <w:r w:rsidRPr="00526E52">
        <w:rPr>
          <w:rFonts w:ascii="Times New Roman" w:hAnsi="Times New Roman" w:cs="Times New Roman"/>
          <w:sz w:val="26"/>
          <w:szCs w:val="26"/>
          <w:u w:val="single"/>
        </w:rPr>
        <w:t xml:space="preserve"> </w:t>
      </w:r>
    </w:p>
    <w:bookmarkEnd w:id="2"/>
    <w:p w14:paraId="293C0D67" w14:textId="77777777" w:rsidR="00910F3B" w:rsidRDefault="00910F3B" w:rsidP="00910F3B">
      <w:pPr>
        <w:rPr>
          <w:rFonts w:ascii="Times New Roman" w:hAnsi="Times New Roman" w:cs="Times New Roman"/>
          <w:sz w:val="26"/>
          <w:szCs w:val="26"/>
        </w:rPr>
      </w:pPr>
      <w:r w:rsidRPr="0035274E">
        <w:rPr>
          <w:rFonts w:ascii="Times New Roman" w:hAnsi="Times New Roman" w:cs="Times New Roman"/>
          <w:sz w:val="26"/>
          <w:szCs w:val="26"/>
        </w:rPr>
        <w:t xml:space="preserve">The relevant </w:t>
      </w:r>
      <w:r>
        <w:rPr>
          <w:rFonts w:ascii="Times New Roman" w:hAnsi="Times New Roman" w:cs="Times New Roman"/>
          <w:sz w:val="26"/>
          <w:szCs w:val="26"/>
        </w:rPr>
        <w:t>subdivision</w:t>
      </w:r>
      <w:r w:rsidRPr="0035274E">
        <w:rPr>
          <w:rFonts w:ascii="Times New Roman" w:hAnsi="Times New Roman" w:cs="Times New Roman"/>
          <w:sz w:val="26"/>
          <w:szCs w:val="26"/>
        </w:rPr>
        <w:t>s of Minn. Stat. § 504B.178</w:t>
      </w:r>
      <w:r>
        <w:rPr>
          <w:rFonts w:ascii="Times New Roman" w:hAnsi="Times New Roman" w:cs="Times New Roman"/>
          <w:sz w:val="26"/>
          <w:szCs w:val="26"/>
        </w:rPr>
        <w:t xml:space="preserve"> --</w:t>
      </w:r>
      <w:r w:rsidRPr="0035274E">
        <w:rPr>
          <w:rFonts w:ascii="Times New Roman" w:hAnsi="Times New Roman" w:cs="Times New Roman"/>
          <w:sz w:val="26"/>
          <w:szCs w:val="26"/>
        </w:rPr>
        <w:t xml:space="preserve"> subdivisions 3,4,5 and 7</w:t>
      </w:r>
      <w:r>
        <w:rPr>
          <w:rFonts w:ascii="Times New Roman" w:hAnsi="Times New Roman" w:cs="Times New Roman"/>
          <w:sz w:val="26"/>
          <w:szCs w:val="26"/>
        </w:rPr>
        <w:t xml:space="preserve"> --</w:t>
      </w:r>
      <w:r w:rsidRPr="0035274E">
        <w:rPr>
          <w:rFonts w:ascii="Times New Roman" w:hAnsi="Times New Roman" w:cs="Times New Roman"/>
          <w:sz w:val="26"/>
          <w:szCs w:val="26"/>
        </w:rPr>
        <w:t xml:space="preserve"> have been amended four times since 1992, with the 1992 amendments being the ones relevant to the Type B situation.</w:t>
      </w:r>
    </w:p>
    <w:p w14:paraId="7FDAEF12" w14:textId="4E279C71" w:rsidR="00910F3B" w:rsidRDefault="00910F3B" w:rsidP="00910F3B">
      <w:pPr>
        <w:rPr>
          <w:rFonts w:ascii="Times New Roman" w:hAnsi="Times New Roman" w:cs="Times New Roman"/>
          <w:sz w:val="26"/>
          <w:szCs w:val="26"/>
        </w:rPr>
      </w:pPr>
      <w:r w:rsidRPr="0035274E">
        <w:rPr>
          <w:rFonts w:ascii="Times New Roman" w:hAnsi="Times New Roman" w:cs="Times New Roman"/>
          <w:sz w:val="26"/>
          <w:szCs w:val="26"/>
        </w:rPr>
        <w:t xml:space="preserve">In 2023, as discussed below in Part </w:t>
      </w:r>
      <w:r w:rsidR="00FD4D53">
        <w:rPr>
          <w:rFonts w:ascii="Times New Roman" w:hAnsi="Times New Roman" w:cs="Times New Roman"/>
          <w:sz w:val="26"/>
          <w:szCs w:val="26"/>
        </w:rPr>
        <w:t>III.C</w:t>
      </w:r>
      <w:r w:rsidRPr="0035274E">
        <w:rPr>
          <w:rFonts w:ascii="Times New Roman" w:hAnsi="Times New Roman" w:cs="Times New Roman"/>
          <w:sz w:val="26"/>
          <w:szCs w:val="26"/>
        </w:rPr>
        <w:t>, subdivision 4(4) relating to inspections was added.</w:t>
      </w:r>
      <w:r w:rsidRPr="0035274E">
        <w:rPr>
          <w:rStyle w:val="FootnoteReference"/>
          <w:rFonts w:ascii="Times New Roman" w:hAnsi="Times New Roman" w:cs="Times New Roman"/>
          <w:sz w:val="26"/>
          <w:szCs w:val="26"/>
        </w:rPr>
        <w:footnoteReference w:id="1"/>
      </w:r>
      <w:r w:rsidRPr="0035274E">
        <w:rPr>
          <w:rFonts w:ascii="Times New Roman" w:hAnsi="Times New Roman" w:cs="Times New Roman"/>
          <w:sz w:val="26"/>
          <w:szCs w:val="26"/>
        </w:rPr>
        <w:t xml:space="preserve"> In 2010, the $200 bad faith penalty in subdivision 7 was increased to $500.</w:t>
      </w:r>
      <w:r w:rsidRPr="0035274E">
        <w:rPr>
          <w:rStyle w:val="FootnoteReference"/>
          <w:rFonts w:ascii="Times New Roman" w:hAnsi="Times New Roman" w:cs="Times New Roman"/>
          <w:sz w:val="26"/>
          <w:szCs w:val="26"/>
        </w:rPr>
        <w:footnoteReference w:id="2"/>
      </w:r>
      <w:r w:rsidRPr="0035274E">
        <w:rPr>
          <w:rFonts w:ascii="Times New Roman" w:hAnsi="Times New Roman" w:cs="Times New Roman"/>
          <w:sz w:val="26"/>
          <w:szCs w:val="26"/>
        </w:rPr>
        <w:t xml:space="preserve"> In 1999, all the statutes in Minn. Stat. Chapters 504 and 566 were codified into a new Minn. Stat. Chap. 504B</w:t>
      </w:r>
      <w:r>
        <w:rPr>
          <w:rFonts w:ascii="Times New Roman" w:hAnsi="Times New Roman" w:cs="Times New Roman"/>
          <w:sz w:val="26"/>
          <w:szCs w:val="26"/>
        </w:rPr>
        <w:t xml:space="preserve"> and w</w:t>
      </w:r>
      <w:r w:rsidRPr="0035274E">
        <w:rPr>
          <w:rFonts w:ascii="Times New Roman" w:hAnsi="Times New Roman" w:cs="Times New Roman"/>
          <w:sz w:val="26"/>
          <w:szCs w:val="26"/>
        </w:rPr>
        <w:t>hat had been Minn. Stat. § 504.20 (1998) became Minn. Stat. § 504B.178 (1999).</w:t>
      </w:r>
      <w:r w:rsidRPr="0035274E">
        <w:rPr>
          <w:rStyle w:val="FootnoteReference"/>
          <w:rFonts w:ascii="Times New Roman" w:hAnsi="Times New Roman" w:cs="Times New Roman"/>
          <w:sz w:val="26"/>
          <w:szCs w:val="26"/>
        </w:rPr>
        <w:footnoteReference w:id="3"/>
      </w:r>
    </w:p>
    <w:p w14:paraId="0D1290C2" w14:textId="38BB5FC1" w:rsidR="00910F3B" w:rsidRDefault="00910F3B" w:rsidP="00910F3B">
      <w:pPr>
        <w:ind w:left="2160"/>
        <w:rPr>
          <w:rFonts w:ascii="Times New Roman" w:hAnsi="Times New Roman" w:cs="Times New Roman"/>
          <w:sz w:val="26"/>
          <w:szCs w:val="26"/>
        </w:rPr>
      </w:pPr>
      <w:bookmarkStart w:id="3" w:name="_Hlk223187322"/>
      <w:r>
        <w:rPr>
          <w:rFonts w:ascii="Times New Roman" w:hAnsi="Times New Roman" w:cs="Times New Roman"/>
          <w:sz w:val="26"/>
          <w:szCs w:val="26"/>
          <w:u w:val="single"/>
        </w:rPr>
        <w:t>b. M</w:t>
      </w:r>
      <w:r w:rsidRPr="00526E52">
        <w:rPr>
          <w:rFonts w:ascii="Times New Roman" w:hAnsi="Times New Roman" w:cs="Times New Roman"/>
          <w:sz w:val="26"/>
          <w:szCs w:val="26"/>
          <w:u w:val="single"/>
        </w:rPr>
        <w:t>inn. Stat. § 504B.178, subd, 4(2)-(3</w:t>
      </w:r>
      <w:r>
        <w:rPr>
          <w:rFonts w:ascii="Times New Roman" w:hAnsi="Times New Roman" w:cs="Times New Roman"/>
          <w:sz w:val="26"/>
          <w:szCs w:val="26"/>
          <w:u w:val="single"/>
        </w:rPr>
        <w:t>) had a s</w:t>
      </w:r>
      <w:r w:rsidRPr="00526E52">
        <w:rPr>
          <w:rFonts w:ascii="Times New Roman" w:hAnsi="Times New Roman" w:cs="Times New Roman"/>
          <w:sz w:val="26"/>
          <w:szCs w:val="26"/>
          <w:u w:val="single"/>
        </w:rPr>
        <w:t>omewhat complicated legislative history</w:t>
      </w:r>
    </w:p>
    <w:p w14:paraId="1C4828D6" w14:textId="002B32E4" w:rsidR="00910F3B" w:rsidRDefault="00910F3B" w:rsidP="00910F3B">
      <w:pPr>
        <w:rPr>
          <w:rFonts w:ascii="Times New Roman" w:hAnsi="Times New Roman" w:cs="Times New Roman"/>
          <w:sz w:val="26"/>
          <w:szCs w:val="26"/>
        </w:rPr>
      </w:pPr>
      <w:r w:rsidRPr="0035274E">
        <w:rPr>
          <w:rFonts w:ascii="Times New Roman" w:hAnsi="Times New Roman" w:cs="Times New Roman"/>
          <w:sz w:val="26"/>
          <w:szCs w:val="26"/>
        </w:rPr>
        <w:t xml:space="preserve">The 1992 session law in question, </w:t>
      </w:r>
      <w:hyperlink r:id="rId12" w:history="1">
        <w:r w:rsidRPr="0035274E">
          <w:rPr>
            <w:rStyle w:val="Hyperlink"/>
            <w:rFonts w:ascii="Times New Roman" w:hAnsi="Times New Roman" w:cs="Times New Roman"/>
            <w:sz w:val="26"/>
            <w:szCs w:val="26"/>
          </w:rPr>
          <w:t>1992 Minn. Laws c 376</w:t>
        </w:r>
      </w:hyperlink>
      <w:r>
        <w:t>,</w:t>
      </w:r>
      <w:r w:rsidRPr="0035274E">
        <w:rPr>
          <w:rFonts w:ascii="Times New Roman" w:hAnsi="Times New Roman" w:cs="Times New Roman"/>
          <w:sz w:val="26"/>
          <w:szCs w:val="26"/>
        </w:rPr>
        <w:t xml:space="preserve"> was a long omnibus</w:t>
      </w:r>
      <w:r>
        <w:rPr>
          <w:rFonts w:ascii="Times New Roman" w:hAnsi="Times New Roman" w:cs="Times New Roman"/>
          <w:sz w:val="26"/>
          <w:szCs w:val="26"/>
        </w:rPr>
        <w:t xml:space="preserve"> housing</w:t>
      </w:r>
      <w:r w:rsidRPr="0035274E">
        <w:rPr>
          <w:rFonts w:ascii="Times New Roman" w:hAnsi="Times New Roman" w:cs="Times New Roman"/>
          <w:sz w:val="26"/>
          <w:szCs w:val="26"/>
        </w:rPr>
        <w:t xml:space="preserve"> bill</w:t>
      </w:r>
      <w:r>
        <w:rPr>
          <w:rFonts w:ascii="Times New Roman" w:hAnsi="Times New Roman" w:cs="Times New Roman"/>
          <w:sz w:val="26"/>
          <w:szCs w:val="26"/>
        </w:rPr>
        <w:t xml:space="preserve"> with a somewhat complicated legislative history. The final bill that became law was 1991 SF 720, but three other bills were involved in the security-deposit legislation – HF 1002 (companion to SF 720), SF 951 and HF 714. SF 951 and HF 714 were shorter housing bills that included basically the same security-deposit provisions and were the bills that received substantial committee hearings before being folded into SF 720. The details are laid out in an extensiv</w:t>
      </w:r>
      <w:r w:rsidR="002E5E17">
        <w:rPr>
          <w:rFonts w:ascii="Times New Roman" w:hAnsi="Times New Roman" w:cs="Times New Roman"/>
          <w:sz w:val="26"/>
          <w:szCs w:val="26"/>
        </w:rPr>
        <w:t xml:space="preserve">e </w:t>
      </w:r>
      <w:hyperlink r:id="rId13" w:history="1">
        <w:r w:rsidR="002E5E17" w:rsidRPr="00ED6801">
          <w:rPr>
            <w:rStyle w:val="Hyperlink"/>
            <w:rFonts w:ascii="Times New Roman" w:hAnsi="Times New Roman" w:cs="Times New Roman"/>
            <w:bCs/>
          </w:rPr>
          <w:t>Appendix LH 1992-376</w:t>
        </w:r>
      </w:hyperlink>
      <w:r>
        <w:rPr>
          <w:rFonts w:ascii="Times New Roman" w:hAnsi="Times New Roman" w:cs="Times New Roman"/>
          <w:sz w:val="26"/>
          <w:szCs w:val="26"/>
        </w:rPr>
        <w:t>.</w:t>
      </w:r>
      <w:r>
        <w:rPr>
          <w:rStyle w:val="FootnoteReference"/>
          <w:rFonts w:ascii="Times New Roman" w:hAnsi="Times New Roman" w:cs="Times New Roman"/>
          <w:sz w:val="26"/>
          <w:szCs w:val="26"/>
        </w:rPr>
        <w:footnoteReference w:id="4"/>
      </w:r>
    </w:p>
    <w:p w14:paraId="7410768E" w14:textId="77777777" w:rsidR="00157F30" w:rsidRDefault="00157F30">
      <w:pPr>
        <w:rPr>
          <w:rFonts w:ascii="Times New Roman" w:hAnsi="Times New Roman" w:cs="Times New Roman"/>
          <w:sz w:val="26"/>
          <w:szCs w:val="26"/>
          <w:u w:val="single"/>
        </w:rPr>
      </w:pPr>
      <w:r>
        <w:rPr>
          <w:rFonts w:ascii="Times New Roman" w:hAnsi="Times New Roman" w:cs="Times New Roman"/>
          <w:sz w:val="26"/>
          <w:szCs w:val="26"/>
          <w:u w:val="single"/>
        </w:rPr>
        <w:br w:type="page"/>
      </w:r>
    </w:p>
    <w:p w14:paraId="175362BA" w14:textId="5D0DC376" w:rsidR="00910F3B" w:rsidRPr="00E41AC6" w:rsidRDefault="00A16DD6" w:rsidP="00A16DD6">
      <w:pPr>
        <w:ind w:left="2160"/>
        <w:rPr>
          <w:rFonts w:ascii="Times New Roman" w:hAnsi="Times New Roman" w:cs="Times New Roman"/>
          <w:sz w:val="26"/>
          <w:szCs w:val="26"/>
          <w:u w:val="single"/>
        </w:rPr>
      </w:pPr>
      <w:r>
        <w:rPr>
          <w:rFonts w:ascii="Times New Roman" w:hAnsi="Times New Roman" w:cs="Times New Roman"/>
          <w:sz w:val="26"/>
          <w:szCs w:val="26"/>
          <w:u w:val="single"/>
        </w:rPr>
        <w:lastRenderedPageBreak/>
        <w:t>c. T</w:t>
      </w:r>
      <w:r w:rsidR="00910F3B" w:rsidRPr="00E41AC6">
        <w:rPr>
          <w:rFonts w:ascii="Times New Roman" w:hAnsi="Times New Roman" w:cs="Times New Roman"/>
          <w:sz w:val="26"/>
          <w:szCs w:val="26"/>
          <w:u w:val="single"/>
        </w:rPr>
        <w:t xml:space="preserve">he policies behind the security-deposit provisions of SF 720 and related bills </w:t>
      </w:r>
    </w:p>
    <w:bookmarkEnd w:id="3"/>
    <w:p w14:paraId="74FF29E5" w14:textId="77777777" w:rsidR="00910F3B" w:rsidRDefault="00910F3B" w:rsidP="00910F3B">
      <w:pPr>
        <w:rPr>
          <w:rFonts w:ascii="Times New Roman" w:hAnsi="Times New Roman" w:cs="Times New Roman"/>
          <w:sz w:val="26"/>
          <w:szCs w:val="26"/>
        </w:rPr>
      </w:pPr>
      <w:r>
        <w:rPr>
          <w:rFonts w:ascii="Times New Roman" w:hAnsi="Times New Roman" w:cs="Times New Roman"/>
          <w:sz w:val="26"/>
          <w:szCs w:val="26"/>
        </w:rPr>
        <w:t xml:space="preserve">The original bills included some security-deposit provisions in Article 1 and some in Article 4. </w:t>
      </w:r>
    </w:p>
    <w:p w14:paraId="7BF73C76" w14:textId="2A995C90" w:rsidR="00910F3B" w:rsidRDefault="00910F3B" w:rsidP="00910F3B">
      <w:pPr>
        <w:rPr>
          <w:rFonts w:ascii="Times New Roman" w:hAnsi="Times New Roman" w:cs="Times New Roman"/>
          <w:color w:val="EE0000"/>
          <w:sz w:val="26"/>
          <w:szCs w:val="26"/>
        </w:rPr>
      </w:pPr>
      <w:r>
        <w:rPr>
          <w:rFonts w:ascii="Times New Roman" w:hAnsi="Times New Roman" w:cs="Times New Roman"/>
          <w:sz w:val="26"/>
          <w:szCs w:val="26"/>
        </w:rPr>
        <w:t>As explained in committee testimony, the Article-1 amendments were just intended to shorten the three-week clock for return of the deposit to five days when the tenant was forced out by condemnation. S</w:t>
      </w:r>
      <w:r w:rsidR="00A5283D">
        <w:rPr>
          <w:rFonts w:ascii="Times New Roman" w:hAnsi="Times New Roman" w:cs="Times New Roman"/>
          <w:sz w:val="26"/>
          <w:szCs w:val="26"/>
        </w:rPr>
        <w:t>e</w:t>
      </w:r>
      <w:r>
        <w:rPr>
          <w:rFonts w:ascii="Times New Roman" w:hAnsi="Times New Roman" w:cs="Times New Roman"/>
          <w:sz w:val="26"/>
          <w:szCs w:val="26"/>
        </w:rPr>
        <w:t>e</w:t>
      </w:r>
      <w:r w:rsidR="00A5283D">
        <w:rPr>
          <w:rFonts w:ascii="Times New Roman" w:hAnsi="Times New Roman" w:cs="Times New Roman"/>
          <w:sz w:val="26"/>
          <w:szCs w:val="26"/>
        </w:rPr>
        <w:t xml:space="preserve"> </w:t>
      </w:r>
      <w:hyperlink r:id="rId14" w:history="1">
        <w:r w:rsidR="00A5283D" w:rsidRPr="00ED6801">
          <w:rPr>
            <w:rStyle w:val="Hyperlink"/>
            <w:rFonts w:ascii="Times New Roman" w:hAnsi="Times New Roman" w:cs="Times New Roman"/>
            <w:bCs/>
          </w:rPr>
          <w:t>Appendix LH 1992-376</w:t>
        </w:r>
      </w:hyperlink>
      <w:r w:rsidR="002E5E17">
        <w:rPr>
          <w:rFonts w:ascii="Times New Roman" w:hAnsi="Times New Roman" w:cs="Times New Roman"/>
          <w:b/>
          <w:bCs/>
          <w:color w:val="7030A0"/>
        </w:rPr>
        <w:t xml:space="preserve">, </w:t>
      </w:r>
      <w:r>
        <w:rPr>
          <w:rFonts w:ascii="Times New Roman" w:hAnsi="Times New Roman" w:cs="Times New Roman"/>
          <w:sz w:val="26"/>
          <w:szCs w:val="26"/>
        </w:rPr>
        <w:t>Endnote</w:t>
      </w:r>
      <w:r w:rsidR="009B03FA">
        <w:rPr>
          <w:rFonts w:ascii="Times New Roman" w:hAnsi="Times New Roman" w:cs="Times New Roman"/>
          <w:sz w:val="26"/>
          <w:szCs w:val="26"/>
        </w:rPr>
        <w:t xml:space="preserve"> </w:t>
      </w:r>
      <w:r w:rsidR="00D71C11">
        <w:rPr>
          <w:rFonts w:ascii="Times New Roman" w:hAnsi="Times New Roman" w:cs="Times New Roman"/>
          <w:sz w:val="26"/>
          <w:szCs w:val="26"/>
        </w:rPr>
        <w:t xml:space="preserve">10½ </w:t>
      </w:r>
      <w:r w:rsidR="009B03FA">
        <w:rPr>
          <w:rFonts w:ascii="Times New Roman" w:hAnsi="Times New Roman" w:cs="Times New Roman"/>
          <w:sz w:val="26"/>
          <w:szCs w:val="26"/>
        </w:rPr>
        <w:t>&amp;</w:t>
      </w:r>
      <w:r>
        <w:rPr>
          <w:rFonts w:ascii="Times New Roman" w:hAnsi="Times New Roman" w:cs="Times New Roman"/>
          <w:sz w:val="26"/>
          <w:szCs w:val="26"/>
        </w:rPr>
        <w:t xml:space="preserve"> </w:t>
      </w:r>
      <w:r w:rsidR="009B03FA">
        <w:rPr>
          <w:rFonts w:ascii="Times New Roman" w:hAnsi="Times New Roman" w:cs="Times New Roman"/>
          <w:sz w:val="26"/>
          <w:szCs w:val="26"/>
        </w:rPr>
        <w:t xml:space="preserve">Endnote </w:t>
      </w:r>
      <w:r w:rsidR="00D71C11">
        <w:rPr>
          <w:rFonts w:ascii="Times New Roman" w:hAnsi="Times New Roman" w:cs="Times New Roman"/>
          <w:sz w:val="26"/>
          <w:szCs w:val="26"/>
        </w:rPr>
        <w:t>16</w:t>
      </w:r>
      <w:r w:rsidR="002E5E17">
        <w:rPr>
          <w:rFonts w:ascii="Times New Roman" w:hAnsi="Times New Roman" w:cs="Times New Roman"/>
          <w:sz w:val="26"/>
          <w:szCs w:val="26"/>
        </w:rPr>
        <w:t>.</w:t>
      </w:r>
    </w:p>
    <w:p w14:paraId="56D767E3" w14:textId="68EE0F76" w:rsidR="00910F3B" w:rsidRDefault="00910F3B" w:rsidP="00910F3B">
      <w:pPr>
        <w:rPr>
          <w:rFonts w:ascii="Times New Roman" w:hAnsi="Times New Roman" w:cs="Times New Roman"/>
          <w:color w:val="EE0000"/>
          <w:sz w:val="26"/>
          <w:szCs w:val="26"/>
        </w:rPr>
      </w:pPr>
      <w:r>
        <w:rPr>
          <w:rFonts w:ascii="Times New Roman" w:hAnsi="Times New Roman" w:cs="Times New Roman"/>
          <w:sz w:val="26"/>
          <w:szCs w:val="26"/>
        </w:rPr>
        <w:t>As explained in committee testimony by John Herman about the Article-4 amendments, t</w:t>
      </w:r>
      <w:r w:rsidRPr="004E4D2B">
        <w:rPr>
          <w:rFonts w:ascii="Times New Roman" w:hAnsi="Times New Roman" w:cs="Times New Roman"/>
          <w:sz w:val="26"/>
          <w:szCs w:val="26"/>
        </w:rPr>
        <w:t xml:space="preserve">he concern was mostly involuntary transfers of ownership where a landlord would walk away from a money-losing property and a successor would get it via foreclosure or the like. The transferor (bad landlord) -- among other bad things -- would delay turning over the deposits. Under existing law, the transferee/successor would be stuck owing the deposits to the tenants when they eventually moved out (still the law today). </w:t>
      </w:r>
      <w:r>
        <w:rPr>
          <w:rFonts w:ascii="Times New Roman" w:hAnsi="Times New Roman" w:cs="Times New Roman"/>
          <w:sz w:val="26"/>
          <w:szCs w:val="26"/>
        </w:rPr>
        <w:t xml:space="preserve">Article 4 made three changes </w:t>
      </w:r>
      <w:r w:rsidR="00BC66DC">
        <w:rPr>
          <w:rFonts w:ascii="Times New Roman" w:hAnsi="Times New Roman" w:cs="Times New Roman"/>
          <w:sz w:val="26"/>
          <w:szCs w:val="26"/>
        </w:rPr>
        <w:t>re</w:t>
      </w:r>
      <w:r>
        <w:rPr>
          <w:rFonts w:ascii="Times New Roman" w:hAnsi="Times New Roman" w:cs="Times New Roman"/>
          <w:sz w:val="26"/>
          <w:szCs w:val="26"/>
        </w:rPr>
        <w:t xml:space="preserve"> security-deposit</w:t>
      </w:r>
      <w:r w:rsidR="00BC66DC">
        <w:rPr>
          <w:rFonts w:ascii="Times New Roman" w:hAnsi="Times New Roman" w:cs="Times New Roman"/>
          <w:sz w:val="26"/>
          <w:szCs w:val="26"/>
        </w:rPr>
        <w:t>s</w:t>
      </w:r>
      <w:r w:rsidRPr="004E4D2B">
        <w:rPr>
          <w:rFonts w:ascii="Times New Roman" w:hAnsi="Times New Roman" w:cs="Times New Roman"/>
          <w:sz w:val="26"/>
          <w:szCs w:val="26"/>
        </w:rPr>
        <w:t xml:space="preserve">: [1] </w:t>
      </w:r>
      <w:r>
        <w:rPr>
          <w:rFonts w:ascii="Times New Roman" w:hAnsi="Times New Roman" w:cs="Times New Roman"/>
          <w:sz w:val="26"/>
          <w:szCs w:val="26"/>
        </w:rPr>
        <w:t>It</w:t>
      </w:r>
      <w:r w:rsidRPr="004E4D2B">
        <w:rPr>
          <w:rFonts w:ascii="Times New Roman" w:hAnsi="Times New Roman" w:cs="Times New Roman"/>
          <w:sz w:val="26"/>
          <w:szCs w:val="26"/>
        </w:rPr>
        <w:t xml:space="preserve"> shortened the transfer time from “reasonable time” to 60 days; a lot of judges were allowing many months of “reasonable time”. [2] It allowed the successor, as well as tenants, to sue for the doubling penalty. [3] It allowed the successor to sue for all the deposits </w:t>
      </w:r>
      <w:r w:rsidRPr="008E4B04">
        <w:rPr>
          <w:rFonts w:ascii="Times New Roman" w:hAnsi="Times New Roman" w:cs="Times New Roman"/>
          <w:sz w:val="26"/>
          <w:szCs w:val="26"/>
          <w:u w:val="single"/>
        </w:rPr>
        <w:t>plural</w:t>
      </w:r>
      <w:r w:rsidRPr="004E4D2B">
        <w:rPr>
          <w:rFonts w:ascii="Times New Roman" w:hAnsi="Times New Roman" w:cs="Times New Roman"/>
          <w:sz w:val="26"/>
          <w:szCs w:val="26"/>
        </w:rPr>
        <w:t>.</w:t>
      </w:r>
      <w:r>
        <w:rPr>
          <w:rFonts w:ascii="Times New Roman" w:hAnsi="Times New Roman" w:cs="Times New Roman"/>
          <w:sz w:val="26"/>
          <w:szCs w:val="26"/>
        </w:rPr>
        <w:t xml:space="preserve"> </w:t>
      </w:r>
      <w:r w:rsidRPr="004E4D2B">
        <w:rPr>
          <w:rFonts w:ascii="Times New Roman" w:hAnsi="Times New Roman" w:cs="Times New Roman"/>
          <w:sz w:val="26"/>
          <w:szCs w:val="26"/>
        </w:rPr>
        <w:t>T</w:t>
      </w:r>
      <w:r>
        <w:rPr>
          <w:rFonts w:ascii="Times New Roman" w:hAnsi="Times New Roman" w:cs="Times New Roman"/>
          <w:sz w:val="26"/>
          <w:szCs w:val="26"/>
        </w:rPr>
        <w:t xml:space="preserve">ogether, </w:t>
      </w:r>
      <w:r w:rsidRPr="004E4D2B">
        <w:rPr>
          <w:rFonts w:ascii="Times New Roman" w:hAnsi="Times New Roman" w:cs="Times New Roman"/>
          <w:sz w:val="26"/>
          <w:szCs w:val="26"/>
        </w:rPr>
        <w:t xml:space="preserve">#2 and #3 </w:t>
      </w:r>
      <w:r>
        <w:rPr>
          <w:rFonts w:ascii="Times New Roman" w:hAnsi="Times New Roman" w:cs="Times New Roman"/>
          <w:sz w:val="26"/>
          <w:szCs w:val="26"/>
        </w:rPr>
        <w:t>would</w:t>
      </w:r>
      <w:r w:rsidRPr="004E4D2B">
        <w:rPr>
          <w:rFonts w:ascii="Times New Roman" w:hAnsi="Times New Roman" w:cs="Times New Roman"/>
          <w:sz w:val="26"/>
          <w:szCs w:val="26"/>
        </w:rPr>
        <w:t xml:space="preserve"> allow the successor to sue for </w:t>
      </w:r>
      <w:r>
        <w:rPr>
          <w:rFonts w:ascii="Times New Roman" w:hAnsi="Times New Roman" w:cs="Times New Roman"/>
          <w:sz w:val="26"/>
          <w:szCs w:val="26"/>
        </w:rPr>
        <w:t>all the</w:t>
      </w:r>
      <w:r w:rsidRPr="004E4D2B">
        <w:rPr>
          <w:rFonts w:ascii="Times New Roman" w:hAnsi="Times New Roman" w:cs="Times New Roman"/>
          <w:sz w:val="26"/>
          <w:szCs w:val="26"/>
        </w:rPr>
        <w:t xml:space="preserve"> of deposits plus </w:t>
      </w:r>
      <w:r>
        <w:rPr>
          <w:rFonts w:ascii="Times New Roman" w:hAnsi="Times New Roman" w:cs="Times New Roman"/>
          <w:sz w:val="26"/>
          <w:szCs w:val="26"/>
        </w:rPr>
        <w:t xml:space="preserve">all the </w:t>
      </w:r>
      <w:r w:rsidRPr="004E4D2B">
        <w:rPr>
          <w:rFonts w:ascii="Times New Roman" w:hAnsi="Times New Roman" w:cs="Times New Roman"/>
          <w:sz w:val="26"/>
          <w:szCs w:val="26"/>
        </w:rPr>
        <w:t>doubling penalt</w:t>
      </w:r>
      <w:r>
        <w:rPr>
          <w:rFonts w:ascii="Times New Roman" w:hAnsi="Times New Roman" w:cs="Times New Roman"/>
          <w:sz w:val="26"/>
          <w:szCs w:val="26"/>
        </w:rPr>
        <w:t>ies in one lawsuit. T</w:t>
      </w:r>
      <w:r w:rsidRPr="004E4D2B">
        <w:rPr>
          <w:rFonts w:ascii="Times New Roman" w:hAnsi="Times New Roman" w:cs="Times New Roman"/>
          <w:sz w:val="26"/>
          <w:szCs w:val="26"/>
        </w:rPr>
        <w:t>his would be more cost effective than individual tenants suing one at a time. Also, tenants might just sue the successor one at a time or probably not even need to sue since the successor was a law abider. These three provisions gave the successor an avenue to semi-quickly collect from the predecessor what the successor should have received had the predecessor not been a jerk</w:t>
      </w:r>
      <w:r>
        <w:rPr>
          <w:rFonts w:ascii="Times New Roman" w:hAnsi="Times New Roman" w:cs="Times New Roman"/>
          <w:sz w:val="26"/>
          <w:szCs w:val="26"/>
        </w:rPr>
        <w:t xml:space="preserve">. See Endnote </w:t>
      </w:r>
      <w:r w:rsidR="004D483D">
        <w:rPr>
          <w:rFonts w:ascii="Times New Roman" w:hAnsi="Times New Roman" w:cs="Times New Roman"/>
          <w:sz w:val="26"/>
          <w:szCs w:val="26"/>
        </w:rPr>
        <w:t>12</w:t>
      </w:r>
      <w:r>
        <w:rPr>
          <w:rFonts w:ascii="Times New Roman" w:hAnsi="Times New Roman" w:cs="Times New Roman"/>
          <w:sz w:val="26"/>
          <w:szCs w:val="26"/>
        </w:rPr>
        <w:t xml:space="preserve"> </w:t>
      </w:r>
      <w:r w:rsidR="00E3156F">
        <w:rPr>
          <w:rFonts w:ascii="Times New Roman" w:hAnsi="Times New Roman" w:cs="Times New Roman"/>
          <w:sz w:val="26"/>
          <w:szCs w:val="26"/>
        </w:rPr>
        <w:t xml:space="preserve">in </w:t>
      </w:r>
      <w:hyperlink r:id="rId15" w:history="1">
        <w:r w:rsidR="00E3156F" w:rsidRPr="00ED6801">
          <w:rPr>
            <w:rStyle w:val="Hyperlink"/>
            <w:rFonts w:ascii="Times New Roman" w:hAnsi="Times New Roman" w:cs="Times New Roman"/>
            <w:bCs/>
          </w:rPr>
          <w:t>Appendix LH 1992-376</w:t>
        </w:r>
      </w:hyperlink>
    </w:p>
    <w:p w14:paraId="20B95465" w14:textId="29EB5DD5" w:rsidR="00910F3B" w:rsidRPr="00E41AC6" w:rsidRDefault="00CE1B61" w:rsidP="00CE1B61">
      <w:pPr>
        <w:ind w:left="2160"/>
        <w:rPr>
          <w:rFonts w:ascii="Times New Roman" w:hAnsi="Times New Roman" w:cs="Times New Roman"/>
          <w:sz w:val="26"/>
          <w:szCs w:val="26"/>
          <w:u w:val="single"/>
        </w:rPr>
      </w:pPr>
      <w:bookmarkStart w:id="4" w:name="_Hlk223187357"/>
      <w:r>
        <w:rPr>
          <w:rFonts w:ascii="Times New Roman" w:hAnsi="Times New Roman" w:cs="Times New Roman"/>
          <w:sz w:val="26"/>
          <w:szCs w:val="26"/>
          <w:u w:val="single"/>
        </w:rPr>
        <w:t>d. T</w:t>
      </w:r>
      <w:r w:rsidR="00910F3B" w:rsidRPr="00E41AC6">
        <w:rPr>
          <w:rFonts w:ascii="Times New Roman" w:hAnsi="Times New Roman" w:cs="Times New Roman"/>
          <w:sz w:val="26"/>
          <w:szCs w:val="26"/>
          <w:u w:val="single"/>
        </w:rPr>
        <w:t>he pathway from initial bills to final enactment of 1992 Minn. Laws ch.376</w:t>
      </w:r>
    </w:p>
    <w:bookmarkEnd w:id="4"/>
    <w:p w14:paraId="00E773DF" w14:textId="2AF1950F" w:rsidR="00910F3B" w:rsidRPr="00157F30" w:rsidRDefault="00910F3B" w:rsidP="00910F3B">
      <w:pPr>
        <w:rPr>
          <w:rFonts w:ascii="Times New Roman" w:hAnsi="Times New Roman" w:cs="Times New Roman"/>
          <w:color w:val="000000" w:themeColor="text1"/>
          <w:sz w:val="26"/>
          <w:szCs w:val="26"/>
        </w:rPr>
      </w:pPr>
      <w:r w:rsidRPr="00157F30">
        <w:rPr>
          <w:rFonts w:ascii="Times New Roman" w:hAnsi="Times New Roman" w:cs="Times New Roman"/>
          <w:color w:val="000000" w:themeColor="text1"/>
          <w:sz w:val="26"/>
          <w:szCs w:val="26"/>
        </w:rPr>
        <w:t xml:space="preserve">Because of policy battles unrelated to security deposits, the House and Senate produced different versions of SF 720 and so a conference committee was appointed. It issued what I will call the First Conference Report </w:t>
      </w:r>
      <w:r w:rsidR="00157F30" w:rsidRPr="00157F30">
        <w:rPr>
          <w:rFonts w:ascii="Times New Roman" w:hAnsi="Times New Roman" w:cs="Times New Roman"/>
          <w:color w:val="000000" w:themeColor="text1"/>
          <w:sz w:val="26"/>
          <w:szCs w:val="26"/>
        </w:rPr>
        <w:t>i</w:t>
      </w:r>
      <w:r w:rsidRPr="00157F30">
        <w:rPr>
          <w:rFonts w:ascii="Times New Roman" w:hAnsi="Times New Roman" w:cs="Times New Roman"/>
          <w:color w:val="000000" w:themeColor="text1"/>
          <w:sz w:val="26"/>
          <w:szCs w:val="26"/>
        </w:rPr>
        <w:t xml:space="preserve">n </w:t>
      </w:r>
      <w:r w:rsidR="00157F30" w:rsidRPr="00157F30">
        <w:rPr>
          <w:rFonts w:ascii="Times New Roman" w:hAnsi="Times New Roman" w:cs="Times New Roman"/>
          <w:color w:val="000000" w:themeColor="text1"/>
          <w:sz w:val="26"/>
          <w:szCs w:val="26"/>
        </w:rPr>
        <w:t xml:space="preserve">May </w:t>
      </w:r>
      <w:r w:rsidRPr="00157F30">
        <w:rPr>
          <w:rFonts w:ascii="Times New Roman" w:hAnsi="Times New Roman" w:cs="Times New Roman"/>
          <w:color w:val="000000" w:themeColor="text1"/>
          <w:sz w:val="26"/>
          <w:szCs w:val="26"/>
        </w:rPr>
        <w:t xml:space="preserve">1991. The parts of this report related </w:t>
      </w:r>
      <w:r w:rsidR="00810358">
        <w:rPr>
          <w:rFonts w:ascii="Times New Roman" w:hAnsi="Times New Roman" w:cs="Times New Roman"/>
          <w:color w:val="000000" w:themeColor="text1"/>
          <w:sz w:val="26"/>
          <w:szCs w:val="26"/>
        </w:rPr>
        <w:t xml:space="preserve">to </w:t>
      </w:r>
      <w:r w:rsidR="00810358">
        <w:rPr>
          <w:rFonts w:ascii="Times New Roman" w:hAnsi="Times New Roman" w:cs="Times New Roman"/>
          <w:color w:val="000000" w:themeColor="text1"/>
          <w:sz w:val="26"/>
          <w:szCs w:val="26"/>
        </w:rPr>
        <w:lastRenderedPageBreak/>
        <w:t xml:space="preserve">security </w:t>
      </w:r>
      <w:r w:rsidRPr="00157F30">
        <w:rPr>
          <w:rFonts w:ascii="Times New Roman" w:hAnsi="Times New Roman" w:cs="Times New Roman"/>
          <w:color w:val="000000" w:themeColor="text1"/>
          <w:sz w:val="26"/>
          <w:szCs w:val="26"/>
        </w:rPr>
        <w:t>deposits included the original bills’ security-deposit language with one minor change.</w:t>
      </w:r>
      <w:r w:rsidRPr="00157F30">
        <w:rPr>
          <w:rStyle w:val="FootnoteReference"/>
          <w:rFonts w:ascii="Times New Roman" w:hAnsi="Times New Roman" w:cs="Times New Roman"/>
          <w:color w:val="000000" w:themeColor="text1"/>
          <w:sz w:val="26"/>
          <w:szCs w:val="26"/>
        </w:rPr>
        <w:footnoteReference w:id="5"/>
      </w:r>
      <w:r w:rsidRPr="00157F30">
        <w:rPr>
          <w:rFonts w:ascii="Times New Roman" w:hAnsi="Times New Roman" w:cs="Times New Roman"/>
          <w:color w:val="000000" w:themeColor="text1"/>
          <w:sz w:val="26"/>
          <w:szCs w:val="26"/>
        </w:rPr>
        <w:t xml:space="preserve"> Here are the security deposit parts of the First Conference Report.</w:t>
      </w:r>
      <w:r w:rsidRPr="00157F30">
        <w:rPr>
          <w:rStyle w:val="FootnoteReference"/>
          <w:rFonts w:ascii="Times New Roman" w:hAnsi="Times New Roman" w:cs="Times New Roman"/>
          <w:color w:val="000000" w:themeColor="text1"/>
          <w:sz w:val="26"/>
          <w:szCs w:val="26"/>
        </w:rPr>
        <w:footnoteReference w:id="6"/>
      </w:r>
    </w:p>
    <w:p w14:paraId="4A54E8EF" w14:textId="37EC3807" w:rsidR="00910F3B" w:rsidRPr="005D622A" w:rsidRDefault="00910F3B" w:rsidP="00910F3B">
      <w:pPr>
        <w:ind w:left="720"/>
        <w:jc w:val="center"/>
        <w:rPr>
          <w:rFonts w:ascii="Arial" w:hAnsi="Arial" w:cs="Arial"/>
        </w:rPr>
      </w:pPr>
      <w:r w:rsidRPr="005D622A">
        <w:rPr>
          <w:rFonts w:ascii="Arial" w:hAnsi="Arial" w:cs="Arial"/>
          <w:lang w:val="en-CA"/>
        </w:rPr>
        <w:fldChar w:fldCharType="begin"/>
      </w:r>
      <w:r w:rsidRPr="005D622A">
        <w:rPr>
          <w:rFonts w:ascii="Arial" w:hAnsi="Arial" w:cs="Arial"/>
          <w:lang w:val="en-CA"/>
        </w:rPr>
        <w:instrText xml:space="preserve"> SEQ CHAPTER \h \r 1</w:instrText>
      </w:r>
      <w:r w:rsidRPr="005D622A">
        <w:rPr>
          <w:rFonts w:ascii="Arial" w:hAnsi="Arial" w:cs="Arial"/>
        </w:rPr>
        <w:fldChar w:fldCharType="end"/>
      </w:r>
      <w:r w:rsidRPr="005D622A">
        <w:rPr>
          <w:rFonts w:ascii="Arial" w:hAnsi="Arial" w:cs="Arial"/>
        </w:rPr>
        <w:t>ARTICLE I</w:t>
      </w:r>
    </w:p>
    <w:p w14:paraId="3678F823" w14:textId="77777777" w:rsidR="00910F3B" w:rsidRPr="005D622A" w:rsidRDefault="00910F3B" w:rsidP="00910F3B">
      <w:pPr>
        <w:ind w:left="720"/>
        <w:jc w:val="center"/>
        <w:rPr>
          <w:rFonts w:ascii="Arial" w:hAnsi="Arial" w:cs="Arial"/>
          <w:b/>
          <w:bCs/>
        </w:rPr>
      </w:pPr>
      <w:r w:rsidRPr="005D622A">
        <w:rPr>
          <w:rFonts w:ascii="Arial" w:hAnsi="Arial" w:cs="Arial"/>
        </w:rPr>
        <w:t>LANDLORD AND TENANT</w:t>
      </w:r>
    </w:p>
    <w:p w14:paraId="59D41774" w14:textId="77777777" w:rsidR="00910F3B" w:rsidRPr="00AB74A0" w:rsidRDefault="00910F3B" w:rsidP="00910F3B">
      <w:pPr>
        <w:ind w:left="720"/>
        <w:jc w:val="center"/>
        <w:rPr>
          <w:rFonts w:ascii="Arial" w:hAnsi="Arial" w:cs="Arial"/>
          <w:b/>
          <w:bCs/>
          <w:sz w:val="26"/>
          <w:szCs w:val="26"/>
        </w:rPr>
      </w:pPr>
      <w:r w:rsidRPr="00AB74A0">
        <w:rPr>
          <w:rFonts w:ascii="Arial" w:hAnsi="Arial" w:cs="Arial"/>
          <w:b/>
          <w:bCs/>
          <w:sz w:val="26"/>
          <w:szCs w:val="26"/>
        </w:rPr>
        <w:t>….</w:t>
      </w:r>
    </w:p>
    <w:p w14:paraId="38949495" w14:textId="77777777" w:rsidR="00910F3B" w:rsidRPr="005D622A" w:rsidRDefault="00910F3B" w:rsidP="00910F3B">
      <w:pPr>
        <w:ind w:left="720"/>
        <w:rPr>
          <w:rFonts w:ascii="Arial" w:hAnsi="Arial" w:cs="Arial"/>
        </w:rPr>
      </w:pPr>
      <w:r w:rsidRPr="005D622A">
        <w:rPr>
          <w:rFonts w:ascii="Arial" w:hAnsi="Arial" w:cs="Arial"/>
        </w:rPr>
        <w:t>Sec. 5. Minnesota Statutes 1990, section 504.20, subdivision 3, is amended to read:</w:t>
      </w:r>
    </w:p>
    <w:p w14:paraId="3714F0FF" w14:textId="77777777" w:rsidR="00910F3B" w:rsidRPr="005D622A" w:rsidRDefault="00910F3B" w:rsidP="00910F3B">
      <w:pPr>
        <w:ind w:left="720"/>
        <w:rPr>
          <w:rFonts w:ascii="Arial" w:hAnsi="Arial" w:cs="Arial"/>
        </w:rPr>
      </w:pPr>
      <w:r w:rsidRPr="005D622A">
        <w:rPr>
          <w:rFonts w:ascii="Arial" w:hAnsi="Arial" w:cs="Arial"/>
        </w:rPr>
        <w:tab/>
        <w:t xml:space="preserve">Subd. 3. Every landlord shall, within three weeks after termination of the tenancy </w:t>
      </w:r>
      <w:r w:rsidRPr="005D622A">
        <w:rPr>
          <w:rFonts w:ascii="Arial" w:hAnsi="Arial" w:cs="Arial"/>
          <w:u w:val="single"/>
        </w:rPr>
        <w:t xml:space="preserve">or within </w:t>
      </w:r>
      <w:r w:rsidRPr="00E41AC6">
        <w:rPr>
          <w:rFonts w:ascii="Arial" w:hAnsi="Arial" w:cs="Arial"/>
          <w:u w:val="single"/>
        </w:rPr>
        <w:t>f</w:t>
      </w:r>
      <w:r w:rsidRPr="005D622A">
        <w:rPr>
          <w:rFonts w:ascii="Arial" w:hAnsi="Arial" w:cs="Arial"/>
          <w:u w:val="single"/>
        </w:rPr>
        <w:t>ive days of the date when the tenant leaves the building or dwelling due to the legal condemnation of the building or dwelling in which the tenant lives for reasons not due to willful, malicious, or irresponsible conduct of the tenant</w:t>
      </w:r>
      <w:r w:rsidRPr="005D622A">
        <w:rPr>
          <w:rFonts w:ascii="Arial" w:hAnsi="Arial" w:cs="Arial"/>
        </w:rPr>
        <w:t xml:space="preserve">, and </w:t>
      </w:r>
      <w:r w:rsidRPr="005D622A">
        <w:rPr>
          <w:rFonts w:ascii="Arial" w:hAnsi="Arial" w:cs="Arial"/>
          <w:u w:val="single"/>
        </w:rPr>
        <w:t xml:space="preserve">after </w:t>
      </w:r>
      <w:r w:rsidRPr="005D622A">
        <w:rPr>
          <w:rFonts w:ascii="Arial" w:hAnsi="Arial" w:cs="Arial"/>
        </w:rPr>
        <w:t>receipt of the tenant's mailing address or delivery instructions, return the deposit lo the tenant, with interest thereon as above provided, or furnish to the tenant a written statement showing the specific reason for the withholding of the deposit or any portion thereof. It shall be sufficient compliance with the time requirement of this</w:t>
      </w:r>
      <w:r w:rsidRPr="00E41AC6">
        <w:rPr>
          <w:rFonts w:ascii="Arial" w:hAnsi="Arial" w:cs="Arial"/>
        </w:rPr>
        <w:t xml:space="preserve"> </w:t>
      </w:r>
      <w:r w:rsidRPr="005D622A">
        <w:rPr>
          <w:rFonts w:ascii="Arial" w:hAnsi="Arial" w:cs="Arial"/>
        </w:rPr>
        <w:t>subdivision if the deposit or written statement required by this subdivision</w:t>
      </w:r>
      <w:r w:rsidRPr="005D622A">
        <w:rPr>
          <w:rFonts w:ascii="Arial" w:hAnsi="Arial" w:cs="Arial"/>
          <w:b/>
          <w:bCs/>
        </w:rPr>
        <w:t xml:space="preserve"> </w:t>
      </w:r>
      <w:r w:rsidRPr="005D622A">
        <w:rPr>
          <w:rFonts w:ascii="Arial" w:hAnsi="Arial" w:cs="Arial"/>
        </w:rPr>
        <w:t>is placed in the United States mail as first class mail, postage prepaid, in an envelope with a proper return address, correctly addressed according to the mailing address or delivery instructions furnished by the tenant, within the time required by this subdivision. The landlord may withhold from the deposit only amounts reasonably necessary:</w:t>
      </w:r>
    </w:p>
    <w:p w14:paraId="396E2A73" w14:textId="77777777" w:rsidR="00910F3B" w:rsidRPr="005D622A" w:rsidRDefault="00910F3B" w:rsidP="00910F3B">
      <w:pPr>
        <w:ind w:left="720"/>
        <w:rPr>
          <w:rFonts w:ascii="Arial" w:hAnsi="Arial" w:cs="Arial"/>
        </w:rPr>
      </w:pPr>
      <w:r w:rsidRPr="005D622A">
        <w:rPr>
          <w:rFonts w:ascii="Arial" w:hAnsi="Arial" w:cs="Arial"/>
        </w:rPr>
        <w:tab/>
        <w:t>(a) To remedy tenant defaults in the payment of rent or of other funds due to the landlord pursuant to an agreement; or</w:t>
      </w:r>
    </w:p>
    <w:p w14:paraId="525F4003" w14:textId="77777777" w:rsidR="00910F3B" w:rsidRPr="00E41AC6" w:rsidRDefault="00910F3B" w:rsidP="00910F3B">
      <w:pPr>
        <w:ind w:left="720"/>
        <w:rPr>
          <w:rFonts w:ascii="Arial" w:hAnsi="Arial" w:cs="Arial"/>
        </w:rPr>
      </w:pPr>
      <w:r w:rsidRPr="005D622A">
        <w:rPr>
          <w:rFonts w:ascii="Arial" w:hAnsi="Arial" w:cs="Arial"/>
        </w:rPr>
        <w:tab/>
        <w:t>(b) To restore the premises to their condition at the commencement of the tenancy, ordinary wear and tear excepted.</w:t>
      </w:r>
    </w:p>
    <w:p w14:paraId="2B27A2CF" w14:textId="77777777" w:rsidR="00910F3B" w:rsidRPr="005D622A" w:rsidRDefault="00910F3B" w:rsidP="00910F3B">
      <w:pPr>
        <w:ind w:left="720"/>
        <w:rPr>
          <w:rFonts w:ascii="Arial" w:hAnsi="Arial" w:cs="Arial"/>
          <w:b/>
          <w:bCs/>
        </w:rPr>
      </w:pPr>
      <w:r w:rsidRPr="005D622A">
        <w:rPr>
          <w:rFonts w:ascii="Arial" w:hAnsi="Arial" w:cs="Arial"/>
        </w:rPr>
        <w:tab/>
        <w:t>In any action concerning the deposit, the burden of proving, by a fair</w:t>
      </w:r>
      <w:r w:rsidRPr="00E41AC6">
        <w:rPr>
          <w:rFonts w:ascii="Arial" w:hAnsi="Arial" w:cs="Arial"/>
        </w:rPr>
        <w:t xml:space="preserve"> </w:t>
      </w:r>
      <w:r w:rsidRPr="005D622A">
        <w:rPr>
          <w:rFonts w:ascii="Arial" w:hAnsi="Arial" w:cs="Arial"/>
        </w:rPr>
        <w:t xml:space="preserve">preponderance of the evidence, the reason for withholding all or any portion of the deposit shall be on the landlord. </w:t>
      </w:r>
    </w:p>
    <w:p w14:paraId="2A9DB25F" w14:textId="77777777" w:rsidR="00910F3B" w:rsidRPr="005D622A" w:rsidRDefault="00910F3B" w:rsidP="00910F3B">
      <w:pPr>
        <w:ind w:left="720"/>
        <w:rPr>
          <w:rFonts w:ascii="Arial" w:hAnsi="Arial" w:cs="Arial"/>
        </w:rPr>
      </w:pPr>
      <w:r w:rsidRPr="005D622A">
        <w:rPr>
          <w:rFonts w:ascii="Arial" w:hAnsi="Arial" w:cs="Arial"/>
        </w:rPr>
        <w:lastRenderedPageBreak/>
        <w:t>Sec. 6. Minnesota Statutes 1990, section 504.20, subdivision 4, is amended to read:</w:t>
      </w:r>
    </w:p>
    <w:p w14:paraId="7ED0B1D0" w14:textId="77777777" w:rsidR="00910F3B" w:rsidRPr="00E41AC6" w:rsidRDefault="00910F3B" w:rsidP="00910F3B">
      <w:pPr>
        <w:pBdr>
          <w:bottom w:val="dotted" w:sz="24" w:space="1" w:color="auto"/>
        </w:pBdr>
        <w:ind w:left="720"/>
        <w:rPr>
          <w:rFonts w:ascii="Arial" w:hAnsi="Arial" w:cs="Arial"/>
        </w:rPr>
      </w:pPr>
      <w:r w:rsidRPr="005D622A">
        <w:rPr>
          <w:rFonts w:ascii="Arial" w:hAnsi="Arial" w:cs="Arial"/>
        </w:rPr>
        <w:tab/>
        <w:t xml:space="preserve">Subd. 4. Any landlord who fails to provide a written statement within three weeks of termination of the tenancy </w:t>
      </w:r>
      <w:r w:rsidRPr="005D622A">
        <w:rPr>
          <w:rFonts w:ascii="Arial" w:hAnsi="Arial" w:cs="Arial"/>
          <w:u w:val="single"/>
        </w:rPr>
        <w:t>or within five days of the date when the tenant leaves the building or dwelling due to the legal condemnation of the building or dwelling in which the tenant lives for reasons not due to willful, malicious, or irresponsible conduct of the tenant,</w:t>
      </w:r>
      <w:r w:rsidRPr="005D622A">
        <w:rPr>
          <w:rFonts w:ascii="Arial" w:hAnsi="Arial" w:cs="Arial"/>
        </w:rPr>
        <w:t xml:space="preserve"> and </w:t>
      </w:r>
      <w:r w:rsidRPr="005D622A">
        <w:rPr>
          <w:rFonts w:ascii="Arial" w:hAnsi="Arial" w:cs="Arial"/>
          <w:u w:val="single"/>
        </w:rPr>
        <w:t xml:space="preserve">after </w:t>
      </w:r>
      <w:r w:rsidRPr="005D622A">
        <w:rPr>
          <w:rFonts w:ascii="Arial" w:hAnsi="Arial" w:cs="Arial"/>
        </w:rPr>
        <w:t>receipt of the tenant's mailing address or delivery instructions, as required in subdivision 3, shall be liable to the tenant for damages in an amount equal to the portion of the deposit withheld by the landlord and interest thereon as provided in subdivision 2, as a penalty, in addition to the portion of the deposit wrongfully withheld by the landlord and interest thereon.</w:t>
      </w:r>
    </w:p>
    <w:p w14:paraId="27426775" w14:textId="77777777" w:rsidR="00910F3B" w:rsidRPr="00E41AC6" w:rsidRDefault="00910F3B" w:rsidP="00910F3B">
      <w:pPr>
        <w:ind w:left="720"/>
        <w:jc w:val="center"/>
        <w:rPr>
          <w:rFonts w:ascii="Arial" w:hAnsi="Arial" w:cs="Arial"/>
        </w:rPr>
      </w:pPr>
      <w:r w:rsidRPr="00E41AC6">
        <w:rPr>
          <w:rFonts w:ascii="Arial" w:hAnsi="Arial" w:cs="Arial"/>
        </w:rPr>
        <w:t>ARTICLE 4</w:t>
      </w:r>
    </w:p>
    <w:p w14:paraId="3987C6C0" w14:textId="77777777" w:rsidR="00910F3B" w:rsidRPr="005D622A" w:rsidRDefault="00910F3B" w:rsidP="00910F3B">
      <w:pPr>
        <w:ind w:left="720"/>
        <w:jc w:val="center"/>
        <w:rPr>
          <w:rFonts w:ascii="Arial" w:hAnsi="Arial" w:cs="Arial"/>
        </w:rPr>
      </w:pPr>
      <w:r w:rsidRPr="005D622A">
        <w:rPr>
          <w:rFonts w:ascii="Arial" w:hAnsi="Arial" w:cs="Arial"/>
        </w:rPr>
        <w:t>ASSIGNMENT OF RENTS AND RECEIVERSHIP</w:t>
      </w:r>
    </w:p>
    <w:p w14:paraId="28E08606" w14:textId="77777777" w:rsidR="00910F3B" w:rsidRPr="005D622A" w:rsidRDefault="00910F3B" w:rsidP="00910F3B">
      <w:pPr>
        <w:ind w:left="720"/>
        <w:rPr>
          <w:rFonts w:ascii="Arial" w:hAnsi="Arial" w:cs="Arial"/>
        </w:rPr>
      </w:pPr>
      <w:r w:rsidRPr="005D622A">
        <w:rPr>
          <w:rFonts w:ascii="Arial" w:hAnsi="Arial" w:cs="Arial"/>
        </w:rPr>
        <w:t>Section I. Minnesota Statutes 1990, section 504.20, subdivision 4, is amended to read:</w:t>
      </w:r>
    </w:p>
    <w:p w14:paraId="48825897" w14:textId="77777777" w:rsidR="00910F3B" w:rsidRPr="005D622A" w:rsidRDefault="00910F3B" w:rsidP="00910F3B">
      <w:pPr>
        <w:ind w:left="720"/>
        <w:rPr>
          <w:rFonts w:ascii="Arial" w:hAnsi="Arial" w:cs="Arial"/>
        </w:rPr>
      </w:pPr>
      <w:r w:rsidRPr="005D622A">
        <w:rPr>
          <w:rFonts w:ascii="Arial" w:hAnsi="Arial" w:cs="Arial"/>
        </w:rPr>
        <w:tab/>
        <w:t xml:space="preserve">Subd. 4. Any landlord who fails to provide a written statement within three weeks of termination of the tenancy and receipt of the tenant's mailing address or delivery instructions, as required in subdivision 3, </w:t>
      </w:r>
      <w:r w:rsidRPr="005D622A">
        <w:rPr>
          <w:rFonts w:ascii="Arial" w:hAnsi="Arial" w:cs="Arial"/>
          <w:strike/>
        </w:rPr>
        <w:t>shall be</w:t>
      </w:r>
      <w:r w:rsidRPr="005D622A">
        <w:rPr>
          <w:rFonts w:ascii="Arial" w:hAnsi="Arial" w:cs="Arial"/>
        </w:rPr>
        <w:t xml:space="preserve"> </w:t>
      </w:r>
      <w:r w:rsidRPr="005D622A">
        <w:rPr>
          <w:rFonts w:ascii="Arial" w:hAnsi="Arial" w:cs="Arial"/>
          <w:u w:val="single"/>
        </w:rPr>
        <w:t>or fails to transfer or return a deposit as required under subdivision 5, is</w:t>
      </w:r>
      <w:r w:rsidRPr="005D622A">
        <w:rPr>
          <w:rFonts w:ascii="Arial" w:hAnsi="Arial" w:cs="Arial"/>
        </w:rPr>
        <w:t xml:space="preserve"> liable to the tenant </w:t>
      </w:r>
      <w:r w:rsidRPr="00860374">
        <w:rPr>
          <w:rFonts w:ascii="Arial" w:hAnsi="Arial" w:cs="Arial"/>
          <w:u w:val="single"/>
        </w:rPr>
        <w:t>or the successor in interest</w:t>
      </w:r>
      <w:r w:rsidRPr="005D622A">
        <w:rPr>
          <w:rFonts w:ascii="Arial" w:hAnsi="Arial" w:cs="Arial"/>
        </w:rPr>
        <w:t xml:space="preserve"> for damages in an amount equal</w:t>
      </w:r>
      <w:r w:rsidRPr="00E41AC6">
        <w:rPr>
          <w:rFonts w:ascii="Arial" w:hAnsi="Arial" w:cs="Arial"/>
        </w:rPr>
        <w:t xml:space="preserve"> </w:t>
      </w:r>
      <w:r w:rsidRPr="005D622A">
        <w:rPr>
          <w:rFonts w:ascii="Arial" w:hAnsi="Arial" w:cs="Arial"/>
        </w:rPr>
        <w:t>to the portion of the deposit withheld by the landlord and interest thereon as provided in subdivision 2, as a penalty. in addition to the portion of the</w:t>
      </w:r>
      <w:r w:rsidRPr="00E41AC6">
        <w:rPr>
          <w:rFonts w:ascii="Arial" w:hAnsi="Arial" w:cs="Arial"/>
        </w:rPr>
        <w:t xml:space="preserve"> </w:t>
      </w:r>
      <w:r w:rsidRPr="005D622A">
        <w:rPr>
          <w:rFonts w:ascii="Arial" w:hAnsi="Arial" w:cs="Arial"/>
        </w:rPr>
        <w:t>deposit wrongfully withheld by the landlord and interest thereon.</w:t>
      </w:r>
      <w:r w:rsidRPr="005D622A">
        <w:rPr>
          <w:rFonts w:ascii="Arial" w:hAnsi="Arial" w:cs="Arial"/>
        </w:rPr>
        <w:tab/>
      </w:r>
    </w:p>
    <w:p w14:paraId="4B8D6C7A" w14:textId="77777777" w:rsidR="00910F3B" w:rsidRPr="005D622A" w:rsidRDefault="00910F3B" w:rsidP="00910F3B">
      <w:pPr>
        <w:ind w:left="720"/>
        <w:rPr>
          <w:rFonts w:ascii="Arial" w:hAnsi="Arial" w:cs="Arial"/>
        </w:rPr>
      </w:pPr>
      <w:r w:rsidRPr="005D622A">
        <w:rPr>
          <w:rFonts w:ascii="Arial" w:hAnsi="Arial" w:cs="Arial"/>
        </w:rPr>
        <w:tab/>
        <w:t>Sec. 2. Minnesota Statutes 1990, section 504.20, subdivision 5, is amended to read:</w:t>
      </w:r>
    </w:p>
    <w:p w14:paraId="0B875313" w14:textId="77777777" w:rsidR="00910F3B" w:rsidRPr="005D622A" w:rsidRDefault="00910F3B" w:rsidP="00910F3B">
      <w:pPr>
        <w:ind w:left="720"/>
        <w:rPr>
          <w:rFonts w:ascii="Arial" w:hAnsi="Arial" w:cs="Arial"/>
        </w:rPr>
      </w:pPr>
      <w:r w:rsidRPr="005D622A">
        <w:rPr>
          <w:rFonts w:ascii="Arial" w:hAnsi="Arial" w:cs="Arial"/>
        </w:rPr>
        <w:tab/>
        <w:t xml:space="preserve">Subd. 5. Upon termination of the landlord's interest in the premises, whether by sale, assignment, death, appointment of receiver or otherwise, the landlord or the landlord's agent shall, within </w:t>
      </w:r>
      <w:r w:rsidRPr="005D622A">
        <w:rPr>
          <w:rFonts w:ascii="Arial" w:hAnsi="Arial" w:cs="Arial"/>
          <w:strike/>
        </w:rPr>
        <w:t>a reasonable time</w:t>
      </w:r>
      <w:r w:rsidRPr="005D622A">
        <w:rPr>
          <w:rFonts w:ascii="Arial" w:hAnsi="Arial" w:cs="Arial"/>
        </w:rPr>
        <w:t xml:space="preserve"> </w:t>
      </w:r>
      <w:r w:rsidRPr="005D622A">
        <w:rPr>
          <w:rFonts w:ascii="Arial" w:hAnsi="Arial" w:cs="Arial"/>
          <w:u w:val="single"/>
        </w:rPr>
        <w:t>60 days of termination of the interest or when the successor in interest is required to return or otherwise account for the deposit to the tenant, whichever occurs</w:t>
      </w:r>
      <w:r w:rsidRPr="00E41AC6">
        <w:rPr>
          <w:rFonts w:ascii="Arial" w:hAnsi="Arial" w:cs="Arial"/>
          <w:u w:val="single"/>
        </w:rPr>
        <w:t xml:space="preserve"> </w:t>
      </w:r>
      <w:r w:rsidRPr="005D622A">
        <w:rPr>
          <w:rFonts w:ascii="Arial" w:hAnsi="Arial" w:cs="Arial"/>
          <w:u w:val="single"/>
        </w:rPr>
        <w:t>first,</w:t>
      </w:r>
      <w:r w:rsidRPr="005D622A">
        <w:rPr>
          <w:rFonts w:ascii="Arial" w:hAnsi="Arial" w:cs="Arial"/>
        </w:rPr>
        <w:t xml:space="preserve"> do one of the following acts, either of which shall relieve the landlord or agent of further liability with respect to such deposit: </w:t>
      </w:r>
    </w:p>
    <w:p w14:paraId="618AAFB4" w14:textId="77777777" w:rsidR="00910F3B" w:rsidRPr="005D622A" w:rsidRDefault="00910F3B" w:rsidP="00910F3B">
      <w:pPr>
        <w:ind w:left="720"/>
        <w:rPr>
          <w:rFonts w:ascii="Arial" w:hAnsi="Arial" w:cs="Arial"/>
        </w:rPr>
      </w:pPr>
      <w:r w:rsidRPr="005D622A">
        <w:rPr>
          <w:rFonts w:ascii="Arial" w:hAnsi="Arial" w:cs="Arial"/>
        </w:rPr>
        <w:tab/>
        <w:t xml:space="preserve">(a) Transfer such deposit, or any remainder after any lawful deductions made under subdivision 3, with interest thereon as provided in subdivision 2, to </w:t>
      </w:r>
      <w:r w:rsidRPr="005D622A">
        <w:rPr>
          <w:rFonts w:ascii="Arial" w:hAnsi="Arial" w:cs="Arial"/>
        </w:rPr>
        <w:lastRenderedPageBreak/>
        <w:t>the landlord's successor in interest and thereafter notify the tenant of such transfer and of the transferee's name and address; or</w:t>
      </w:r>
    </w:p>
    <w:p w14:paraId="20838840" w14:textId="77777777" w:rsidR="00910F3B" w:rsidRPr="005D622A" w:rsidRDefault="00910F3B" w:rsidP="00910F3B">
      <w:pPr>
        <w:ind w:left="720"/>
        <w:rPr>
          <w:rFonts w:ascii="Arial" w:hAnsi="Arial" w:cs="Arial"/>
        </w:rPr>
      </w:pPr>
      <w:r w:rsidRPr="005D622A">
        <w:rPr>
          <w:rFonts w:ascii="Arial" w:hAnsi="Arial" w:cs="Arial"/>
        </w:rPr>
        <w:tab/>
        <w:t>(b) Return such deposit, or any remainder after any lawful deductions made under subdivision 3. with interest thereon as provided in subdivision 2, to the tenant.</w:t>
      </w:r>
    </w:p>
    <w:p w14:paraId="710EBC64" w14:textId="77777777" w:rsidR="00910F3B" w:rsidRPr="005D622A" w:rsidRDefault="00910F3B" w:rsidP="00910F3B">
      <w:pPr>
        <w:ind w:left="720"/>
        <w:rPr>
          <w:rFonts w:ascii="Arial" w:hAnsi="Arial" w:cs="Arial"/>
        </w:rPr>
      </w:pPr>
      <w:r w:rsidRPr="005D622A">
        <w:rPr>
          <w:rFonts w:ascii="Arial" w:hAnsi="Arial" w:cs="Arial"/>
        </w:rPr>
        <w:tab/>
        <w:t>Sec. 3. Minnesota Statutes 1990, section 504.20, subdivision 7, is amended to read:</w:t>
      </w:r>
    </w:p>
    <w:p w14:paraId="5D5E2A8F" w14:textId="77777777" w:rsidR="00910F3B" w:rsidRPr="005D622A" w:rsidRDefault="00910F3B" w:rsidP="00910F3B">
      <w:pPr>
        <w:ind w:left="720"/>
        <w:rPr>
          <w:rFonts w:ascii="Arial" w:hAnsi="Arial" w:cs="Arial"/>
          <w:b/>
          <w:bCs/>
        </w:rPr>
      </w:pPr>
      <w:r w:rsidRPr="005D622A">
        <w:rPr>
          <w:rFonts w:ascii="Arial" w:hAnsi="Arial" w:cs="Arial"/>
        </w:rPr>
        <w:tab/>
        <w:t xml:space="preserve">Subd. 7. The bad faith retention by a landlord of </w:t>
      </w:r>
      <w:proofErr w:type="gramStart"/>
      <w:r w:rsidRPr="00E41AC6">
        <w:rPr>
          <w:rFonts w:ascii="Arial" w:hAnsi="Arial" w:cs="Arial"/>
          <w:strike/>
        </w:rPr>
        <w:t>the</w:t>
      </w:r>
      <w:r w:rsidRPr="00E41AC6">
        <w:rPr>
          <w:rFonts w:ascii="Arial" w:hAnsi="Arial" w:cs="Arial"/>
        </w:rPr>
        <w:t xml:space="preserve"> </w:t>
      </w:r>
      <w:r w:rsidRPr="00E41AC6">
        <w:rPr>
          <w:rFonts w:ascii="Arial" w:hAnsi="Arial" w:cs="Arial"/>
          <w:u w:val="single"/>
        </w:rPr>
        <w:t>a</w:t>
      </w:r>
      <w:proofErr w:type="gramEnd"/>
      <w:r w:rsidRPr="005D622A">
        <w:rPr>
          <w:rFonts w:ascii="Arial" w:hAnsi="Arial" w:cs="Arial"/>
        </w:rPr>
        <w:t xml:space="preserve"> deposit, the interest thereon, or any portion thereof, in violation of this section shall subject the landlord to punitive damages not to exceed $200 </w:t>
      </w:r>
      <w:r w:rsidRPr="005D622A">
        <w:rPr>
          <w:rFonts w:ascii="Arial" w:hAnsi="Arial" w:cs="Arial"/>
          <w:u w:val="single"/>
        </w:rPr>
        <w:t>for each deposit</w:t>
      </w:r>
      <w:r w:rsidRPr="005D622A">
        <w:rPr>
          <w:rFonts w:ascii="Arial" w:hAnsi="Arial" w:cs="Arial"/>
        </w:rPr>
        <w:t xml:space="preserve"> in addition to the damages provided in subdivision 4. If the landlord has failed to comply with the provisions of subdivision 3 </w:t>
      </w:r>
      <w:r w:rsidRPr="005D622A">
        <w:rPr>
          <w:rFonts w:ascii="Arial" w:hAnsi="Arial" w:cs="Arial"/>
          <w:u w:val="single"/>
        </w:rPr>
        <w:t>or 5</w:t>
      </w:r>
      <w:r w:rsidRPr="005D622A">
        <w:rPr>
          <w:rFonts w:ascii="Arial" w:hAnsi="Arial" w:cs="Arial"/>
        </w:rPr>
        <w:t xml:space="preserve">, retention of </w:t>
      </w:r>
      <w:proofErr w:type="gramStart"/>
      <w:r w:rsidRPr="00E41AC6">
        <w:rPr>
          <w:rFonts w:ascii="Arial" w:hAnsi="Arial" w:cs="Arial"/>
          <w:strike/>
        </w:rPr>
        <w:t>the</w:t>
      </w:r>
      <w:r w:rsidRPr="00E41AC6">
        <w:rPr>
          <w:rFonts w:ascii="Arial" w:hAnsi="Arial" w:cs="Arial"/>
        </w:rPr>
        <w:t xml:space="preserve"> </w:t>
      </w:r>
      <w:r w:rsidRPr="00E41AC6">
        <w:rPr>
          <w:rFonts w:ascii="Arial" w:hAnsi="Arial" w:cs="Arial"/>
          <w:u w:val="single"/>
        </w:rPr>
        <w:t>a</w:t>
      </w:r>
      <w:proofErr w:type="gramEnd"/>
      <w:r w:rsidRPr="005D622A">
        <w:rPr>
          <w:rFonts w:ascii="Arial" w:hAnsi="Arial" w:cs="Arial"/>
        </w:rPr>
        <w:t xml:space="preserve"> deposit</w:t>
      </w:r>
      <w:r w:rsidRPr="00E41AC6">
        <w:rPr>
          <w:rFonts w:ascii="Arial" w:hAnsi="Arial" w:cs="Arial"/>
        </w:rPr>
        <w:t xml:space="preserve"> </w:t>
      </w:r>
      <w:r w:rsidRPr="005D622A">
        <w:rPr>
          <w:rFonts w:ascii="Arial" w:hAnsi="Arial" w:cs="Arial"/>
        </w:rPr>
        <w:t xml:space="preserve">shall be presumed to be in bad faith unless the landlord returns the deposit within two weeks after the commencement of any action for the recovery of the deposit. </w:t>
      </w:r>
    </w:p>
    <w:p w14:paraId="00938EE3" w14:textId="77777777" w:rsidR="00910F3B" w:rsidRDefault="00910F3B" w:rsidP="00910F3B">
      <w:pPr>
        <w:rPr>
          <w:rFonts w:ascii="Times New Roman" w:hAnsi="Times New Roman" w:cs="Times New Roman"/>
          <w:sz w:val="26"/>
          <w:szCs w:val="26"/>
        </w:rPr>
      </w:pPr>
      <w:r>
        <w:rPr>
          <w:rFonts w:ascii="Times New Roman" w:hAnsi="Times New Roman" w:cs="Times New Roman"/>
          <w:sz w:val="26"/>
          <w:szCs w:val="26"/>
        </w:rPr>
        <w:t xml:space="preserve">The First Conference Report did not pass the House and the conferees met again ten months later. On </w:t>
      </w:r>
      <w:r w:rsidRPr="002E5E17">
        <w:rPr>
          <w:rFonts w:ascii="Times New Roman" w:hAnsi="Times New Roman" w:cs="Times New Roman"/>
          <w:color w:val="404040" w:themeColor="text1" w:themeTint="BF"/>
          <w:sz w:val="26"/>
          <w:szCs w:val="26"/>
        </w:rPr>
        <w:t>March 23, 199</w:t>
      </w:r>
      <w:r w:rsidRPr="002E5E17">
        <w:rPr>
          <w:rFonts w:ascii="Times New Roman" w:hAnsi="Times New Roman" w:cs="Times New Roman"/>
          <w:b/>
          <w:bCs/>
          <w:color w:val="404040" w:themeColor="text1" w:themeTint="BF"/>
          <w:sz w:val="26"/>
          <w:szCs w:val="26"/>
          <w:u w:val="single"/>
        </w:rPr>
        <w:t>2</w:t>
      </w:r>
      <w:r>
        <w:rPr>
          <w:rFonts w:ascii="Times New Roman" w:hAnsi="Times New Roman" w:cs="Times New Roman"/>
          <w:sz w:val="26"/>
          <w:szCs w:val="26"/>
        </w:rPr>
        <w:t>, they issued a Second Conference Report. The Second Conference Report passed the Senate on March 23, 199</w:t>
      </w:r>
      <w:r w:rsidRPr="00AB74A0">
        <w:rPr>
          <w:rFonts w:ascii="Times New Roman" w:hAnsi="Times New Roman" w:cs="Times New Roman"/>
          <w:b/>
          <w:bCs/>
          <w:sz w:val="26"/>
          <w:szCs w:val="26"/>
          <w:u w:val="single"/>
        </w:rPr>
        <w:t>2</w:t>
      </w:r>
      <w:r>
        <w:rPr>
          <w:rFonts w:ascii="Times New Roman" w:hAnsi="Times New Roman" w:cs="Times New Roman"/>
          <w:sz w:val="26"/>
          <w:szCs w:val="26"/>
        </w:rPr>
        <w:t xml:space="preserve"> and the House on March 24, 199</w:t>
      </w:r>
      <w:r w:rsidRPr="00AB74A0">
        <w:rPr>
          <w:rFonts w:ascii="Times New Roman" w:hAnsi="Times New Roman" w:cs="Times New Roman"/>
          <w:b/>
          <w:bCs/>
          <w:sz w:val="26"/>
          <w:szCs w:val="26"/>
          <w:u w:val="single"/>
        </w:rPr>
        <w:t>2</w:t>
      </w:r>
      <w:r>
        <w:rPr>
          <w:rFonts w:ascii="Times New Roman" w:hAnsi="Times New Roman" w:cs="Times New Roman"/>
          <w:sz w:val="26"/>
          <w:szCs w:val="26"/>
        </w:rPr>
        <w:t xml:space="preserve">. The governor signed this bill – the Second Conference Report – and it became 1992 Minn. Laws </w:t>
      </w:r>
      <w:proofErr w:type="spellStart"/>
      <w:r>
        <w:rPr>
          <w:rFonts w:ascii="Times New Roman" w:hAnsi="Times New Roman" w:cs="Times New Roman"/>
          <w:sz w:val="26"/>
          <w:szCs w:val="26"/>
        </w:rPr>
        <w:t>ch</w:t>
      </w:r>
      <w:proofErr w:type="spellEnd"/>
      <w:r>
        <w:rPr>
          <w:rFonts w:ascii="Times New Roman" w:hAnsi="Times New Roman" w:cs="Times New Roman"/>
          <w:sz w:val="26"/>
          <w:szCs w:val="26"/>
        </w:rPr>
        <w:t xml:space="preserve"> 376. The security-deposit provisions in the Second Conference Report, and thus in the session law, read as follows:</w:t>
      </w:r>
    </w:p>
    <w:p w14:paraId="37DD5343" w14:textId="77777777" w:rsidR="00910F3B" w:rsidRDefault="00910F3B" w:rsidP="00910F3B">
      <w:pPr>
        <w:ind w:left="720"/>
        <w:jc w:val="center"/>
        <w:rPr>
          <w:rFonts w:ascii="Arial" w:hAnsi="Arial" w:cs="Arial"/>
          <w:sz w:val="26"/>
          <w:szCs w:val="26"/>
        </w:rPr>
      </w:pPr>
      <w:r w:rsidRPr="007A646B">
        <w:rPr>
          <w:rFonts w:ascii="Arial" w:hAnsi="Arial" w:cs="Arial"/>
          <w:sz w:val="26"/>
          <w:szCs w:val="26"/>
        </w:rPr>
        <w:t>ARTICLE 1</w:t>
      </w:r>
    </w:p>
    <w:p w14:paraId="40CFFF0B" w14:textId="77777777" w:rsidR="00910F3B" w:rsidRPr="00AB74A0" w:rsidRDefault="00910F3B" w:rsidP="00910F3B">
      <w:pPr>
        <w:ind w:left="720"/>
        <w:jc w:val="center"/>
        <w:rPr>
          <w:rFonts w:ascii="Arial" w:hAnsi="Arial" w:cs="Arial"/>
          <w:b/>
          <w:bCs/>
          <w:sz w:val="26"/>
          <w:szCs w:val="26"/>
        </w:rPr>
      </w:pPr>
      <w:r w:rsidRPr="007A646B">
        <w:rPr>
          <w:rFonts w:ascii="Arial" w:hAnsi="Arial" w:cs="Arial"/>
          <w:sz w:val="26"/>
          <w:szCs w:val="26"/>
        </w:rPr>
        <w:t xml:space="preserve"> </w:t>
      </w:r>
      <w:r w:rsidRPr="00AB74A0">
        <w:rPr>
          <w:rFonts w:ascii="Arial" w:hAnsi="Arial" w:cs="Arial"/>
          <w:b/>
          <w:bCs/>
          <w:sz w:val="26"/>
          <w:szCs w:val="26"/>
        </w:rPr>
        <w:t>.…</w:t>
      </w:r>
    </w:p>
    <w:p w14:paraId="067815CD"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Sec. 5.  Minnesota Statutes 1990, section 504.20, subdivision 3, is amended to read: </w:t>
      </w:r>
    </w:p>
    <w:p w14:paraId="47E913EB"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    Subd. 3. </w:t>
      </w:r>
      <w:r w:rsidRPr="007A646B">
        <w:rPr>
          <w:rFonts w:ascii="Arial" w:hAnsi="Arial" w:cs="Arial"/>
          <w:sz w:val="26"/>
          <w:szCs w:val="26"/>
          <w:u w:val="single"/>
        </w:rPr>
        <w:t>(a)</w:t>
      </w:r>
      <w:r w:rsidRPr="007A646B">
        <w:rPr>
          <w:rFonts w:ascii="Arial" w:hAnsi="Arial" w:cs="Arial"/>
          <w:sz w:val="26"/>
          <w:szCs w:val="26"/>
        </w:rPr>
        <w:t xml:space="preserve"> Every landlord </w:t>
      </w:r>
      <w:proofErr w:type="gramStart"/>
      <w:r w:rsidRPr="007A646B">
        <w:rPr>
          <w:rFonts w:ascii="Arial" w:hAnsi="Arial" w:cs="Arial"/>
          <w:sz w:val="26"/>
          <w:szCs w:val="26"/>
        </w:rPr>
        <w:t>shall</w:t>
      </w:r>
      <w:r w:rsidRPr="007A646B">
        <w:rPr>
          <w:rFonts w:ascii="Arial" w:hAnsi="Arial" w:cs="Arial"/>
          <w:strike/>
          <w:sz w:val="26"/>
          <w:szCs w:val="26"/>
        </w:rPr>
        <w:t>,</w:t>
      </w:r>
      <w:r w:rsidRPr="007A646B">
        <w:rPr>
          <w:rFonts w:ascii="Arial" w:hAnsi="Arial" w:cs="Arial"/>
          <w:sz w:val="26"/>
          <w:szCs w:val="26"/>
          <w:u w:val="single"/>
        </w:rPr>
        <w:t>:</w:t>
      </w:r>
      <w:proofErr w:type="gramEnd"/>
      <w:r w:rsidRPr="007A646B">
        <w:rPr>
          <w:rFonts w:ascii="Arial" w:hAnsi="Arial" w:cs="Arial"/>
          <w:sz w:val="26"/>
          <w:szCs w:val="26"/>
        </w:rPr>
        <w:t xml:space="preserve"> </w:t>
      </w:r>
    </w:p>
    <w:p w14:paraId="53ADEBEC" w14:textId="77777777" w:rsidR="00910F3B" w:rsidRPr="007A646B" w:rsidRDefault="00910F3B" w:rsidP="00910F3B">
      <w:pPr>
        <w:ind w:left="720"/>
        <w:rPr>
          <w:rFonts w:ascii="Arial" w:hAnsi="Arial" w:cs="Arial"/>
          <w:sz w:val="26"/>
          <w:szCs w:val="26"/>
          <w:highlight w:val="yellow"/>
        </w:rPr>
      </w:pPr>
      <w:r w:rsidRPr="007A646B">
        <w:rPr>
          <w:rFonts w:ascii="Arial" w:hAnsi="Arial" w:cs="Arial"/>
          <w:sz w:val="26"/>
          <w:szCs w:val="26"/>
        </w:rPr>
        <w:t xml:space="preserve">     </w:t>
      </w:r>
      <w:r w:rsidRPr="00FB0EF4">
        <w:rPr>
          <w:rFonts w:ascii="Arial" w:hAnsi="Arial" w:cs="Arial"/>
          <w:sz w:val="26"/>
          <w:szCs w:val="26"/>
          <w:highlight w:val="yellow"/>
          <w:u w:val="single"/>
        </w:rPr>
        <w:t>(1)</w:t>
      </w:r>
      <w:r w:rsidRPr="007A646B">
        <w:rPr>
          <w:rFonts w:ascii="Arial" w:hAnsi="Arial" w:cs="Arial"/>
          <w:sz w:val="26"/>
          <w:szCs w:val="26"/>
          <w:highlight w:val="yellow"/>
        </w:rPr>
        <w:t xml:space="preserve"> within three weeks after termination of the tenancy; </w:t>
      </w:r>
      <w:r w:rsidRPr="00731AAB">
        <w:rPr>
          <w:rFonts w:ascii="Arial" w:hAnsi="Arial" w:cs="Arial"/>
          <w:sz w:val="26"/>
          <w:szCs w:val="26"/>
          <w:highlight w:val="yellow"/>
          <w:u w:val="single"/>
        </w:rPr>
        <w:t>or</w:t>
      </w:r>
      <w:r w:rsidRPr="007A646B">
        <w:rPr>
          <w:rFonts w:ascii="Arial" w:hAnsi="Arial" w:cs="Arial"/>
          <w:sz w:val="26"/>
          <w:szCs w:val="26"/>
          <w:highlight w:val="yellow"/>
        </w:rPr>
        <w:t xml:space="preserve"> </w:t>
      </w:r>
    </w:p>
    <w:p w14:paraId="5240967F" w14:textId="77777777" w:rsidR="00910F3B" w:rsidRPr="007A646B" w:rsidRDefault="00910F3B" w:rsidP="00910F3B">
      <w:pPr>
        <w:ind w:left="720"/>
        <w:rPr>
          <w:rFonts w:ascii="Arial" w:hAnsi="Arial" w:cs="Arial"/>
          <w:sz w:val="26"/>
          <w:szCs w:val="26"/>
        </w:rPr>
      </w:pPr>
      <w:r w:rsidRPr="007A646B">
        <w:rPr>
          <w:rFonts w:ascii="Arial" w:hAnsi="Arial" w:cs="Arial"/>
          <w:sz w:val="26"/>
          <w:szCs w:val="26"/>
          <w:highlight w:val="yellow"/>
        </w:rPr>
        <w:t xml:space="preserve">     </w:t>
      </w:r>
      <w:r w:rsidRPr="00FB0EF4">
        <w:rPr>
          <w:rFonts w:ascii="Arial" w:hAnsi="Arial" w:cs="Arial"/>
          <w:sz w:val="26"/>
          <w:szCs w:val="26"/>
          <w:highlight w:val="yellow"/>
          <w:u w:val="single"/>
        </w:rPr>
        <w:t xml:space="preserve">(2) within five days of the date when the tenant leaves the building or dwelling due to the legal condemnation of the building or dwelling in which the tenant lives for reasons not due to willful, malicious, or irresponsible conduct of the tenant, </w:t>
      </w:r>
      <w:r w:rsidRPr="00FB0EF4">
        <w:rPr>
          <w:rFonts w:ascii="Arial" w:hAnsi="Arial" w:cs="Arial"/>
          <w:sz w:val="26"/>
          <w:szCs w:val="26"/>
          <w:highlight w:val="yellow"/>
        </w:rPr>
        <w:t xml:space="preserve">and </w:t>
      </w:r>
      <w:r w:rsidRPr="00FB0EF4">
        <w:rPr>
          <w:rFonts w:ascii="Arial" w:hAnsi="Arial" w:cs="Arial"/>
          <w:sz w:val="26"/>
          <w:szCs w:val="26"/>
          <w:highlight w:val="yellow"/>
          <w:u w:val="single"/>
        </w:rPr>
        <w:t>after</w:t>
      </w:r>
      <w:r w:rsidRPr="00FB0EF4">
        <w:rPr>
          <w:rFonts w:ascii="Arial" w:hAnsi="Arial" w:cs="Arial"/>
          <w:sz w:val="26"/>
          <w:szCs w:val="26"/>
          <w:highlight w:val="yellow"/>
        </w:rPr>
        <w:t xml:space="preserve"> receipt of the tenant's mailing address or delivery instructions, return the deposit to the tenant, with interest thereon as above provided, or furnish to the tenant a</w:t>
      </w:r>
      <w:r w:rsidRPr="007A646B">
        <w:rPr>
          <w:rFonts w:ascii="Arial" w:hAnsi="Arial" w:cs="Arial"/>
          <w:sz w:val="26"/>
          <w:szCs w:val="26"/>
          <w:highlight w:val="yellow"/>
        </w:rPr>
        <w:t xml:space="preserve"> written statement showing the specific reason for the withholding of the deposit or any portion thereof.</w:t>
      </w:r>
      <w:r w:rsidRPr="007A646B">
        <w:rPr>
          <w:rFonts w:ascii="Arial" w:hAnsi="Arial" w:cs="Arial"/>
          <w:sz w:val="26"/>
          <w:szCs w:val="26"/>
        </w:rPr>
        <w:t xml:space="preserve"> </w:t>
      </w:r>
    </w:p>
    <w:p w14:paraId="12DA7735"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lastRenderedPageBreak/>
        <w:t xml:space="preserve">    </w:t>
      </w:r>
      <w:r w:rsidRPr="007A646B">
        <w:rPr>
          <w:rFonts w:ascii="Arial" w:hAnsi="Arial" w:cs="Arial"/>
          <w:sz w:val="26"/>
          <w:szCs w:val="26"/>
          <w:u w:val="single"/>
        </w:rPr>
        <w:t>(b)</w:t>
      </w:r>
      <w:r w:rsidRPr="007A646B">
        <w:rPr>
          <w:rFonts w:ascii="Arial" w:hAnsi="Arial" w:cs="Arial"/>
          <w:sz w:val="26"/>
          <w:szCs w:val="26"/>
        </w:rPr>
        <w:t xml:space="preserve"> It shall be sufficient compliance with the time requirement of this subdivision if the deposit or written statement required by this subdivision is placed in the United States mail as first class mail, postage prepaid, in an envelope with a proper return address, correctly addressed according to the mailing address or delivery instructions furnished by the tenant, within the time required by this subdivision.  The landlord may withhold from the deposit only amounts reasonably necessary: </w:t>
      </w:r>
    </w:p>
    <w:p w14:paraId="621BE366"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    </w:t>
      </w:r>
      <w:r w:rsidRPr="007A646B">
        <w:rPr>
          <w:rFonts w:ascii="Arial" w:hAnsi="Arial" w:cs="Arial"/>
          <w:strike/>
          <w:sz w:val="26"/>
          <w:szCs w:val="26"/>
        </w:rPr>
        <w:t>(a)</w:t>
      </w:r>
      <w:r w:rsidRPr="007A646B">
        <w:rPr>
          <w:rFonts w:ascii="Arial" w:hAnsi="Arial" w:cs="Arial"/>
          <w:sz w:val="26"/>
          <w:szCs w:val="26"/>
        </w:rPr>
        <w:t xml:space="preserve"> </w:t>
      </w:r>
      <w:r w:rsidRPr="007A646B">
        <w:rPr>
          <w:rFonts w:ascii="Arial" w:hAnsi="Arial" w:cs="Arial"/>
          <w:sz w:val="26"/>
          <w:szCs w:val="26"/>
          <w:u w:val="single"/>
        </w:rPr>
        <w:t>(1)</w:t>
      </w:r>
      <w:r w:rsidRPr="007A646B">
        <w:rPr>
          <w:rFonts w:ascii="Arial" w:hAnsi="Arial" w:cs="Arial"/>
          <w:sz w:val="26"/>
          <w:szCs w:val="26"/>
        </w:rPr>
        <w:t xml:space="preserve"> to remedy tenant defaults in the payment of rent or of other funds due to the landlord pursuant to an agreement; or </w:t>
      </w:r>
    </w:p>
    <w:p w14:paraId="62EFB444"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    </w:t>
      </w:r>
      <w:r w:rsidRPr="007A646B">
        <w:rPr>
          <w:rFonts w:ascii="Arial" w:hAnsi="Arial" w:cs="Arial"/>
          <w:strike/>
          <w:sz w:val="26"/>
          <w:szCs w:val="26"/>
        </w:rPr>
        <w:t>(b)</w:t>
      </w:r>
      <w:r w:rsidRPr="007A646B">
        <w:rPr>
          <w:rFonts w:ascii="Arial" w:hAnsi="Arial" w:cs="Arial"/>
          <w:sz w:val="26"/>
          <w:szCs w:val="26"/>
        </w:rPr>
        <w:t xml:space="preserve"> </w:t>
      </w:r>
      <w:r w:rsidRPr="007A646B">
        <w:rPr>
          <w:rFonts w:ascii="Arial" w:hAnsi="Arial" w:cs="Arial"/>
          <w:sz w:val="26"/>
          <w:szCs w:val="26"/>
          <w:u w:val="single"/>
        </w:rPr>
        <w:t>(2)</w:t>
      </w:r>
      <w:r w:rsidRPr="007A646B">
        <w:rPr>
          <w:rFonts w:ascii="Arial" w:hAnsi="Arial" w:cs="Arial"/>
          <w:sz w:val="26"/>
          <w:szCs w:val="26"/>
        </w:rPr>
        <w:t xml:space="preserve"> to restore the premises to their condition at the commencement of the tenancy, ordinary wear and tear excepted. </w:t>
      </w:r>
    </w:p>
    <w:p w14:paraId="20E38A58"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    </w:t>
      </w:r>
      <w:r w:rsidRPr="007A646B">
        <w:rPr>
          <w:rFonts w:ascii="Arial" w:hAnsi="Arial" w:cs="Arial"/>
          <w:sz w:val="26"/>
          <w:szCs w:val="26"/>
          <w:u w:val="single"/>
        </w:rPr>
        <w:t>(c)</w:t>
      </w:r>
      <w:r w:rsidRPr="007A646B">
        <w:rPr>
          <w:rFonts w:ascii="Arial" w:hAnsi="Arial" w:cs="Arial"/>
          <w:sz w:val="26"/>
          <w:szCs w:val="26"/>
        </w:rPr>
        <w:t xml:space="preserve"> In any action concerning the deposit, the burden of proving, by a fair preponderance of the evidence, the reason for withholding all or any portion of the deposit shall be on the landlord. </w:t>
      </w:r>
    </w:p>
    <w:p w14:paraId="543F0C30"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    Sec. 6.  Minnesota Statutes 1990, section 504.20, subdivision 4, is amended to read: </w:t>
      </w:r>
    </w:p>
    <w:p w14:paraId="11C36C73"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    Subd. 4.  Any landlord who fails to</w:t>
      </w:r>
      <w:r w:rsidRPr="007A646B">
        <w:rPr>
          <w:rFonts w:ascii="Arial" w:hAnsi="Arial" w:cs="Arial"/>
          <w:sz w:val="26"/>
          <w:szCs w:val="26"/>
          <w:u w:val="single"/>
        </w:rPr>
        <w:t>:</w:t>
      </w:r>
      <w:r w:rsidRPr="007A646B">
        <w:rPr>
          <w:rFonts w:ascii="Arial" w:hAnsi="Arial" w:cs="Arial"/>
          <w:sz w:val="26"/>
          <w:szCs w:val="26"/>
        </w:rPr>
        <w:t xml:space="preserve">  </w:t>
      </w:r>
    </w:p>
    <w:p w14:paraId="1124378B" w14:textId="77777777" w:rsidR="00910F3B" w:rsidRPr="007A646B" w:rsidRDefault="00910F3B" w:rsidP="00910F3B">
      <w:pPr>
        <w:ind w:left="720" w:firstLine="720"/>
        <w:rPr>
          <w:rFonts w:ascii="Arial" w:hAnsi="Arial" w:cs="Arial"/>
          <w:sz w:val="26"/>
          <w:szCs w:val="26"/>
          <w:highlight w:val="yellow"/>
        </w:rPr>
      </w:pPr>
      <w:r w:rsidRPr="007A646B">
        <w:rPr>
          <w:rFonts w:ascii="Arial" w:hAnsi="Arial" w:cs="Arial"/>
          <w:sz w:val="26"/>
          <w:szCs w:val="26"/>
          <w:highlight w:val="yellow"/>
          <w:u w:val="single"/>
        </w:rPr>
        <w:t>(1)</w:t>
      </w:r>
      <w:r w:rsidRPr="007A646B">
        <w:rPr>
          <w:rFonts w:ascii="Arial" w:hAnsi="Arial" w:cs="Arial"/>
          <w:sz w:val="26"/>
          <w:szCs w:val="26"/>
          <w:highlight w:val="yellow"/>
        </w:rPr>
        <w:t xml:space="preserve"> provide a written statement within three weeks of termination of the tenancy and</w:t>
      </w:r>
      <w:r w:rsidRPr="007A646B">
        <w:rPr>
          <w:rFonts w:ascii="Arial" w:hAnsi="Arial" w:cs="Arial"/>
          <w:sz w:val="26"/>
          <w:szCs w:val="26"/>
          <w:highlight w:val="yellow"/>
          <w:u w:val="single"/>
        </w:rPr>
        <w:t>;</w:t>
      </w:r>
      <w:r w:rsidRPr="007A646B">
        <w:rPr>
          <w:rFonts w:ascii="Arial" w:hAnsi="Arial" w:cs="Arial"/>
          <w:sz w:val="26"/>
          <w:szCs w:val="26"/>
          <w:highlight w:val="yellow"/>
        </w:rPr>
        <w:t xml:space="preserve">  </w:t>
      </w:r>
    </w:p>
    <w:p w14:paraId="35739914" w14:textId="77777777" w:rsidR="00910F3B" w:rsidRPr="007A646B" w:rsidRDefault="00910F3B" w:rsidP="00910F3B">
      <w:pPr>
        <w:ind w:left="720" w:firstLine="720"/>
        <w:rPr>
          <w:rFonts w:ascii="Arial" w:hAnsi="Arial" w:cs="Arial"/>
          <w:sz w:val="26"/>
          <w:szCs w:val="26"/>
        </w:rPr>
      </w:pPr>
      <w:r w:rsidRPr="007A646B">
        <w:rPr>
          <w:rFonts w:ascii="Arial" w:hAnsi="Arial" w:cs="Arial"/>
          <w:sz w:val="26"/>
          <w:szCs w:val="26"/>
          <w:highlight w:val="yellow"/>
          <w:u w:val="single"/>
        </w:rPr>
        <w:t>(2) provide a written statement within five days of the</w:t>
      </w:r>
      <w:r w:rsidRPr="007A646B">
        <w:rPr>
          <w:rFonts w:ascii="Arial" w:hAnsi="Arial" w:cs="Arial"/>
          <w:sz w:val="26"/>
          <w:szCs w:val="26"/>
          <w:highlight w:val="yellow"/>
        </w:rPr>
        <w:t xml:space="preserve"> </w:t>
      </w:r>
      <w:r w:rsidRPr="007A646B">
        <w:rPr>
          <w:rFonts w:ascii="Arial" w:hAnsi="Arial" w:cs="Arial"/>
          <w:sz w:val="26"/>
          <w:szCs w:val="26"/>
          <w:highlight w:val="yellow"/>
          <w:u w:val="single"/>
        </w:rPr>
        <w:t>date when the tenant leaves the building or dwelling due to the</w:t>
      </w:r>
      <w:r w:rsidRPr="007A646B">
        <w:rPr>
          <w:rFonts w:ascii="Arial" w:hAnsi="Arial" w:cs="Arial"/>
          <w:sz w:val="26"/>
          <w:szCs w:val="26"/>
          <w:highlight w:val="yellow"/>
        </w:rPr>
        <w:t xml:space="preserve"> </w:t>
      </w:r>
      <w:r w:rsidRPr="007A646B">
        <w:rPr>
          <w:rFonts w:ascii="Arial" w:hAnsi="Arial" w:cs="Arial"/>
          <w:sz w:val="26"/>
          <w:szCs w:val="26"/>
          <w:highlight w:val="yellow"/>
          <w:u w:val="single"/>
        </w:rPr>
        <w:t>legal condemnation of the building or dwelling in which the</w:t>
      </w:r>
      <w:r w:rsidRPr="007A646B">
        <w:rPr>
          <w:rFonts w:ascii="Arial" w:hAnsi="Arial" w:cs="Arial"/>
          <w:sz w:val="26"/>
          <w:szCs w:val="26"/>
          <w:highlight w:val="yellow"/>
        </w:rPr>
        <w:t xml:space="preserve"> </w:t>
      </w:r>
      <w:r w:rsidRPr="007A646B">
        <w:rPr>
          <w:rFonts w:ascii="Arial" w:hAnsi="Arial" w:cs="Arial"/>
          <w:sz w:val="26"/>
          <w:szCs w:val="26"/>
          <w:highlight w:val="yellow"/>
          <w:u w:val="single"/>
        </w:rPr>
        <w:t>tenant lives for reasons not due to willful, malicious, or</w:t>
      </w:r>
      <w:r w:rsidRPr="007A646B">
        <w:rPr>
          <w:rFonts w:ascii="Arial" w:hAnsi="Arial" w:cs="Arial"/>
          <w:sz w:val="26"/>
          <w:szCs w:val="26"/>
          <w:highlight w:val="yellow"/>
        </w:rPr>
        <w:t xml:space="preserve"> </w:t>
      </w:r>
      <w:r w:rsidRPr="007A646B">
        <w:rPr>
          <w:rFonts w:ascii="Arial" w:hAnsi="Arial" w:cs="Arial"/>
          <w:sz w:val="26"/>
          <w:szCs w:val="26"/>
          <w:highlight w:val="yellow"/>
          <w:u w:val="single"/>
        </w:rPr>
        <w:t>irresponsible conduct of the tenant, or</w:t>
      </w:r>
      <w:r w:rsidRPr="007A646B">
        <w:rPr>
          <w:rFonts w:ascii="Arial" w:hAnsi="Arial" w:cs="Arial"/>
          <w:sz w:val="26"/>
          <w:szCs w:val="26"/>
        </w:rPr>
        <w:t xml:space="preserve"> </w:t>
      </w:r>
    </w:p>
    <w:p w14:paraId="2EC455FB" w14:textId="77777777" w:rsidR="00910F3B" w:rsidRPr="007A646B" w:rsidRDefault="00910F3B" w:rsidP="00910F3B">
      <w:pPr>
        <w:ind w:left="720" w:firstLine="720"/>
        <w:rPr>
          <w:rFonts w:ascii="Arial" w:hAnsi="Arial" w:cs="Arial"/>
          <w:sz w:val="26"/>
          <w:szCs w:val="26"/>
        </w:rPr>
      </w:pPr>
      <w:r w:rsidRPr="007A646B">
        <w:rPr>
          <w:rFonts w:ascii="Arial" w:hAnsi="Arial" w:cs="Arial"/>
          <w:sz w:val="26"/>
          <w:szCs w:val="26"/>
        </w:rPr>
        <w:t xml:space="preserve"> </w:t>
      </w:r>
      <w:r w:rsidRPr="007A646B">
        <w:rPr>
          <w:rFonts w:ascii="Arial" w:hAnsi="Arial" w:cs="Arial"/>
          <w:sz w:val="26"/>
          <w:szCs w:val="26"/>
          <w:u w:val="single"/>
        </w:rPr>
        <w:t>(3) transfer or return a deposit as required by subdivision</w:t>
      </w:r>
      <w:r w:rsidRPr="007A646B">
        <w:rPr>
          <w:rFonts w:ascii="Arial" w:hAnsi="Arial" w:cs="Arial"/>
          <w:sz w:val="26"/>
          <w:szCs w:val="26"/>
        </w:rPr>
        <w:t xml:space="preserve"> </w:t>
      </w:r>
      <w:r w:rsidRPr="007A646B">
        <w:rPr>
          <w:rFonts w:ascii="Arial" w:hAnsi="Arial" w:cs="Arial"/>
          <w:sz w:val="26"/>
          <w:szCs w:val="26"/>
          <w:u w:val="single"/>
        </w:rPr>
        <w:t>5,</w:t>
      </w:r>
      <w:r w:rsidRPr="007A646B">
        <w:rPr>
          <w:rFonts w:ascii="Arial" w:hAnsi="Arial" w:cs="Arial"/>
          <w:sz w:val="26"/>
          <w:szCs w:val="26"/>
        </w:rPr>
        <w:t xml:space="preserve"> </w:t>
      </w:r>
    </w:p>
    <w:p w14:paraId="3D233D20" w14:textId="77777777" w:rsidR="00910F3B" w:rsidRPr="007A646B" w:rsidRDefault="00910F3B" w:rsidP="00910F3B">
      <w:pPr>
        <w:ind w:left="720"/>
        <w:rPr>
          <w:rFonts w:ascii="Arial" w:hAnsi="Arial" w:cs="Arial"/>
          <w:sz w:val="26"/>
          <w:szCs w:val="26"/>
        </w:rPr>
      </w:pPr>
      <w:r w:rsidRPr="007A646B">
        <w:rPr>
          <w:rFonts w:ascii="Arial" w:hAnsi="Arial" w:cs="Arial"/>
          <w:sz w:val="26"/>
          <w:szCs w:val="26"/>
          <w:highlight w:val="yellow"/>
          <w:u w:val="single"/>
        </w:rPr>
        <w:t>after</w:t>
      </w:r>
      <w:r w:rsidRPr="007A646B">
        <w:rPr>
          <w:rFonts w:ascii="Arial" w:hAnsi="Arial" w:cs="Arial"/>
          <w:sz w:val="26"/>
          <w:szCs w:val="26"/>
        </w:rPr>
        <w:t xml:space="preserve"> receipt of the tenant's mailing address or delivery instructions, as required in subdivision 3, shall be liable to the tenant for damages in an amount equal to the portion of the deposit withheld by the landlord and interest thereon as provided in subdivision 2, as a penalty, in addition to the portion of the deposit wrongfully withheld by the landlord and interest thereon. </w:t>
      </w:r>
    </w:p>
    <w:p w14:paraId="0BECBE48"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 Sec. 7.  Minnesota Statutes 1990, section 504.20, subdivision 5, is amended to read: </w:t>
      </w:r>
    </w:p>
    <w:p w14:paraId="144C98D7"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lastRenderedPageBreak/>
        <w:t xml:space="preserve">    Subd. 5.  Upon termination of the landlord's interest in the premises, whether by sale, assignment, death, appointment of receiver or otherwise, the landlord or the landlord's agent shall, within </w:t>
      </w:r>
      <w:r w:rsidRPr="007A646B">
        <w:rPr>
          <w:rFonts w:ascii="Arial" w:hAnsi="Arial" w:cs="Arial"/>
          <w:strike/>
          <w:sz w:val="26"/>
          <w:szCs w:val="26"/>
        </w:rPr>
        <w:t>a reasonable time</w:t>
      </w:r>
      <w:r w:rsidRPr="007A646B">
        <w:rPr>
          <w:rFonts w:ascii="Arial" w:hAnsi="Arial" w:cs="Arial"/>
          <w:sz w:val="26"/>
          <w:szCs w:val="26"/>
        </w:rPr>
        <w:t xml:space="preserve"> </w:t>
      </w:r>
      <w:r w:rsidRPr="007A646B">
        <w:rPr>
          <w:rFonts w:ascii="Arial" w:hAnsi="Arial" w:cs="Arial"/>
          <w:sz w:val="26"/>
          <w:szCs w:val="26"/>
          <w:u w:val="single"/>
        </w:rPr>
        <w:t>60 days of termination of the</w:t>
      </w:r>
      <w:r w:rsidRPr="007A646B">
        <w:rPr>
          <w:rFonts w:ascii="Arial" w:hAnsi="Arial" w:cs="Arial"/>
          <w:sz w:val="26"/>
          <w:szCs w:val="26"/>
        </w:rPr>
        <w:t xml:space="preserve"> </w:t>
      </w:r>
      <w:r w:rsidRPr="007A646B">
        <w:rPr>
          <w:rFonts w:ascii="Arial" w:hAnsi="Arial" w:cs="Arial"/>
          <w:sz w:val="26"/>
          <w:szCs w:val="26"/>
          <w:u w:val="single"/>
        </w:rPr>
        <w:t>interest or when the successor in interest is required to return</w:t>
      </w:r>
      <w:r w:rsidRPr="007A646B">
        <w:rPr>
          <w:rFonts w:ascii="Arial" w:hAnsi="Arial" w:cs="Arial"/>
          <w:sz w:val="26"/>
          <w:szCs w:val="26"/>
        </w:rPr>
        <w:t xml:space="preserve"> </w:t>
      </w:r>
      <w:r w:rsidRPr="007A646B">
        <w:rPr>
          <w:rFonts w:ascii="Arial" w:hAnsi="Arial" w:cs="Arial"/>
          <w:sz w:val="26"/>
          <w:szCs w:val="26"/>
          <w:u w:val="single"/>
        </w:rPr>
        <w:t>or otherwise account for the deposit to the tenant, whichever</w:t>
      </w:r>
      <w:r w:rsidRPr="007A646B">
        <w:rPr>
          <w:rFonts w:ascii="Arial" w:hAnsi="Arial" w:cs="Arial"/>
          <w:sz w:val="26"/>
          <w:szCs w:val="26"/>
        </w:rPr>
        <w:t xml:space="preserve"> </w:t>
      </w:r>
      <w:r w:rsidRPr="007A646B">
        <w:rPr>
          <w:rFonts w:ascii="Arial" w:hAnsi="Arial" w:cs="Arial"/>
          <w:sz w:val="26"/>
          <w:szCs w:val="26"/>
          <w:u w:val="single"/>
        </w:rPr>
        <w:t>occurs first</w:t>
      </w:r>
      <w:r w:rsidRPr="007A646B">
        <w:rPr>
          <w:rFonts w:ascii="Arial" w:hAnsi="Arial" w:cs="Arial"/>
          <w:sz w:val="26"/>
          <w:szCs w:val="26"/>
        </w:rPr>
        <w:t xml:space="preserve">, do one of the following acts, either of which shall relieve the landlord or agent of further liability with respect to such deposit: </w:t>
      </w:r>
    </w:p>
    <w:p w14:paraId="59902AEC"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    (a) Transfer such deposit, or any remainder after any lawful deductions made under subdivision 3, with interest thereon as provided in subdivision 2, to the landlord's successor in interest and thereafter notify the tenant of such transfer and of the transferee's name and address; or </w:t>
      </w:r>
    </w:p>
    <w:p w14:paraId="0ACB9021"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    (b) Return such deposit, or any remainder after any lawful deductions made under subdivision 3, with interest thereon as provided in subdivision 2, to the tenant. </w:t>
      </w:r>
    </w:p>
    <w:p w14:paraId="3E650726"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    Sec. 8.  Minnesota Statutes 1990, section 504.20, subdivision 7, is amended to read: </w:t>
      </w:r>
    </w:p>
    <w:p w14:paraId="44D00962" w14:textId="77777777" w:rsidR="00910F3B" w:rsidRPr="007A646B" w:rsidRDefault="00910F3B" w:rsidP="00910F3B">
      <w:pPr>
        <w:ind w:left="720"/>
        <w:rPr>
          <w:rFonts w:ascii="Arial" w:hAnsi="Arial" w:cs="Arial"/>
          <w:sz w:val="26"/>
          <w:szCs w:val="26"/>
        </w:rPr>
      </w:pPr>
      <w:r w:rsidRPr="007A646B">
        <w:rPr>
          <w:rFonts w:ascii="Arial" w:hAnsi="Arial" w:cs="Arial"/>
          <w:sz w:val="26"/>
          <w:szCs w:val="26"/>
        </w:rPr>
        <w:t xml:space="preserve">    Subd. 7.  The bad faith retention by a landlord of </w:t>
      </w:r>
      <w:proofErr w:type="gramStart"/>
      <w:r w:rsidRPr="007A646B">
        <w:rPr>
          <w:rFonts w:ascii="Arial" w:hAnsi="Arial" w:cs="Arial"/>
          <w:strike/>
          <w:sz w:val="26"/>
          <w:szCs w:val="26"/>
        </w:rPr>
        <w:t>the</w:t>
      </w:r>
      <w:r>
        <w:rPr>
          <w:rFonts w:ascii="Arial" w:hAnsi="Arial" w:cs="Arial"/>
          <w:strike/>
          <w:sz w:val="26"/>
          <w:szCs w:val="26"/>
        </w:rPr>
        <w:t xml:space="preserve"> </w:t>
      </w:r>
      <w:r w:rsidRPr="007A646B">
        <w:rPr>
          <w:rFonts w:ascii="Arial" w:hAnsi="Arial" w:cs="Arial"/>
          <w:sz w:val="26"/>
          <w:szCs w:val="26"/>
          <w:u w:val="single"/>
        </w:rPr>
        <w:t>a</w:t>
      </w:r>
      <w:proofErr w:type="gramEnd"/>
      <w:r w:rsidRPr="007A646B">
        <w:rPr>
          <w:rFonts w:ascii="Arial" w:hAnsi="Arial" w:cs="Arial"/>
          <w:sz w:val="26"/>
          <w:szCs w:val="26"/>
        </w:rPr>
        <w:t xml:space="preserve"> deposit, the interest thereon, or any portion thereof, in violation of this section shall subject the landlord to punitive damages not to exceed $200 </w:t>
      </w:r>
      <w:r w:rsidRPr="007A646B">
        <w:rPr>
          <w:rFonts w:ascii="Arial" w:hAnsi="Arial" w:cs="Arial"/>
          <w:sz w:val="26"/>
          <w:szCs w:val="26"/>
          <w:u w:val="single"/>
        </w:rPr>
        <w:t>for each deposit</w:t>
      </w:r>
      <w:r w:rsidRPr="007A646B">
        <w:rPr>
          <w:rFonts w:ascii="Arial" w:hAnsi="Arial" w:cs="Arial"/>
          <w:sz w:val="26"/>
          <w:szCs w:val="26"/>
        </w:rPr>
        <w:t xml:space="preserve"> in addition to the damages provided in subdivision 4.  If the landlord has failed to comply with the provisions of subdivision 3 </w:t>
      </w:r>
      <w:r w:rsidRPr="007A646B">
        <w:rPr>
          <w:rFonts w:ascii="Arial" w:hAnsi="Arial" w:cs="Arial"/>
          <w:sz w:val="26"/>
          <w:szCs w:val="26"/>
          <w:u w:val="single"/>
        </w:rPr>
        <w:t>or 5</w:t>
      </w:r>
      <w:r w:rsidRPr="007A646B">
        <w:rPr>
          <w:rFonts w:ascii="Arial" w:hAnsi="Arial" w:cs="Arial"/>
          <w:sz w:val="26"/>
          <w:szCs w:val="26"/>
        </w:rPr>
        <w:t xml:space="preserve">, retention of </w:t>
      </w:r>
      <w:proofErr w:type="gramStart"/>
      <w:r w:rsidRPr="007A646B">
        <w:rPr>
          <w:rFonts w:ascii="Arial" w:hAnsi="Arial" w:cs="Arial"/>
          <w:strike/>
          <w:sz w:val="26"/>
          <w:szCs w:val="26"/>
        </w:rPr>
        <w:t>the</w:t>
      </w:r>
      <w:r w:rsidRPr="007A646B">
        <w:rPr>
          <w:rFonts w:ascii="Arial" w:hAnsi="Arial" w:cs="Arial"/>
          <w:sz w:val="26"/>
          <w:szCs w:val="26"/>
        </w:rPr>
        <w:t xml:space="preserve"> </w:t>
      </w:r>
      <w:r w:rsidRPr="007A646B">
        <w:rPr>
          <w:rFonts w:ascii="Arial" w:hAnsi="Arial" w:cs="Arial"/>
          <w:sz w:val="26"/>
          <w:szCs w:val="26"/>
          <w:u w:val="single"/>
        </w:rPr>
        <w:t>a</w:t>
      </w:r>
      <w:proofErr w:type="gramEnd"/>
      <w:r w:rsidRPr="007A646B">
        <w:rPr>
          <w:rFonts w:ascii="Arial" w:hAnsi="Arial" w:cs="Arial"/>
          <w:sz w:val="26"/>
          <w:szCs w:val="26"/>
        </w:rPr>
        <w:t xml:space="preserve"> deposit shall be presumed to be in bad faith unless the landlord returns the deposit within two weeks after the commencement of any action for the recovery of the deposit. </w:t>
      </w:r>
    </w:p>
    <w:p w14:paraId="49181E12" w14:textId="77777777" w:rsidR="001D6AC7" w:rsidRDefault="00910F3B" w:rsidP="001D6AC7">
      <w:pPr>
        <w:rPr>
          <w:rFonts w:ascii="Times New Roman" w:hAnsi="Times New Roman" w:cs="Times New Roman"/>
          <w:sz w:val="26"/>
          <w:szCs w:val="26"/>
        </w:rPr>
      </w:pPr>
      <w:r w:rsidRPr="0035274E">
        <w:rPr>
          <w:rFonts w:ascii="Times New Roman" w:hAnsi="Times New Roman" w:cs="Times New Roman"/>
          <w:sz w:val="26"/>
          <w:szCs w:val="26"/>
        </w:rPr>
        <w:t>The</w:t>
      </w:r>
      <w:r>
        <w:rPr>
          <w:rFonts w:ascii="Times New Roman" w:hAnsi="Times New Roman" w:cs="Times New Roman"/>
          <w:sz w:val="26"/>
          <w:szCs w:val="26"/>
        </w:rPr>
        <w:t xml:space="preserve"> changes highlighted in </w:t>
      </w:r>
      <w:r w:rsidRPr="00AB74A0">
        <w:rPr>
          <w:rFonts w:ascii="Times New Roman" w:hAnsi="Times New Roman" w:cs="Times New Roman"/>
          <w:sz w:val="26"/>
          <w:szCs w:val="26"/>
          <w:highlight w:val="yellow"/>
        </w:rPr>
        <w:t>yellow</w:t>
      </w:r>
      <w:r>
        <w:rPr>
          <w:rFonts w:ascii="Times New Roman" w:hAnsi="Times New Roman" w:cs="Times New Roman"/>
          <w:sz w:val="26"/>
          <w:szCs w:val="26"/>
        </w:rPr>
        <w:t xml:space="preserve"> relate to a Type A </w:t>
      </w:r>
      <w:r w:rsidR="007A330B">
        <w:rPr>
          <w:rFonts w:ascii="Times New Roman" w:hAnsi="Times New Roman" w:cs="Times New Roman"/>
          <w:sz w:val="26"/>
          <w:szCs w:val="26"/>
        </w:rPr>
        <w:t>situation</w:t>
      </w:r>
      <w:r>
        <w:rPr>
          <w:rFonts w:ascii="Times New Roman" w:hAnsi="Times New Roman" w:cs="Times New Roman"/>
          <w:sz w:val="26"/>
          <w:szCs w:val="26"/>
        </w:rPr>
        <w:t xml:space="preserve">; the others to a Type B </w:t>
      </w:r>
      <w:r w:rsidR="007A330B">
        <w:rPr>
          <w:rFonts w:ascii="Times New Roman" w:hAnsi="Times New Roman" w:cs="Times New Roman"/>
          <w:sz w:val="26"/>
          <w:szCs w:val="26"/>
        </w:rPr>
        <w:t>situation</w:t>
      </w:r>
      <w:r w:rsidR="00FF37FD">
        <w:rPr>
          <w:rFonts w:ascii="Times New Roman" w:hAnsi="Times New Roman" w:cs="Times New Roman"/>
          <w:sz w:val="26"/>
          <w:szCs w:val="26"/>
        </w:rPr>
        <w:t>.</w:t>
      </w:r>
      <w:bookmarkStart w:id="5" w:name="_Hlk223187388"/>
    </w:p>
    <w:p w14:paraId="5D59EEC7" w14:textId="7FA71D33" w:rsidR="00910F3B" w:rsidRDefault="00925C56" w:rsidP="001D6AC7">
      <w:pPr>
        <w:ind w:left="2160"/>
        <w:rPr>
          <w:rFonts w:ascii="Times New Roman" w:hAnsi="Times New Roman" w:cs="Times New Roman"/>
          <w:sz w:val="26"/>
          <w:szCs w:val="26"/>
          <w:u w:val="single"/>
        </w:rPr>
      </w:pPr>
      <w:r>
        <w:rPr>
          <w:rFonts w:ascii="Times New Roman" w:hAnsi="Times New Roman" w:cs="Times New Roman"/>
          <w:sz w:val="26"/>
          <w:szCs w:val="26"/>
          <w:u w:val="single"/>
        </w:rPr>
        <w:t>e, T</w:t>
      </w:r>
      <w:r w:rsidR="00910F3B" w:rsidRPr="00FD06C0">
        <w:rPr>
          <w:rFonts w:ascii="Times New Roman" w:hAnsi="Times New Roman" w:cs="Times New Roman"/>
          <w:sz w:val="26"/>
          <w:szCs w:val="26"/>
          <w:u w:val="single"/>
        </w:rPr>
        <w:t>he differences between the First Conference Report and the Second Conference Report</w:t>
      </w:r>
    </w:p>
    <w:p w14:paraId="5E2A20EE" w14:textId="77777777" w:rsidR="00910F3B" w:rsidRPr="00FD06C0" w:rsidRDefault="00910F3B" w:rsidP="00925C56">
      <w:pPr>
        <w:ind w:left="2880"/>
        <w:rPr>
          <w:rFonts w:ascii="Times New Roman" w:hAnsi="Times New Roman" w:cs="Times New Roman"/>
          <w:sz w:val="26"/>
          <w:szCs w:val="26"/>
          <w:u w:val="single"/>
        </w:rPr>
      </w:pPr>
      <w:r>
        <w:rPr>
          <w:rFonts w:ascii="Times New Roman" w:hAnsi="Times New Roman" w:cs="Times New Roman"/>
          <w:sz w:val="26"/>
          <w:szCs w:val="26"/>
          <w:u w:val="single"/>
        </w:rPr>
        <w:t>Most of the differences had nothing to do with security deposits</w:t>
      </w:r>
    </w:p>
    <w:p w14:paraId="113E4619" w14:textId="25277604" w:rsidR="00910F3B" w:rsidRDefault="00910F3B" w:rsidP="00910F3B">
      <w:pPr>
        <w:rPr>
          <w:rFonts w:ascii="Times New Roman" w:hAnsi="Times New Roman" w:cs="Times New Roman"/>
          <w:sz w:val="26"/>
          <w:szCs w:val="26"/>
        </w:rPr>
      </w:pPr>
      <w:r>
        <w:rPr>
          <w:rFonts w:ascii="Times New Roman" w:hAnsi="Times New Roman" w:cs="Times New Roman"/>
          <w:sz w:val="26"/>
          <w:szCs w:val="26"/>
        </w:rPr>
        <w:t xml:space="preserve">The major differences between the First Conference Report and the Second Conference Report did not involve security deposits. First, entire Articles in the First Conference Report were deleted. Second, all the provisions in Article 2, entitled “UNLAWFUL </w:t>
      </w:r>
      <w:r>
        <w:rPr>
          <w:rFonts w:ascii="Times New Roman" w:hAnsi="Times New Roman" w:cs="Times New Roman"/>
          <w:sz w:val="26"/>
          <w:szCs w:val="26"/>
        </w:rPr>
        <w:lastRenderedPageBreak/>
        <w:t xml:space="preserve">DETAINER”, of the First Conference Report were moved into Article 1 of the Second Conference Report, entitled “LANDLORD AND TENANT”. These full-article changes </w:t>
      </w:r>
      <w:r w:rsidR="008E6FFB">
        <w:rPr>
          <w:rFonts w:ascii="Times New Roman" w:hAnsi="Times New Roman" w:cs="Times New Roman"/>
          <w:sz w:val="26"/>
          <w:szCs w:val="26"/>
        </w:rPr>
        <w:t>caused</w:t>
      </w:r>
      <w:r>
        <w:rPr>
          <w:rFonts w:ascii="Times New Roman" w:hAnsi="Times New Roman" w:cs="Times New Roman"/>
          <w:sz w:val="26"/>
          <w:szCs w:val="26"/>
        </w:rPr>
        <w:t xml:space="preserve"> Article 4 in the First Conference Report, entitled “ASSIGNMENT OF RENTS AND RECEIVERSHIP”, </w:t>
      </w:r>
      <w:r w:rsidR="008E6FFB">
        <w:rPr>
          <w:rFonts w:ascii="Times New Roman" w:hAnsi="Times New Roman" w:cs="Times New Roman"/>
          <w:sz w:val="26"/>
          <w:szCs w:val="26"/>
        </w:rPr>
        <w:t xml:space="preserve">to be numbered </w:t>
      </w:r>
      <w:r>
        <w:rPr>
          <w:rFonts w:ascii="Times New Roman" w:hAnsi="Times New Roman" w:cs="Times New Roman"/>
          <w:sz w:val="26"/>
          <w:szCs w:val="26"/>
        </w:rPr>
        <w:t>as Article 2 of the Second Conference Report.</w:t>
      </w:r>
    </w:p>
    <w:p w14:paraId="1D13D552" w14:textId="77777777" w:rsidR="00910F3B" w:rsidRPr="00F9160F" w:rsidRDefault="00910F3B" w:rsidP="00925C56">
      <w:pPr>
        <w:ind w:left="2880"/>
        <w:rPr>
          <w:rFonts w:ascii="Times New Roman" w:hAnsi="Times New Roman" w:cs="Times New Roman"/>
          <w:sz w:val="26"/>
          <w:szCs w:val="26"/>
          <w:u w:val="single"/>
        </w:rPr>
      </w:pPr>
      <w:bookmarkStart w:id="6" w:name="_Hlk223187405"/>
      <w:r>
        <w:rPr>
          <w:rFonts w:ascii="Times New Roman" w:hAnsi="Times New Roman" w:cs="Times New Roman"/>
          <w:sz w:val="26"/>
          <w:szCs w:val="26"/>
          <w:u w:val="single"/>
        </w:rPr>
        <w:t>Differences relating to security deposits</w:t>
      </w:r>
    </w:p>
    <w:bookmarkEnd w:id="5"/>
    <w:bookmarkEnd w:id="6"/>
    <w:p w14:paraId="1CEB7306" w14:textId="77777777" w:rsidR="00910F3B" w:rsidRDefault="00910F3B" w:rsidP="00910F3B">
      <w:pPr>
        <w:rPr>
          <w:rFonts w:ascii="Times New Roman" w:hAnsi="Times New Roman" w:cs="Times New Roman"/>
          <w:sz w:val="26"/>
          <w:szCs w:val="26"/>
        </w:rPr>
      </w:pPr>
      <w:r>
        <w:rPr>
          <w:rFonts w:ascii="Times New Roman" w:hAnsi="Times New Roman" w:cs="Times New Roman"/>
          <w:sz w:val="26"/>
          <w:szCs w:val="26"/>
        </w:rPr>
        <w:t>The other changes from the First Conference Report to the Second Conference Report are relevant to Situation B. The amendment to subdivision 3 of Minn. Stat. § 504.20 – the addition of the five-day clock – in the First Conference Report arrived intact into the Second Conference Report.</w:t>
      </w:r>
      <w:r>
        <w:rPr>
          <w:rStyle w:val="FootnoteReference"/>
          <w:rFonts w:ascii="Times New Roman" w:hAnsi="Times New Roman" w:cs="Times New Roman"/>
          <w:sz w:val="26"/>
          <w:szCs w:val="26"/>
        </w:rPr>
        <w:footnoteReference w:id="7"/>
      </w:r>
      <w:r>
        <w:rPr>
          <w:rFonts w:ascii="Times New Roman" w:hAnsi="Times New Roman" w:cs="Times New Roman"/>
          <w:sz w:val="26"/>
          <w:szCs w:val="26"/>
        </w:rPr>
        <w:t xml:space="preserve"> And part of the language related to succession in interest arrived intact into the Second Conference Report, to wit the amendments to subdivisions 5 and 7 of Minn. Stat. § 504.20.</w:t>
      </w:r>
    </w:p>
    <w:p w14:paraId="0FA8648E" w14:textId="77777777" w:rsidR="00910F3B" w:rsidRDefault="00910F3B" w:rsidP="00910F3B">
      <w:pPr>
        <w:rPr>
          <w:rFonts w:ascii="Times New Roman" w:hAnsi="Times New Roman" w:cs="Times New Roman"/>
          <w:sz w:val="26"/>
          <w:szCs w:val="26"/>
          <w:lang w:val="en-CA"/>
        </w:rPr>
      </w:pPr>
      <w:r w:rsidRPr="00E65675">
        <w:rPr>
          <w:rFonts w:ascii="Times New Roman" w:hAnsi="Times New Roman" w:cs="Times New Roman"/>
          <w:sz w:val="26"/>
          <w:szCs w:val="26"/>
          <w:u w:val="single"/>
        </w:rPr>
        <w:t>However</w:t>
      </w:r>
      <w:r>
        <w:rPr>
          <w:rFonts w:ascii="Times New Roman" w:hAnsi="Times New Roman" w:cs="Times New Roman"/>
          <w:sz w:val="26"/>
          <w:szCs w:val="26"/>
        </w:rPr>
        <w:t>, the amendments to subdivision 4 of Minn. Stat. § 504.20 in the First Conference Report were changed significantly. As quoted above, t</w:t>
      </w:r>
      <w:r>
        <w:rPr>
          <w:rFonts w:ascii="Times New Roman" w:hAnsi="Times New Roman" w:cs="Times New Roman"/>
          <w:sz w:val="26"/>
          <w:szCs w:val="26"/>
          <w:lang w:val="en-CA"/>
        </w:rPr>
        <w:t>he First Conference Report’s Article 4 (RENTS AND RECEVERSHIP) language amended subdivision 4 as follows:</w:t>
      </w:r>
    </w:p>
    <w:p w14:paraId="4A2657FA" w14:textId="152786C2" w:rsidR="00910F3B" w:rsidRPr="00C175A2" w:rsidRDefault="00910F3B" w:rsidP="00910F3B">
      <w:pPr>
        <w:ind w:left="720"/>
        <w:rPr>
          <w:rFonts w:ascii="Arial" w:hAnsi="Arial" w:cs="Arial"/>
        </w:rPr>
      </w:pPr>
      <w:r w:rsidRPr="00C175A2">
        <w:rPr>
          <w:rFonts w:ascii="Arial" w:hAnsi="Arial" w:cs="Arial"/>
          <w:lang w:val="en-CA"/>
        </w:rPr>
        <w:fldChar w:fldCharType="begin"/>
      </w:r>
      <w:r w:rsidRPr="00C175A2">
        <w:rPr>
          <w:rFonts w:ascii="Arial" w:hAnsi="Arial" w:cs="Arial"/>
          <w:lang w:val="en-CA"/>
        </w:rPr>
        <w:instrText xml:space="preserve"> SEQ CHAPTER \h \r 1</w:instrText>
      </w:r>
      <w:r w:rsidRPr="00C175A2">
        <w:rPr>
          <w:rFonts w:ascii="Arial" w:hAnsi="Arial" w:cs="Arial"/>
        </w:rPr>
        <w:fldChar w:fldCharType="end"/>
      </w:r>
      <w:r w:rsidRPr="00C175A2">
        <w:rPr>
          <w:rFonts w:ascii="Arial" w:hAnsi="Arial" w:cs="Arial"/>
        </w:rPr>
        <w:t xml:space="preserve">Any landlord who fails to provide a written statement within three weeks of termination of the tenancy and receipt of the tenant's mailing address or delivery instructions, as required in subdivision 3, </w:t>
      </w:r>
      <w:r w:rsidRPr="00C175A2">
        <w:rPr>
          <w:rFonts w:ascii="Arial" w:hAnsi="Arial" w:cs="Arial"/>
          <w:strike/>
        </w:rPr>
        <w:t>shall be</w:t>
      </w:r>
      <w:r w:rsidRPr="00C175A2">
        <w:rPr>
          <w:rFonts w:ascii="Arial" w:hAnsi="Arial" w:cs="Arial"/>
        </w:rPr>
        <w:t xml:space="preserve"> </w:t>
      </w:r>
      <w:r w:rsidRPr="00C175A2">
        <w:rPr>
          <w:rFonts w:ascii="Arial" w:hAnsi="Arial" w:cs="Arial"/>
          <w:color w:val="EE0000"/>
          <w:u w:val="single"/>
        </w:rPr>
        <w:t>or fails to transfer or return a deposit as required under subdivision 5, is</w:t>
      </w:r>
      <w:r w:rsidRPr="00C175A2">
        <w:rPr>
          <w:rFonts w:ascii="Arial" w:hAnsi="Arial" w:cs="Arial"/>
          <w:color w:val="EE0000"/>
        </w:rPr>
        <w:t xml:space="preserve"> </w:t>
      </w:r>
      <w:r w:rsidRPr="00C175A2">
        <w:rPr>
          <w:rFonts w:ascii="Arial" w:hAnsi="Arial" w:cs="Arial"/>
        </w:rPr>
        <w:t xml:space="preserve">liable to the tenant </w:t>
      </w:r>
      <w:r w:rsidRPr="00C175A2">
        <w:rPr>
          <w:rFonts w:ascii="Arial" w:hAnsi="Arial" w:cs="Arial"/>
          <w:color w:val="EE0000"/>
          <w:u w:val="single"/>
        </w:rPr>
        <w:t xml:space="preserve">or the successor </w:t>
      </w:r>
      <w:r w:rsidRPr="00C175A2">
        <w:rPr>
          <w:rFonts w:ascii="Arial" w:hAnsi="Arial" w:cs="Arial"/>
          <w:u w:val="single"/>
        </w:rPr>
        <w:t xml:space="preserve">in interest </w:t>
      </w:r>
      <w:r w:rsidRPr="00C175A2">
        <w:rPr>
          <w:rFonts w:ascii="Arial" w:hAnsi="Arial" w:cs="Arial"/>
        </w:rPr>
        <w:t>for damages… [</w:t>
      </w:r>
      <w:r w:rsidRPr="00C175A2">
        <w:rPr>
          <w:rFonts w:ascii="Arial" w:hAnsi="Arial" w:cs="Arial"/>
          <w:color w:val="EE0000"/>
        </w:rPr>
        <w:t xml:space="preserve">red </w:t>
      </w:r>
      <w:r w:rsidRPr="00C175A2">
        <w:rPr>
          <w:rFonts w:ascii="Arial" w:hAnsi="Arial" w:cs="Arial"/>
        </w:rPr>
        <w:t>colo</w:t>
      </w:r>
      <w:r w:rsidR="00C175A2">
        <w:rPr>
          <w:rFonts w:ascii="Arial" w:hAnsi="Arial" w:cs="Arial"/>
        </w:rPr>
        <w:t xml:space="preserve">r </w:t>
      </w:r>
      <w:r w:rsidRPr="00C175A2">
        <w:rPr>
          <w:rFonts w:ascii="Arial" w:hAnsi="Arial" w:cs="Arial"/>
        </w:rPr>
        <w:t>added]</w:t>
      </w:r>
    </w:p>
    <w:p w14:paraId="3C09FB18" w14:textId="77777777" w:rsidR="00910F3B" w:rsidRDefault="00910F3B" w:rsidP="00910F3B">
      <w:pPr>
        <w:rPr>
          <w:rFonts w:ascii="Times New Roman" w:hAnsi="Times New Roman" w:cs="Times New Roman"/>
          <w:sz w:val="26"/>
          <w:szCs w:val="26"/>
        </w:rPr>
      </w:pPr>
      <w:r>
        <w:rPr>
          <w:rFonts w:ascii="Times New Roman" w:hAnsi="Times New Roman" w:cs="Times New Roman"/>
          <w:sz w:val="26"/>
          <w:szCs w:val="26"/>
        </w:rPr>
        <w:t>This concept was moved – but only partially – into Article 1 (LANDLORD AND TENANT) of the Second Conference Report. The amendments to subdivision 4 now read:</w:t>
      </w:r>
    </w:p>
    <w:p w14:paraId="65F2A96C" w14:textId="73CE0410" w:rsidR="00910F3B" w:rsidRPr="00C175A2" w:rsidRDefault="00910F3B" w:rsidP="00910F3B">
      <w:pPr>
        <w:ind w:left="720"/>
        <w:rPr>
          <w:rFonts w:ascii="Arial" w:hAnsi="Arial" w:cs="Arial"/>
        </w:rPr>
      </w:pPr>
      <w:r w:rsidRPr="00C175A2">
        <w:rPr>
          <w:rFonts w:ascii="Arial" w:hAnsi="Arial" w:cs="Arial"/>
          <w:lang w:val="en-CA"/>
        </w:rPr>
        <w:fldChar w:fldCharType="begin"/>
      </w:r>
      <w:r w:rsidRPr="00C175A2">
        <w:rPr>
          <w:rFonts w:ascii="Arial" w:hAnsi="Arial" w:cs="Arial"/>
          <w:lang w:val="en-CA"/>
        </w:rPr>
        <w:instrText xml:space="preserve"> SEQ CHAPTER \h \r 1</w:instrText>
      </w:r>
      <w:r w:rsidRPr="00C175A2">
        <w:rPr>
          <w:rFonts w:ascii="Arial" w:hAnsi="Arial" w:cs="Arial"/>
        </w:rPr>
        <w:fldChar w:fldCharType="end"/>
      </w:r>
      <w:r w:rsidRPr="00C175A2">
        <w:rPr>
          <w:rFonts w:ascii="Arial" w:hAnsi="Arial" w:cs="Arial"/>
        </w:rPr>
        <w:t xml:space="preserve">Subd. 4. Any landlord who fails to: </w:t>
      </w:r>
    </w:p>
    <w:p w14:paraId="295A8F0B" w14:textId="77777777" w:rsidR="00910F3B" w:rsidRPr="00C175A2" w:rsidRDefault="00910F3B" w:rsidP="00910F3B">
      <w:pPr>
        <w:ind w:left="720"/>
        <w:rPr>
          <w:rFonts w:ascii="Arial" w:hAnsi="Arial" w:cs="Arial"/>
        </w:rPr>
      </w:pPr>
      <w:r w:rsidRPr="00C175A2">
        <w:rPr>
          <w:rFonts w:ascii="Arial" w:hAnsi="Arial" w:cs="Arial"/>
        </w:rPr>
        <w:tab/>
      </w:r>
      <w:r w:rsidRPr="00C175A2">
        <w:rPr>
          <w:rFonts w:ascii="Arial" w:hAnsi="Arial" w:cs="Arial"/>
          <w:u w:val="single"/>
        </w:rPr>
        <w:t>(1)</w:t>
      </w:r>
      <w:r w:rsidRPr="00C175A2">
        <w:rPr>
          <w:rFonts w:ascii="Arial" w:hAnsi="Arial" w:cs="Arial"/>
        </w:rPr>
        <w:t xml:space="preserve"> provide a written statement within three weeks of termination of the</w:t>
      </w:r>
    </w:p>
    <w:p w14:paraId="122E67AD" w14:textId="77777777" w:rsidR="00910F3B" w:rsidRPr="00C175A2" w:rsidRDefault="00910F3B" w:rsidP="00910F3B">
      <w:pPr>
        <w:ind w:left="720"/>
        <w:rPr>
          <w:rFonts w:ascii="Arial" w:hAnsi="Arial" w:cs="Arial"/>
        </w:rPr>
      </w:pPr>
      <w:r w:rsidRPr="00C175A2">
        <w:rPr>
          <w:rFonts w:ascii="Arial" w:hAnsi="Arial" w:cs="Arial"/>
        </w:rPr>
        <w:t xml:space="preserve">tenancy </w:t>
      </w:r>
      <w:proofErr w:type="gramStart"/>
      <w:r w:rsidRPr="00C175A2">
        <w:rPr>
          <w:rFonts w:ascii="Arial" w:hAnsi="Arial" w:cs="Arial"/>
          <w:strike/>
        </w:rPr>
        <w:t>and</w:t>
      </w:r>
      <w:r w:rsidRPr="00C175A2">
        <w:rPr>
          <w:rFonts w:ascii="Arial" w:hAnsi="Arial" w:cs="Arial"/>
        </w:rPr>
        <w:t xml:space="preserve"> ;</w:t>
      </w:r>
      <w:proofErr w:type="gramEnd"/>
    </w:p>
    <w:p w14:paraId="194C00B0" w14:textId="77777777" w:rsidR="00910F3B" w:rsidRPr="00C175A2" w:rsidRDefault="00910F3B" w:rsidP="00910F3B">
      <w:pPr>
        <w:ind w:left="720"/>
        <w:rPr>
          <w:rFonts w:ascii="Arial" w:hAnsi="Arial" w:cs="Arial"/>
          <w:u w:val="single"/>
        </w:rPr>
      </w:pPr>
      <w:r w:rsidRPr="00C175A2">
        <w:rPr>
          <w:rFonts w:ascii="Arial" w:hAnsi="Arial" w:cs="Arial"/>
        </w:rPr>
        <w:tab/>
      </w:r>
      <w:r w:rsidRPr="00C175A2">
        <w:rPr>
          <w:rFonts w:ascii="Arial" w:hAnsi="Arial" w:cs="Arial"/>
          <w:u w:val="single"/>
        </w:rPr>
        <w:t>(2) provide a written statement within five days of the date when the tenant leaves the building or dwelling due to the legal condemnation of the building or dwelling in which the tenant lives for reasons not due to willful, malicious, or irresponsible conduct of the tenant, or</w:t>
      </w:r>
    </w:p>
    <w:p w14:paraId="13C31331" w14:textId="77777777" w:rsidR="00910F3B" w:rsidRPr="00C175A2" w:rsidRDefault="00910F3B" w:rsidP="00910F3B">
      <w:pPr>
        <w:ind w:left="720"/>
        <w:rPr>
          <w:rFonts w:ascii="Arial" w:hAnsi="Arial" w:cs="Arial"/>
          <w:b/>
          <w:bCs/>
          <w:color w:val="007BB8"/>
        </w:rPr>
      </w:pPr>
      <w:r w:rsidRPr="00C175A2">
        <w:rPr>
          <w:rFonts w:ascii="Arial" w:hAnsi="Arial" w:cs="Arial"/>
          <w:b/>
          <w:bCs/>
          <w:color w:val="007BB8"/>
        </w:rPr>
        <w:lastRenderedPageBreak/>
        <w:tab/>
      </w:r>
      <w:r w:rsidRPr="00C175A2">
        <w:rPr>
          <w:rFonts w:ascii="Arial" w:hAnsi="Arial" w:cs="Arial"/>
          <w:b/>
          <w:bCs/>
          <w:color w:val="007BB8"/>
          <w:u w:val="single"/>
        </w:rPr>
        <w:t>(3) transfer or return a deposit as required by subdivision 5,</w:t>
      </w:r>
    </w:p>
    <w:p w14:paraId="3DC3FB91" w14:textId="54430DB0" w:rsidR="00910F3B" w:rsidRPr="00C175A2" w:rsidRDefault="00910F3B" w:rsidP="00910F3B">
      <w:pPr>
        <w:ind w:left="720"/>
        <w:rPr>
          <w:rFonts w:ascii="Arial" w:hAnsi="Arial" w:cs="Arial"/>
        </w:rPr>
      </w:pPr>
      <w:r w:rsidRPr="00C175A2">
        <w:rPr>
          <w:rFonts w:ascii="Arial" w:hAnsi="Arial" w:cs="Arial"/>
          <w:u w:val="single"/>
        </w:rPr>
        <w:t>after</w:t>
      </w:r>
      <w:r w:rsidRPr="00C175A2">
        <w:rPr>
          <w:rFonts w:ascii="Arial" w:hAnsi="Arial" w:cs="Arial"/>
        </w:rPr>
        <w:t xml:space="preserve"> receipt of the tenant's mailing address or delivery instructions. as required in subdivision 3, shall be liable lo the tenant for damages… [</w:t>
      </w:r>
      <w:r w:rsidRPr="00C175A2">
        <w:rPr>
          <w:rFonts w:ascii="Arial" w:hAnsi="Arial" w:cs="Arial"/>
          <w:b/>
          <w:bCs/>
          <w:color w:val="007BB8"/>
        </w:rPr>
        <w:t>b</w:t>
      </w:r>
      <w:r w:rsidR="00C175A2" w:rsidRPr="00C175A2">
        <w:rPr>
          <w:rFonts w:ascii="Arial" w:hAnsi="Arial" w:cs="Arial"/>
          <w:b/>
          <w:bCs/>
          <w:color w:val="007BB8"/>
        </w:rPr>
        <w:t>old</w:t>
      </w:r>
      <w:r w:rsidR="00C175A2">
        <w:rPr>
          <w:rFonts w:ascii="Arial" w:hAnsi="Arial" w:cs="Arial"/>
          <w:color w:val="007BB8"/>
        </w:rPr>
        <w:t xml:space="preserve"> </w:t>
      </w:r>
      <w:r w:rsidR="00C175A2" w:rsidRPr="00C175A2">
        <w:rPr>
          <w:rFonts w:ascii="Arial" w:hAnsi="Arial" w:cs="Arial"/>
          <w:b/>
          <w:bCs/>
          <w:color w:val="007BB8"/>
        </w:rPr>
        <w:t>b</w:t>
      </w:r>
      <w:r w:rsidRPr="00C175A2">
        <w:rPr>
          <w:rFonts w:ascii="Arial" w:hAnsi="Arial" w:cs="Arial"/>
          <w:b/>
          <w:bCs/>
          <w:color w:val="007BB8"/>
        </w:rPr>
        <w:t>lue</w:t>
      </w:r>
      <w:r w:rsidRPr="00C175A2">
        <w:rPr>
          <w:rFonts w:ascii="Arial" w:hAnsi="Arial" w:cs="Arial"/>
        </w:rPr>
        <w:t xml:space="preserve"> color added]</w:t>
      </w:r>
    </w:p>
    <w:p w14:paraId="2296CF6E" w14:textId="429D3186" w:rsidR="00910F3B" w:rsidRDefault="00910F3B" w:rsidP="00910F3B">
      <w:pPr>
        <w:rPr>
          <w:rFonts w:ascii="Times New Roman" w:hAnsi="Times New Roman" w:cs="Times New Roman"/>
          <w:sz w:val="26"/>
          <w:szCs w:val="26"/>
        </w:rPr>
      </w:pPr>
      <w:r>
        <w:rPr>
          <w:rFonts w:ascii="Times New Roman" w:hAnsi="Times New Roman" w:cs="Times New Roman"/>
          <w:sz w:val="26"/>
          <w:szCs w:val="26"/>
        </w:rPr>
        <w:t xml:space="preserve">Compare the </w:t>
      </w:r>
      <w:r w:rsidR="00FF37FD" w:rsidRPr="00FF37FD">
        <w:rPr>
          <w:rFonts w:ascii="Times New Roman" w:hAnsi="Times New Roman" w:cs="Times New Roman"/>
          <w:color w:val="EE0000"/>
          <w:sz w:val="26"/>
          <w:szCs w:val="26"/>
        </w:rPr>
        <w:t xml:space="preserve">red </w:t>
      </w:r>
      <w:r w:rsidR="00FF37FD">
        <w:rPr>
          <w:rFonts w:ascii="Times New Roman" w:hAnsi="Times New Roman" w:cs="Times New Roman"/>
          <w:sz w:val="26"/>
          <w:szCs w:val="26"/>
        </w:rPr>
        <w:t xml:space="preserve">and </w:t>
      </w:r>
      <w:r w:rsidR="00FF37FD" w:rsidRPr="00C175A2">
        <w:rPr>
          <w:rFonts w:ascii="Times New Roman" w:hAnsi="Times New Roman" w:cs="Times New Roman"/>
          <w:b/>
          <w:bCs/>
          <w:color w:val="4472C4" w:themeColor="accent1"/>
          <w:sz w:val="26"/>
          <w:szCs w:val="26"/>
        </w:rPr>
        <w:t>blue</w:t>
      </w:r>
      <w:r w:rsidRPr="00FF37FD">
        <w:rPr>
          <w:rFonts w:ascii="Times New Roman" w:hAnsi="Times New Roman" w:cs="Times New Roman"/>
          <w:color w:val="4472C4" w:themeColor="accent1"/>
          <w:sz w:val="26"/>
          <w:szCs w:val="26"/>
        </w:rPr>
        <w:t xml:space="preserve"> </w:t>
      </w:r>
      <w:r>
        <w:rPr>
          <w:rFonts w:ascii="Times New Roman" w:hAnsi="Times New Roman" w:cs="Times New Roman"/>
          <w:sz w:val="26"/>
          <w:szCs w:val="26"/>
        </w:rPr>
        <w:t>clauses. The Second Conference Report made a major change by eliminating the “or the successor” language contained in the First Conference Report. Also, by wedging the new (</w:t>
      </w:r>
      <w:r w:rsidRPr="00C175A2">
        <w:rPr>
          <w:rFonts w:ascii="Times New Roman" w:hAnsi="Times New Roman" w:cs="Times New Roman"/>
          <w:b/>
          <w:bCs/>
          <w:color w:val="007BB8"/>
          <w:sz w:val="26"/>
          <w:szCs w:val="26"/>
        </w:rPr>
        <w:t>blue</w:t>
      </w:r>
      <w:r>
        <w:rPr>
          <w:rFonts w:ascii="Times New Roman" w:hAnsi="Times New Roman" w:cs="Times New Roman"/>
          <w:sz w:val="26"/>
          <w:szCs w:val="26"/>
        </w:rPr>
        <w:t xml:space="preserve">) language between the five-day clause and the “after receipt of the tenant’s mailing address </w:t>
      </w:r>
      <w:r w:rsidRPr="00FC6A82">
        <w:rPr>
          <w:rFonts w:ascii="Times New Roman" w:hAnsi="Times New Roman" w:cs="Times New Roman"/>
          <w:sz w:val="26"/>
          <w:szCs w:val="26"/>
        </w:rPr>
        <w:t>or delivery instructions as required in subdivision 3</w:t>
      </w:r>
      <w:r>
        <w:rPr>
          <w:rFonts w:ascii="Times New Roman" w:hAnsi="Times New Roman" w:cs="Times New Roman"/>
          <w:sz w:val="26"/>
          <w:szCs w:val="26"/>
        </w:rPr>
        <w:t>” clause, the Second Conference Report seems to have added a delivery-instruction requirement that was not in Article 4 of the First Conference Report.</w:t>
      </w:r>
    </w:p>
    <w:p w14:paraId="0EA07C11" w14:textId="3AF32422" w:rsidR="00910F3B" w:rsidRPr="00F9160F" w:rsidRDefault="00925C56" w:rsidP="00925C56">
      <w:pPr>
        <w:ind w:left="2160"/>
        <w:rPr>
          <w:rFonts w:ascii="Times New Roman" w:hAnsi="Times New Roman" w:cs="Times New Roman"/>
          <w:sz w:val="26"/>
          <w:szCs w:val="26"/>
          <w:u w:val="single"/>
        </w:rPr>
      </w:pPr>
      <w:bookmarkStart w:id="7" w:name="_Hlk223187430"/>
      <w:r>
        <w:rPr>
          <w:rFonts w:ascii="Times New Roman" w:hAnsi="Times New Roman" w:cs="Times New Roman"/>
          <w:sz w:val="26"/>
          <w:szCs w:val="26"/>
          <w:u w:val="single"/>
        </w:rPr>
        <w:t>f. T</w:t>
      </w:r>
      <w:r w:rsidR="00910F3B">
        <w:rPr>
          <w:rFonts w:ascii="Times New Roman" w:hAnsi="Times New Roman" w:cs="Times New Roman"/>
          <w:sz w:val="26"/>
          <w:szCs w:val="26"/>
          <w:u w:val="single"/>
        </w:rPr>
        <w:t>he subdivision-4 language in the Second Conference Report resulted in two unfortunate real-world consequences.</w:t>
      </w:r>
    </w:p>
    <w:p w14:paraId="3DC44821" w14:textId="77777777" w:rsidR="00910F3B" w:rsidRDefault="00910F3B" w:rsidP="00910F3B">
      <w:pPr>
        <w:rPr>
          <w:rFonts w:ascii="Times New Roman" w:hAnsi="Times New Roman" w:cs="Times New Roman"/>
          <w:sz w:val="26"/>
          <w:szCs w:val="26"/>
        </w:rPr>
      </w:pPr>
      <w:r>
        <w:rPr>
          <w:rFonts w:ascii="Times New Roman" w:hAnsi="Times New Roman" w:cs="Times New Roman"/>
          <w:sz w:val="26"/>
          <w:szCs w:val="26"/>
        </w:rPr>
        <w:t xml:space="preserve">The second change (placement of the </w:t>
      </w:r>
      <w:r w:rsidRPr="00FF37FD">
        <w:rPr>
          <w:rFonts w:ascii="Times New Roman" w:hAnsi="Times New Roman" w:cs="Times New Roman"/>
          <w:color w:val="4472C4" w:themeColor="accent1"/>
          <w:sz w:val="26"/>
          <w:szCs w:val="26"/>
        </w:rPr>
        <w:t xml:space="preserve">blue </w:t>
      </w:r>
      <w:r>
        <w:rPr>
          <w:rFonts w:ascii="Times New Roman" w:hAnsi="Times New Roman" w:cs="Times New Roman"/>
          <w:sz w:val="26"/>
          <w:szCs w:val="26"/>
        </w:rPr>
        <w:t xml:space="preserve">clause) is mostly why the current statute is </w:t>
      </w:r>
      <w:bookmarkEnd w:id="7"/>
      <w:r>
        <w:rPr>
          <w:rFonts w:ascii="Times New Roman" w:hAnsi="Times New Roman" w:cs="Times New Roman"/>
          <w:sz w:val="26"/>
          <w:szCs w:val="26"/>
        </w:rPr>
        <w:t>unclear re the timing of delivery instructions in a Type B (succession) situation. The first change eviscerated the core of what the original Article 4 was supposed to accomplish – giving the successor a doubling-penalty hammer to make the predecessor hand over the deposits within 60 days.</w:t>
      </w:r>
    </w:p>
    <w:p w14:paraId="48464607" w14:textId="77777777" w:rsidR="00A35C84" w:rsidRDefault="00910F3B" w:rsidP="00910F3B">
      <w:pPr>
        <w:rPr>
          <w:rFonts w:ascii="Times New Roman" w:hAnsi="Times New Roman" w:cs="Times New Roman"/>
          <w:sz w:val="26"/>
          <w:szCs w:val="26"/>
        </w:rPr>
      </w:pPr>
      <w:r>
        <w:rPr>
          <w:rFonts w:ascii="Times New Roman" w:hAnsi="Times New Roman" w:cs="Times New Roman"/>
          <w:sz w:val="26"/>
          <w:szCs w:val="26"/>
        </w:rPr>
        <w:t>There is no available recording of the deliberations of the second conference</w:t>
      </w:r>
      <w:r w:rsidR="00F726AB">
        <w:rPr>
          <w:rFonts w:ascii="Times New Roman" w:hAnsi="Times New Roman" w:cs="Times New Roman"/>
          <w:sz w:val="26"/>
          <w:szCs w:val="26"/>
        </w:rPr>
        <w:t xml:space="preserve"> since it met “informally”</w:t>
      </w:r>
      <w:r>
        <w:rPr>
          <w:rFonts w:ascii="Times New Roman" w:hAnsi="Times New Roman" w:cs="Times New Roman"/>
          <w:sz w:val="26"/>
          <w:szCs w:val="26"/>
        </w:rPr>
        <w:t>.</w:t>
      </w:r>
      <w:r w:rsidR="00F726AB">
        <w:rPr>
          <w:rStyle w:val="FootnoteReference"/>
          <w:rFonts w:ascii="Times New Roman" w:hAnsi="Times New Roman" w:cs="Times New Roman"/>
          <w:sz w:val="26"/>
          <w:szCs w:val="26"/>
        </w:rPr>
        <w:footnoteReference w:id="8"/>
      </w:r>
      <w:r>
        <w:rPr>
          <w:rFonts w:ascii="Times New Roman" w:hAnsi="Times New Roman" w:cs="Times New Roman"/>
          <w:sz w:val="26"/>
          <w:szCs w:val="26"/>
        </w:rPr>
        <w:t xml:space="preserve"> I can only guess why they did what they did. One thing that seems</w:t>
      </w:r>
      <w:r w:rsidR="00A35C84">
        <w:rPr>
          <w:rFonts w:ascii="Times New Roman" w:hAnsi="Times New Roman" w:cs="Times New Roman"/>
          <w:sz w:val="26"/>
          <w:szCs w:val="26"/>
        </w:rPr>
        <w:t xml:space="preserve"> very</w:t>
      </w:r>
      <w:r>
        <w:rPr>
          <w:rFonts w:ascii="Times New Roman" w:hAnsi="Times New Roman" w:cs="Times New Roman"/>
          <w:sz w:val="26"/>
          <w:szCs w:val="26"/>
        </w:rPr>
        <w:t xml:space="preserve"> likely is that the conferees realized that the First Conference Report had two versions of subdivision 4. That had to be fixed. </w:t>
      </w:r>
      <w:r w:rsidR="00A35C84">
        <w:rPr>
          <w:rFonts w:ascii="Times New Roman" w:hAnsi="Times New Roman" w:cs="Times New Roman"/>
          <w:sz w:val="26"/>
          <w:szCs w:val="26"/>
        </w:rPr>
        <w:t>Indeed, the legislative analyst’s summary of the draft conference report stated:</w:t>
      </w:r>
    </w:p>
    <w:p w14:paraId="5C2F4DDD" w14:textId="684344EB" w:rsidR="00A35C84" w:rsidRPr="000979CE" w:rsidRDefault="00A35C84" w:rsidP="00A35C84">
      <w:pPr>
        <w:ind w:left="720"/>
        <w:rPr>
          <w:rFonts w:ascii="Georgia" w:hAnsi="Georgia" w:cs="Times New Roman"/>
          <w:sz w:val="26"/>
          <w:szCs w:val="26"/>
        </w:rPr>
      </w:pPr>
      <w:r w:rsidRPr="000979CE">
        <w:rPr>
          <w:rFonts w:ascii="Georgia" w:hAnsi="Georgia" w:cs="Times New Roman"/>
          <w:sz w:val="26"/>
          <w:szCs w:val="26"/>
        </w:rPr>
        <w:t xml:space="preserve">The following changes were made to the original conference report from </w:t>
      </w:r>
      <w:r w:rsidR="000979CE" w:rsidRPr="000979CE">
        <w:rPr>
          <w:rFonts w:ascii="Georgia" w:hAnsi="Georgia" w:cs="Times New Roman"/>
          <w:sz w:val="26"/>
          <w:szCs w:val="26"/>
        </w:rPr>
        <w:t>May</w:t>
      </w:r>
      <w:r w:rsidRPr="000979CE">
        <w:rPr>
          <w:rFonts w:ascii="Georgia" w:hAnsi="Georgia" w:cs="Times New Roman"/>
          <w:sz w:val="26"/>
          <w:szCs w:val="26"/>
        </w:rPr>
        <w:t>, 1991</w:t>
      </w:r>
      <w:r w:rsidR="000979CE" w:rsidRPr="000979CE">
        <w:rPr>
          <w:rFonts w:ascii="Georgia" w:hAnsi="Georgia" w:cs="Times New Roman"/>
          <w:sz w:val="26"/>
          <w:szCs w:val="26"/>
        </w:rPr>
        <w:t>:</w:t>
      </w:r>
    </w:p>
    <w:p w14:paraId="62D4D6CE" w14:textId="59ED62A7" w:rsidR="00A35C84" w:rsidRPr="000979CE" w:rsidRDefault="00A35C84" w:rsidP="000979CE">
      <w:pPr>
        <w:ind w:left="1440"/>
        <w:rPr>
          <w:rFonts w:ascii="Georgia" w:hAnsi="Georgia" w:cs="Times New Roman"/>
          <w:sz w:val="26"/>
          <w:szCs w:val="26"/>
        </w:rPr>
      </w:pPr>
      <w:r w:rsidRPr="000979CE">
        <w:rPr>
          <w:rFonts w:ascii="Georgia" w:hAnsi="Georgia" w:cs="Times New Roman"/>
          <w:b/>
          <w:bCs/>
          <w:sz w:val="26"/>
          <w:szCs w:val="26"/>
        </w:rPr>
        <w:t>Article 1</w:t>
      </w:r>
      <w:r w:rsidRPr="000979CE">
        <w:rPr>
          <w:rFonts w:ascii="Georgia" w:hAnsi="Georgia" w:cs="Times New Roman"/>
          <w:sz w:val="26"/>
          <w:szCs w:val="26"/>
        </w:rPr>
        <w:t xml:space="preserve"> –</w:t>
      </w:r>
      <w:r w:rsidR="00695E5E" w:rsidRPr="000979CE">
        <w:rPr>
          <w:rFonts w:ascii="Georgia" w:hAnsi="Georgia" w:cs="Times New Roman"/>
          <w:sz w:val="26"/>
          <w:szCs w:val="26"/>
        </w:rPr>
        <w:t xml:space="preserve"> </w:t>
      </w:r>
      <w:r w:rsidRPr="000979CE">
        <w:rPr>
          <w:rFonts w:ascii="Georgia" w:hAnsi="Georgia" w:cs="Times New Roman"/>
          <w:sz w:val="26"/>
          <w:szCs w:val="26"/>
        </w:rPr>
        <w:t>Combines section 6, article 1 and section 1, article 4 into new article 1,</w:t>
      </w:r>
      <w:r w:rsidR="008863C6" w:rsidRPr="000979CE">
        <w:rPr>
          <w:rFonts w:ascii="Georgia" w:hAnsi="Georgia" w:cs="Times New Roman"/>
          <w:sz w:val="26"/>
          <w:szCs w:val="26"/>
        </w:rPr>
        <w:t xml:space="preserve"> </w:t>
      </w:r>
      <w:r w:rsidRPr="000979CE">
        <w:rPr>
          <w:rFonts w:ascii="Georgia" w:hAnsi="Georgia" w:cs="Times New Roman"/>
          <w:sz w:val="26"/>
          <w:szCs w:val="26"/>
        </w:rPr>
        <w:t>section 6. Because both sections amended Minnesota Statutes 504.20, subdivision 4, the language changes were combined. [emphasis in original]</w:t>
      </w:r>
      <w:r w:rsidR="000979CE" w:rsidRPr="000979CE">
        <w:rPr>
          <w:rStyle w:val="FootnoteReference"/>
          <w:rFonts w:ascii="Times New Roman" w:hAnsi="Times New Roman" w:cs="Times New Roman"/>
          <w:sz w:val="26"/>
          <w:szCs w:val="26"/>
        </w:rPr>
        <w:t xml:space="preserve"> </w:t>
      </w:r>
      <w:r w:rsidR="000979CE">
        <w:rPr>
          <w:rStyle w:val="FootnoteReference"/>
          <w:rFonts w:ascii="Times New Roman" w:hAnsi="Times New Roman" w:cs="Times New Roman"/>
          <w:sz w:val="26"/>
          <w:szCs w:val="26"/>
        </w:rPr>
        <w:footnoteReference w:id="9"/>
      </w:r>
    </w:p>
    <w:p w14:paraId="2E0FFD6B" w14:textId="34102FE4" w:rsidR="00910F3B" w:rsidRDefault="00910F3B" w:rsidP="00910F3B">
      <w:pPr>
        <w:rPr>
          <w:rFonts w:ascii="Times New Roman" w:hAnsi="Times New Roman" w:cs="Times New Roman"/>
          <w:sz w:val="26"/>
          <w:szCs w:val="26"/>
        </w:rPr>
      </w:pPr>
      <w:r>
        <w:rPr>
          <w:rFonts w:ascii="Times New Roman" w:hAnsi="Times New Roman" w:cs="Times New Roman"/>
          <w:sz w:val="26"/>
          <w:szCs w:val="26"/>
        </w:rPr>
        <w:t>My guess – and it is only a guess – is that then the</w:t>
      </w:r>
      <w:r w:rsidR="009D0D0A">
        <w:rPr>
          <w:rFonts w:ascii="Times New Roman" w:hAnsi="Times New Roman" w:cs="Times New Roman"/>
          <w:sz w:val="26"/>
          <w:szCs w:val="26"/>
        </w:rPr>
        <w:t xml:space="preserve"> conferees</w:t>
      </w:r>
      <w:r>
        <w:rPr>
          <w:rFonts w:ascii="Times New Roman" w:hAnsi="Times New Roman" w:cs="Times New Roman"/>
          <w:sz w:val="26"/>
          <w:szCs w:val="26"/>
        </w:rPr>
        <w:t xml:space="preserve"> </w:t>
      </w:r>
      <w:r w:rsidR="000979CE">
        <w:rPr>
          <w:rFonts w:ascii="Times New Roman" w:hAnsi="Times New Roman" w:cs="Times New Roman"/>
          <w:sz w:val="26"/>
          <w:szCs w:val="26"/>
        </w:rPr>
        <w:t xml:space="preserve">(or maybe in reality not </w:t>
      </w:r>
      <w:r w:rsidR="009D0D0A">
        <w:rPr>
          <w:rFonts w:ascii="Times New Roman" w:hAnsi="Times New Roman" w:cs="Times New Roman"/>
          <w:sz w:val="26"/>
          <w:szCs w:val="26"/>
        </w:rPr>
        <w:t>the conferees</w:t>
      </w:r>
      <w:r w:rsidR="000979CE">
        <w:rPr>
          <w:rFonts w:ascii="Times New Roman" w:hAnsi="Times New Roman" w:cs="Times New Roman"/>
          <w:sz w:val="26"/>
          <w:szCs w:val="26"/>
        </w:rPr>
        <w:t xml:space="preserve"> but just the analyst) </w:t>
      </w:r>
      <w:r>
        <w:rPr>
          <w:rFonts w:ascii="Times New Roman" w:hAnsi="Times New Roman" w:cs="Times New Roman"/>
          <w:sz w:val="26"/>
          <w:szCs w:val="26"/>
        </w:rPr>
        <w:t>decided to</w:t>
      </w:r>
      <w:r w:rsidR="00D44D4D">
        <w:rPr>
          <w:rFonts w:ascii="Times New Roman" w:hAnsi="Times New Roman" w:cs="Times New Roman"/>
          <w:sz w:val="26"/>
          <w:szCs w:val="26"/>
        </w:rPr>
        <w:t xml:space="preserve"> </w:t>
      </w:r>
      <w:r w:rsidR="003D6BD7">
        <w:rPr>
          <w:rFonts w:ascii="Times New Roman" w:hAnsi="Times New Roman" w:cs="Times New Roman"/>
          <w:sz w:val="26"/>
          <w:szCs w:val="26"/>
        </w:rPr>
        <w:t xml:space="preserve">add </w:t>
      </w:r>
      <w:r>
        <w:rPr>
          <w:rFonts w:ascii="Times New Roman" w:hAnsi="Times New Roman" w:cs="Times New Roman"/>
          <w:sz w:val="26"/>
          <w:szCs w:val="26"/>
        </w:rPr>
        <w:t xml:space="preserve">the </w:t>
      </w:r>
      <w:r w:rsidRPr="00FC6A82">
        <w:rPr>
          <w:rFonts w:ascii="Times New Roman" w:hAnsi="Times New Roman" w:cs="Times New Roman"/>
          <w:color w:val="007BB8"/>
          <w:sz w:val="26"/>
          <w:szCs w:val="26"/>
        </w:rPr>
        <w:t>blue</w:t>
      </w:r>
      <w:r>
        <w:rPr>
          <w:rFonts w:ascii="Times New Roman" w:hAnsi="Times New Roman" w:cs="Times New Roman"/>
          <w:sz w:val="26"/>
          <w:szCs w:val="26"/>
        </w:rPr>
        <w:t xml:space="preserve"> language inside the three-</w:t>
      </w:r>
      <w:r>
        <w:rPr>
          <w:rFonts w:ascii="Times New Roman" w:hAnsi="Times New Roman" w:cs="Times New Roman"/>
          <w:sz w:val="26"/>
          <w:szCs w:val="26"/>
        </w:rPr>
        <w:lastRenderedPageBreak/>
        <w:t xml:space="preserve">week/five-day clock language as a quick fix without giving it a lot of thought. Before the addition of the </w:t>
      </w:r>
      <w:r w:rsidRPr="00FC6A82">
        <w:rPr>
          <w:rFonts w:ascii="Times New Roman" w:hAnsi="Times New Roman" w:cs="Times New Roman"/>
          <w:color w:val="007BB8"/>
          <w:sz w:val="26"/>
          <w:szCs w:val="26"/>
        </w:rPr>
        <w:t>blue</w:t>
      </w:r>
      <w:r>
        <w:rPr>
          <w:rFonts w:ascii="Times New Roman" w:hAnsi="Times New Roman" w:cs="Times New Roman"/>
          <w:sz w:val="26"/>
          <w:szCs w:val="26"/>
        </w:rPr>
        <w:t xml:space="preserve"> language this passage only concerned landlord vs tenant, perhaps making the conferees</w:t>
      </w:r>
      <w:r w:rsidR="000979CE">
        <w:rPr>
          <w:rFonts w:ascii="Times New Roman" w:hAnsi="Times New Roman" w:cs="Times New Roman"/>
          <w:sz w:val="26"/>
          <w:szCs w:val="26"/>
        </w:rPr>
        <w:t xml:space="preserve"> or the analyst</w:t>
      </w:r>
      <w:r>
        <w:rPr>
          <w:rFonts w:ascii="Times New Roman" w:hAnsi="Times New Roman" w:cs="Times New Roman"/>
          <w:sz w:val="26"/>
          <w:szCs w:val="26"/>
        </w:rPr>
        <w:t xml:space="preserve"> decide</w:t>
      </w:r>
      <w:r w:rsidR="000979CE">
        <w:rPr>
          <w:rFonts w:ascii="Times New Roman" w:hAnsi="Times New Roman" w:cs="Times New Roman"/>
          <w:sz w:val="26"/>
          <w:szCs w:val="26"/>
        </w:rPr>
        <w:t xml:space="preserve"> that</w:t>
      </w:r>
      <w:r>
        <w:rPr>
          <w:rFonts w:ascii="Times New Roman" w:hAnsi="Times New Roman" w:cs="Times New Roman"/>
          <w:sz w:val="26"/>
          <w:szCs w:val="26"/>
        </w:rPr>
        <w:t xml:space="preserve"> the “or successor in interest” language didn’t belong.</w:t>
      </w:r>
    </w:p>
    <w:p w14:paraId="3679CD22" w14:textId="202FB7DD" w:rsidR="00910F3B" w:rsidRDefault="00910F3B" w:rsidP="00910F3B">
      <w:pPr>
        <w:rPr>
          <w:rFonts w:ascii="Times New Roman" w:hAnsi="Times New Roman" w:cs="Times New Roman"/>
          <w:sz w:val="26"/>
          <w:szCs w:val="26"/>
        </w:rPr>
      </w:pPr>
      <w:r>
        <w:rPr>
          <w:rFonts w:ascii="Times New Roman" w:hAnsi="Times New Roman" w:cs="Times New Roman"/>
          <w:sz w:val="26"/>
          <w:szCs w:val="26"/>
        </w:rPr>
        <w:t xml:space="preserve">Alternatively, the conferees might have made a policy decision to screw over successors in interest. It’s hard to imagine the predecessors – </w:t>
      </w:r>
      <w:r w:rsidRPr="00DF7961">
        <w:rPr>
          <w:rFonts w:ascii="Times New Roman" w:hAnsi="Times New Roman" w:cs="Times New Roman"/>
          <w:color w:val="000000" w:themeColor="text1"/>
          <w:sz w:val="26"/>
          <w:szCs w:val="26"/>
        </w:rPr>
        <w:t>described in John Herman’s testimony as absentee</w:t>
      </w:r>
      <w:r>
        <w:rPr>
          <w:rFonts w:ascii="Times New Roman" w:hAnsi="Times New Roman" w:cs="Times New Roman"/>
          <w:color w:val="000000" w:themeColor="text1"/>
          <w:sz w:val="26"/>
          <w:szCs w:val="26"/>
        </w:rPr>
        <w:t>,</w:t>
      </w:r>
      <w:r w:rsidRPr="00DF7961">
        <w:rPr>
          <w:rFonts w:ascii="Times New Roman" w:hAnsi="Times New Roman" w:cs="Times New Roman"/>
          <w:color w:val="000000" w:themeColor="text1"/>
          <w:sz w:val="26"/>
          <w:szCs w:val="26"/>
        </w:rPr>
        <w:t xml:space="preserve"> deadbeat landlords – having a mor</w:t>
      </w:r>
      <w:r>
        <w:rPr>
          <w:rFonts w:ascii="Times New Roman" w:hAnsi="Times New Roman" w:cs="Times New Roman"/>
          <w:sz w:val="26"/>
          <w:szCs w:val="26"/>
        </w:rPr>
        <w:t>e powerful lobby than the successors</w:t>
      </w:r>
      <w:r w:rsidR="00FF37FD">
        <w:rPr>
          <w:rFonts w:ascii="Times New Roman" w:hAnsi="Times New Roman" w:cs="Times New Roman"/>
          <w:sz w:val="26"/>
          <w:szCs w:val="26"/>
        </w:rPr>
        <w:t xml:space="preserve"> (</w:t>
      </w:r>
      <w:r>
        <w:rPr>
          <w:rFonts w:ascii="Times New Roman" w:hAnsi="Times New Roman" w:cs="Times New Roman"/>
          <w:sz w:val="26"/>
          <w:szCs w:val="26"/>
        </w:rPr>
        <w:t>generally good landlords</w:t>
      </w:r>
      <w:r w:rsidR="00FF37FD">
        <w:rPr>
          <w:rFonts w:ascii="Times New Roman" w:hAnsi="Times New Roman" w:cs="Times New Roman"/>
          <w:sz w:val="26"/>
          <w:szCs w:val="26"/>
        </w:rPr>
        <w:t>)</w:t>
      </w:r>
      <w:r>
        <w:rPr>
          <w:rFonts w:ascii="Times New Roman" w:hAnsi="Times New Roman" w:cs="Times New Roman"/>
          <w:sz w:val="26"/>
          <w:szCs w:val="26"/>
        </w:rPr>
        <w:t xml:space="preserve">. Indeed, the conferees did not disturb the 60-day language in subdivision </w:t>
      </w:r>
      <w:r w:rsidR="00FF37FD">
        <w:rPr>
          <w:rFonts w:ascii="Times New Roman" w:hAnsi="Times New Roman" w:cs="Times New Roman"/>
          <w:sz w:val="26"/>
          <w:szCs w:val="26"/>
        </w:rPr>
        <w:t xml:space="preserve">5 </w:t>
      </w:r>
      <w:r>
        <w:rPr>
          <w:rFonts w:ascii="Times New Roman" w:hAnsi="Times New Roman" w:cs="Times New Roman"/>
          <w:sz w:val="26"/>
          <w:szCs w:val="26"/>
        </w:rPr>
        <w:t>or the addition of a 60-day breach plus the multiple-deposit language in subdivision 7 (the bad-faith penalty subdivision.) If the conferees wanted to screw over successors why not mess with those amendments as well?</w:t>
      </w:r>
    </w:p>
    <w:p w14:paraId="79BF7454" w14:textId="3479F89E" w:rsidR="00910F3B" w:rsidRPr="00DF7961" w:rsidRDefault="00DE7BA8" w:rsidP="00DE7BA8">
      <w:pPr>
        <w:ind w:left="2160"/>
        <w:rPr>
          <w:rFonts w:ascii="Times New Roman" w:hAnsi="Times New Roman" w:cs="Times New Roman"/>
          <w:sz w:val="26"/>
          <w:szCs w:val="26"/>
          <w:u w:val="single"/>
        </w:rPr>
      </w:pPr>
      <w:bookmarkStart w:id="8" w:name="_Hlk223187451"/>
      <w:r>
        <w:rPr>
          <w:rFonts w:ascii="Times New Roman" w:hAnsi="Times New Roman" w:cs="Times New Roman"/>
          <w:sz w:val="26"/>
          <w:szCs w:val="26"/>
          <w:u w:val="single"/>
        </w:rPr>
        <w:t>g. C</w:t>
      </w:r>
      <w:r w:rsidR="00910F3B" w:rsidRPr="00DF7961">
        <w:rPr>
          <w:rFonts w:ascii="Times New Roman" w:hAnsi="Times New Roman" w:cs="Times New Roman"/>
          <w:sz w:val="26"/>
          <w:szCs w:val="26"/>
          <w:u w:val="single"/>
        </w:rPr>
        <w:t xml:space="preserve">onstruction by </w:t>
      </w:r>
      <w:r w:rsidR="009E3203">
        <w:rPr>
          <w:rFonts w:ascii="Times New Roman" w:hAnsi="Times New Roman" w:cs="Times New Roman"/>
          <w:sz w:val="26"/>
          <w:szCs w:val="26"/>
          <w:u w:val="single"/>
        </w:rPr>
        <w:t>the Court of Appeals</w:t>
      </w:r>
    </w:p>
    <w:bookmarkEnd w:id="8"/>
    <w:p w14:paraId="40DEB8B2" w14:textId="03DC18F7" w:rsidR="00910F3B" w:rsidRDefault="00910F3B" w:rsidP="00910F3B">
      <w:pPr>
        <w:rPr>
          <w:rFonts w:ascii="Times New Roman" w:hAnsi="Times New Roman" w:cs="Times New Roman"/>
          <w:sz w:val="26"/>
          <w:szCs w:val="26"/>
        </w:rPr>
      </w:pPr>
      <w:r>
        <w:rPr>
          <w:rFonts w:ascii="Times New Roman" w:hAnsi="Times New Roman" w:cs="Times New Roman"/>
          <w:sz w:val="26"/>
          <w:szCs w:val="26"/>
        </w:rPr>
        <w:t xml:space="preserve">Of course, standard statutory construction says a court cannot make such guesses. The final session law eliminated the right of successors to sue predecessors for the doubling penalty. </w:t>
      </w:r>
      <w:r w:rsidR="00D50C46">
        <w:rPr>
          <w:rFonts w:ascii="Times New Roman" w:hAnsi="Times New Roman" w:cs="Times New Roman"/>
          <w:sz w:val="26"/>
          <w:szCs w:val="26"/>
        </w:rPr>
        <w:t>A</w:t>
      </w:r>
      <w:r>
        <w:rPr>
          <w:rFonts w:ascii="Times New Roman" w:hAnsi="Times New Roman" w:cs="Times New Roman"/>
          <w:sz w:val="26"/>
          <w:szCs w:val="26"/>
        </w:rPr>
        <w:t xml:space="preserve"> court has to consider that as some evidence of the entire statute’s meaning.</w:t>
      </w:r>
    </w:p>
    <w:p w14:paraId="3B605A02" w14:textId="4B69FF48" w:rsidR="00910F3B" w:rsidRDefault="00910F3B" w:rsidP="00910F3B">
      <w:pPr>
        <w:rPr>
          <w:rFonts w:ascii="Times New Roman" w:hAnsi="Times New Roman" w:cs="Times New Roman"/>
          <w:sz w:val="26"/>
          <w:szCs w:val="26"/>
        </w:rPr>
      </w:pPr>
      <w:r>
        <w:rPr>
          <w:rFonts w:ascii="Times New Roman" w:hAnsi="Times New Roman" w:cs="Times New Roman"/>
          <w:sz w:val="26"/>
          <w:szCs w:val="26"/>
        </w:rPr>
        <w:t xml:space="preserve">One appellate court has dealt with this issue. </w:t>
      </w:r>
      <w:hyperlink r:id="rId16" w:tgtFrame="_blank" w:history="1">
        <w:r w:rsidRPr="00640677">
          <w:rPr>
            <w:rStyle w:val="Hyperlink"/>
            <w:rFonts w:ascii="Times New Roman" w:hAnsi="Times New Roman" w:cs="Times New Roman"/>
            <w:sz w:val="26"/>
            <w:szCs w:val="26"/>
          </w:rPr>
          <w:t xml:space="preserve">Townridge Apts v Silver Crest Partnership, </w:t>
        </w:r>
        <w:r w:rsidR="007F23BE">
          <w:rPr>
            <w:rStyle w:val="Hyperlink"/>
            <w:rFonts w:ascii="Times New Roman" w:hAnsi="Times New Roman" w:cs="Times New Roman"/>
            <w:sz w:val="26"/>
            <w:szCs w:val="26"/>
          </w:rPr>
          <w:t xml:space="preserve">1997 WL 769489, </w:t>
        </w:r>
        <w:r w:rsidRPr="00640677">
          <w:rPr>
            <w:rStyle w:val="Hyperlink"/>
            <w:rFonts w:ascii="Times New Roman" w:hAnsi="Times New Roman" w:cs="Times New Roman"/>
            <w:sz w:val="26"/>
            <w:szCs w:val="26"/>
          </w:rPr>
          <w:t>File No. C6-97-1002</w:t>
        </w:r>
        <w:r w:rsidR="007F23BE">
          <w:rPr>
            <w:rStyle w:val="Hyperlink"/>
            <w:rFonts w:ascii="Times New Roman" w:hAnsi="Times New Roman" w:cs="Times New Roman"/>
            <w:sz w:val="26"/>
            <w:szCs w:val="26"/>
          </w:rPr>
          <w:t xml:space="preserve"> </w:t>
        </w:r>
        <w:r w:rsidRPr="00640677">
          <w:rPr>
            <w:rStyle w:val="Hyperlink"/>
            <w:rFonts w:ascii="Times New Roman" w:hAnsi="Times New Roman" w:cs="Times New Roman"/>
            <w:sz w:val="26"/>
            <w:szCs w:val="26"/>
          </w:rPr>
          <w:t>(Minn. Ct. App. 12/16/1997</w:t>
        </w:r>
        <w:r w:rsidR="001B5F8A">
          <w:rPr>
            <w:rStyle w:val="Hyperlink"/>
            <w:rFonts w:ascii="Times New Roman" w:hAnsi="Times New Roman" w:cs="Times New Roman"/>
            <w:sz w:val="26"/>
            <w:szCs w:val="26"/>
          </w:rPr>
          <w:t>)</w:t>
        </w:r>
        <w:r w:rsidR="007F23BE">
          <w:rPr>
            <w:rStyle w:val="Hyperlink"/>
            <w:rFonts w:ascii="Times New Roman" w:hAnsi="Times New Roman" w:cs="Times New Roman"/>
            <w:sz w:val="26"/>
            <w:szCs w:val="26"/>
          </w:rPr>
          <w:t xml:space="preserve"> </w:t>
        </w:r>
        <w:r w:rsidRPr="00640677">
          <w:rPr>
            <w:rStyle w:val="Hyperlink"/>
            <w:rFonts w:ascii="Times New Roman" w:hAnsi="Times New Roman" w:cs="Times New Roman"/>
            <w:sz w:val="26"/>
            <w:szCs w:val="26"/>
          </w:rPr>
          <w:t>(nonprecedential)</w:t>
        </w:r>
      </w:hyperlink>
      <w:r w:rsidRPr="00640677">
        <w:rPr>
          <w:rFonts w:ascii="Times New Roman" w:hAnsi="Times New Roman" w:cs="Times New Roman"/>
          <w:sz w:val="26"/>
          <w:szCs w:val="26"/>
        </w:rPr>
        <w:t>,</w:t>
      </w:r>
      <w:r>
        <w:rPr>
          <w:rFonts w:ascii="Times New Roman" w:hAnsi="Times New Roman" w:cs="Times New Roman"/>
          <w:sz w:val="26"/>
          <w:szCs w:val="26"/>
        </w:rPr>
        <w:t xml:space="preserve"> The predecessor, Silver Crest, did exactly what the proponents of the original 1991 bill feared; it withheld the deposits from the successor, Townridge, for well over 60 days. Townridge, realizing that subdivision 4 had no hammer, sued for bad-faith damages of $200 (then the cap) per deposit under subdivision 7. The district court award</w:t>
      </w:r>
      <w:r w:rsidR="00D50C46">
        <w:rPr>
          <w:rFonts w:ascii="Times New Roman" w:hAnsi="Times New Roman" w:cs="Times New Roman"/>
          <w:sz w:val="26"/>
          <w:szCs w:val="26"/>
        </w:rPr>
        <w:t>ed</w:t>
      </w:r>
      <w:r>
        <w:rPr>
          <w:rFonts w:ascii="Times New Roman" w:hAnsi="Times New Roman" w:cs="Times New Roman"/>
          <w:sz w:val="26"/>
          <w:szCs w:val="26"/>
        </w:rPr>
        <w:t xml:space="preserve"> those $200-per-deposit damages but the appellate court reversed</w:t>
      </w:r>
      <w:r w:rsidR="009D0D0A">
        <w:rPr>
          <w:rFonts w:ascii="Times New Roman" w:hAnsi="Times New Roman" w:cs="Times New Roman"/>
          <w:sz w:val="26"/>
          <w:szCs w:val="26"/>
        </w:rPr>
        <w:t xml:space="preserve">, reasoning </w:t>
      </w:r>
      <w:r>
        <w:rPr>
          <w:rFonts w:ascii="Times New Roman" w:hAnsi="Times New Roman" w:cs="Times New Roman"/>
          <w:sz w:val="26"/>
          <w:szCs w:val="26"/>
        </w:rPr>
        <w:t>as follows:</w:t>
      </w:r>
    </w:p>
    <w:p w14:paraId="7A69D44B" w14:textId="77777777" w:rsidR="00910F3B" w:rsidRPr="007D502D" w:rsidRDefault="00910F3B" w:rsidP="00910F3B">
      <w:pPr>
        <w:ind w:left="720"/>
        <w:rPr>
          <w:rFonts w:ascii="Times New Roman" w:hAnsi="Times New Roman" w:cs="Times New Roman"/>
          <w:sz w:val="26"/>
          <w:szCs w:val="26"/>
        </w:rPr>
      </w:pPr>
      <w:r w:rsidRPr="007D502D">
        <w:rPr>
          <w:rFonts w:ascii="Times New Roman" w:hAnsi="Times New Roman" w:cs="Times New Roman"/>
          <w:sz w:val="26"/>
          <w:szCs w:val="26"/>
        </w:rPr>
        <w:t>A reading of the statute as a whole leads us to conclude that the provision allowing punitive damages was enacted to protect tenants rather than landlords who are their successors in interest. Minn. Stat. § 504.20, subd. 7, specifically refers to the punitive damages as being "in addition to the damages provided in subdivision 4." Under subdivision 4, a landlord is liable "to the tenant for damages." Minn. Stat. § 504.20, subd. 4 (1996).</w:t>
      </w:r>
    </w:p>
    <w:p w14:paraId="49022BB8" w14:textId="77777777" w:rsidR="00910F3B" w:rsidRPr="007D502D" w:rsidRDefault="00910F3B" w:rsidP="00910F3B">
      <w:pPr>
        <w:ind w:left="720"/>
        <w:rPr>
          <w:rFonts w:ascii="Times New Roman" w:hAnsi="Times New Roman" w:cs="Times New Roman"/>
          <w:sz w:val="26"/>
          <w:szCs w:val="26"/>
        </w:rPr>
      </w:pPr>
      <w:r w:rsidRPr="007D502D">
        <w:rPr>
          <w:rFonts w:ascii="Times New Roman" w:hAnsi="Times New Roman" w:cs="Times New Roman"/>
          <w:sz w:val="26"/>
          <w:szCs w:val="26"/>
        </w:rPr>
        <w:t>Further, a basic presumption in ascertaining legislative intent leads us to conclude respondent is not entitled to an award of punitive damages. Because appellants violated the statute by returning the security deposits late, any aggrieved tenants could have sued for their deposits and included a request for punitive damages. Allowing respondent to recover punitive damages from appellants for the same deposits would be a result not reasonably intended by the legislature.</w:t>
      </w:r>
    </w:p>
    <w:p w14:paraId="73541007" w14:textId="3D896E84" w:rsidR="00910F3B" w:rsidRDefault="00910F3B" w:rsidP="00910F3B">
      <w:pPr>
        <w:rPr>
          <w:rFonts w:ascii="Times New Roman" w:hAnsi="Times New Roman" w:cs="Times New Roman"/>
          <w:sz w:val="26"/>
          <w:szCs w:val="26"/>
        </w:rPr>
      </w:pPr>
      <w:hyperlink r:id="rId17" w:history="1">
        <w:r w:rsidRPr="00662D9A">
          <w:rPr>
            <w:rStyle w:val="Hyperlink"/>
            <w:rFonts w:ascii="Times New Roman" w:hAnsi="Times New Roman" w:cs="Times New Roman"/>
            <w:sz w:val="26"/>
            <w:szCs w:val="26"/>
          </w:rPr>
          <w:t>Id</w:t>
        </w:r>
      </w:hyperlink>
      <w:r>
        <w:rPr>
          <w:rFonts w:ascii="Times New Roman" w:hAnsi="Times New Roman" w:cs="Times New Roman"/>
          <w:sz w:val="26"/>
          <w:szCs w:val="26"/>
        </w:rPr>
        <w:t>.</w:t>
      </w:r>
      <w:r w:rsidR="00537995">
        <w:rPr>
          <w:rFonts w:ascii="Times New Roman" w:hAnsi="Times New Roman" w:cs="Times New Roman"/>
          <w:sz w:val="26"/>
          <w:szCs w:val="26"/>
        </w:rPr>
        <w:t xml:space="preserve"> at </w:t>
      </w:r>
      <w:r w:rsidR="00662D9A">
        <w:rPr>
          <w:rFonts w:ascii="Times New Roman" w:hAnsi="Times New Roman" w:cs="Times New Roman"/>
          <w:sz w:val="26"/>
          <w:szCs w:val="26"/>
        </w:rPr>
        <w:t>*3 (en</w:t>
      </w:r>
      <w:r>
        <w:rPr>
          <w:rFonts w:ascii="Times New Roman" w:hAnsi="Times New Roman" w:cs="Times New Roman"/>
          <w:sz w:val="26"/>
          <w:szCs w:val="26"/>
        </w:rPr>
        <w:t>d of Part II</w:t>
      </w:r>
      <w:r w:rsidR="00662D9A">
        <w:rPr>
          <w:rFonts w:ascii="Times New Roman" w:hAnsi="Times New Roman" w:cs="Times New Roman"/>
          <w:sz w:val="26"/>
          <w:szCs w:val="26"/>
        </w:rPr>
        <w:t>)</w:t>
      </w:r>
      <w:r>
        <w:rPr>
          <w:rFonts w:ascii="Times New Roman" w:hAnsi="Times New Roman" w:cs="Times New Roman"/>
          <w:sz w:val="26"/>
          <w:szCs w:val="26"/>
        </w:rPr>
        <w:t xml:space="preserve">. </w:t>
      </w:r>
    </w:p>
    <w:p w14:paraId="7AF7C2BE" w14:textId="4FB1A890" w:rsidR="00910F3B" w:rsidRDefault="00910F3B" w:rsidP="00910F3B">
      <w:pPr>
        <w:rPr>
          <w:rFonts w:ascii="Times New Roman" w:hAnsi="Times New Roman" w:cs="Times New Roman"/>
          <w:sz w:val="26"/>
          <w:szCs w:val="26"/>
        </w:rPr>
      </w:pPr>
      <w:r>
        <w:rPr>
          <w:rFonts w:ascii="Times New Roman" w:hAnsi="Times New Roman" w:cs="Times New Roman"/>
          <w:sz w:val="26"/>
          <w:szCs w:val="26"/>
        </w:rPr>
        <w:t xml:space="preserve">Without the benefit of the legislative history discussed above, the idea that subdivision 4 helps the court construe subdivision 7 makes sense. </w:t>
      </w:r>
      <w:r w:rsidR="001B5F8A">
        <w:rPr>
          <w:rFonts w:ascii="Times New Roman" w:hAnsi="Times New Roman" w:cs="Times New Roman"/>
          <w:sz w:val="26"/>
          <w:szCs w:val="26"/>
        </w:rPr>
        <w:t>However, the</w:t>
      </w:r>
      <w:r>
        <w:rPr>
          <w:rFonts w:ascii="Times New Roman" w:hAnsi="Times New Roman" w:cs="Times New Roman"/>
          <w:sz w:val="26"/>
          <w:szCs w:val="26"/>
        </w:rPr>
        <w:t xml:space="preserve"> </w:t>
      </w:r>
      <w:r w:rsidRPr="00640677">
        <w:rPr>
          <w:rFonts w:ascii="Times New Roman" w:hAnsi="Times New Roman" w:cs="Times New Roman"/>
          <w:sz w:val="26"/>
          <w:szCs w:val="26"/>
          <w:u w:val="single"/>
        </w:rPr>
        <w:t>Townridge</w:t>
      </w:r>
      <w:r>
        <w:rPr>
          <w:rFonts w:ascii="Times New Roman" w:hAnsi="Times New Roman" w:cs="Times New Roman"/>
          <w:sz w:val="26"/>
          <w:szCs w:val="26"/>
        </w:rPr>
        <w:t xml:space="preserve"> court </w:t>
      </w:r>
      <w:r w:rsidR="001B5F8A">
        <w:rPr>
          <w:rFonts w:ascii="Times New Roman" w:hAnsi="Times New Roman" w:cs="Times New Roman"/>
          <w:sz w:val="26"/>
          <w:szCs w:val="26"/>
        </w:rPr>
        <w:t>wa</w:t>
      </w:r>
      <w:r>
        <w:rPr>
          <w:rFonts w:ascii="Times New Roman" w:hAnsi="Times New Roman" w:cs="Times New Roman"/>
          <w:sz w:val="26"/>
          <w:szCs w:val="26"/>
        </w:rPr>
        <w:t>s somewhat wrong about the import of the phrase</w:t>
      </w:r>
      <w:r w:rsidRPr="007D502D">
        <w:rPr>
          <w:rFonts w:ascii="Times New Roman" w:hAnsi="Times New Roman" w:cs="Times New Roman"/>
          <w:sz w:val="26"/>
          <w:szCs w:val="26"/>
        </w:rPr>
        <w:t xml:space="preserve"> "in addition to the damages provided in subdivision 4</w:t>
      </w:r>
      <w:r>
        <w:rPr>
          <w:rFonts w:ascii="Times New Roman" w:hAnsi="Times New Roman" w:cs="Times New Roman"/>
          <w:sz w:val="26"/>
          <w:szCs w:val="26"/>
        </w:rPr>
        <w:t>.</w:t>
      </w:r>
      <w:r w:rsidRPr="007D502D">
        <w:rPr>
          <w:rFonts w:ascii="Times New Roman" w:hAnsi="Times New Roman" w:cs="Times New Roman"/>
          <w:sz w:val="26"/>
          <w:szCs w:val="26"/>
        </w:rPr>
        <w:t>"</w:t>
      </w:r>
      <w:r>
        <w:rPr>
          <w:rFonts w:ascii="Times New Roman" w:hAnsi="Times New Roman" w:cs="Times New Roman"/>
          <w:sz w:val="26"/>
          <w:szCs w:val="26"/>
        </w:rPr>
        <w:t xml:space="preserve"> Bad-faith damages are usually awarded for reasons having nothing to do with subdivision 4. The most common reason for an award of subdivision-7, bad-faith punitive damages is the landlord’s deduction for false reasons (e.g., deducting for a broken oven that</w:t>
      </w:r>
      <w:r w:rsidR="001B5F8A">
        <w:rPr>
          <w:rFonts w:ascii="Times New Roman" w:hAnsi="Times New Roman" w:cs="Times New Roman"/>
          <w:sz w:val="26"/>
          <w:szCs w:val="26"/>
        </w:rPr>
        <w:t xml:space="preserve"> the landlord knew</w:t>
      </w:r>
      <w:r>
        <w:rPr>
          <w:rFonts w:ascii="Times New Roman" w:hAnsi="Times New Roman" w:cs="Times New Roman"/>
          <w:sz w:val="26"/>
          <w:szCs w:val="26"/>
        </w:rPr>
        <w:t xml:space="preserve"> was not broken). The </w:t>
      </w:r>
      <w:r w:rsidRPr="00640677">
        <w:rPr>
          <w:rFonts w:ascii="Times New Roman" w:hAnsi="Times New Roman" w:cs="Times New Roman"/>
          <w:sz w:val="26"/>
          <w:szCs w:val="26"/>
          <w:u w:val="single"/>
        </w:rPr>
        <w:t>Townridge</w:t>
      </w:r>
      <w:r>
        <w:rPr>
          <w:rFonts w:ascii="Times New Roman" w:hAnsi="Times New Roman" w:cs="Times New Roman"/>
          <w:sz w:val="26"/>
          <w:szCs w:val="26"/>
        </w:rPr>
        <w:t xml:space="preserve"> court </w:t>
      </w:r>
      <w:r w:rsidR="001B5F8A">
        <w:rPr>
          <w:rFonts w:ascii="Times New Roman" w:hAnsi="Times New Roman" w:cs="Times New Roman"/>
          <w:sz w:val="26"/>
          <w:szCs w:val="26"/>
        </w:rPr>
        <w:t>wa</w:t>
      </w:r>
      <w:r>
        <w:rPr>
          <w:rFonts w:ascii="Times New Roman" w:hAnsi="Times New Roman" w:cs="Times New Roman"/>
          <w:sz w:val="26"/>
          <w:szCs w:val="26"/>
        </w:rPr>
        <w:t>s also mistaken about the importance of the fact that “</w:t>
      </w:r>
      <w:r w:rsidRPr="007D502D">
        <w:rPr>
          <w:rFonts w:ascii="Times New Roman" w:hAnsi="Times New Roman" w:cs="Times New Roman"/>
          <w:sz w:val="26"/>
          <w:szCs w:val="26"/>
        </w:rPr>
        <w:t>aggrieved tenants could have sued for their deposits and included a request for punitive damages</w:t>
      </w:r>
      <w:r>
        <w:rPr>
          <w:rFonts w:ascii="Times New Roman" w:hAnsi="Times New Roman" w:cs="Times New Roman"/>
          <w:sz w:val="26"/>
          <w:szCs w:val="26"/>
        </w:rPr>
        <w:t>.” That is not the problem Townridge faced. Its problem was that until Silver Crest turned over the deposits, Townridge had to reach into its own pocket for the money to pay tenants instead of using the deposit money Silver Crest was unfairly withholding from Townridge.</w:t>
      </w:r>
    </w:p>
    <w:p w14:paraId="0DF6E9F0" w14:textId="314BC28D" w:rsidR="00910F3B" w:rsidRPr="000876B3" w:rsidRDefault="00563D38" w:rsidP="00563D38">
      <w:pPr>
        <w:ind w:left="1440" w:firstLine="720"/>
        <w:rPr>
          <w:rFonts w:ascii="Times New Roman" w:hAnsi="Times New Roman" w:cs="Times New Roman"/>
          <w:sz w:val="26"/>
          <w:szCs w:val="26"/>
          <w:u w:val="single"/>
        </w:rPr>
      </w:pPr>
      <w:bookmarkStart w:id="9" w:name="_Hlk223187489"/>
      <w:r>
        <w:rPr>
          <w:rFonts w:ascii="Times New Roman" w:hAnsi="Times New Roman" w:cs="Times New Roman"/>
          <w:sz w:val="26"/>
          <w:szCs w:val="26"/>
          <w:u w:val="single"/>
        </w:rPr>
        <w:t>h. S</w:t>
      </w:r>
      <w:r w:rsidR="00910F3B" w:rsidRPr="000876B3">
        <w:rPr>
          <w:rFonts w:ascii="Times New Roman" w:hAnsi="Times New Roman" w:cs="Times New Roman"/>
          <w:sz w:val="26"/>
          <w:szCs w:val="26"/>
          <w:u w:val="single"/>
        </w:rPr>
        <w:t>ummar</w:t>
      </w:r>
      <w:r>
        <w:rPr>
          <w:rFonts w:ascii="Times New Roman" w:hAnsi="Times New Roman" w:cs="Times New Roman"/>
          <w:sz w:val="26"/>
          <w:szCs w:val="26"/>
          <w:u w:val="single"/>
        </w:rPr>
        <w:t>y of the 1991-1992 legislative histor</w:t>
      </w:r>
      <w:r w:rsidR="00910F3B" w:rsidRPr="000876B3">
        <w:rPr>
          <w:rFonts w:ascii="Times New Roman" w:hAnsi="Times New Roman" w:cs="Times New Roman"/>
          <w:sz w:val="26"/>
          <w:szCs w:val="26"/>
          <w:u w:val="single"/>
        </w:rPr>
        <w:t>y</w:t>
      </w:r>
    </w:p>
    <w:p w14:paraId="14757F00" w14:textId="027A3E4A" w:rsidR="005127F8" w:rsidRDefault="00563D38">
      <w:pPr>
        <w:rPr>
          <w:rFonts w:ascii="Times New Roman" w:hAnsi="Times New Roman" w:cs="Times New Roman"/>
          <w:b/>
          <w:bCs/>
          <w:color w:val="000000"/>
          <w:sz w:val="26"/>
          <w:szCs w:val="26"/>
          <w:u w:val="single"/>
        </w:rPr>
      </w:pPr>
      <w:r>
        <w:rPr>
          <w:rFonts w:ascii="Times New Roman" w:hAnsi="Times New Roman" w:cs="Times New Roman"/>
          <w:sz w:val="26"/>
          <w:szCs w:val="26"/>
        </w:rPr>
        <w:t xml:space="preserve">The 1991-1992 legislative history is fascinating but does not resolve the </w:t>
      </w:r>
      <w:r w:rsidR="007D5F95">
        <w:rPr>
          <w:rFonts w:ascii="Times New Roman" w:hAnsi="Times New Roman" w:cs="Times New Roman"/>
          <w:sz w:val="26"/>
          <w:szCs w:val="26"/>
        </w:rPr>
        <w:t xml:space="preserve">statute’s </w:t>
      </w:r>
      <w:r>
        <w:rPr>
          <w:rFonts w:ascii="Times New Roman" w:hAnsi="Times New Roman" w:cs="Times New Roman"/>
          <w:sz w:val="26"/>
          <w:szCs w:val="26"/>
        </w:rPr>
        <w:t>ambiguity.</w:t>
      </w:r>
      <w:r w:rsidR="00C57B60">
        <w:rPr>
          <w:rFonts w:ascii="Times New Roman" w:hAnsi="Times New Roman" w:cs="Times New Roman"/>
          <w:sz w:val="26"/>
          <w:szCs w:val="26"/>
        </w:rPr>
        <w:t xml:space="preserve"> The tenant has to give her mailing address or delivery instructions but it is unclear when after that she can sue.</w:t>
      </w:r>
      <w:r w:rsidR="008961A2">
        <w:rPr>
          <w:rFonts w:ascii="Times New Roman" w:hAnsi="Times New Roman" w:cs="Times New Roman"/>
          <w:sz w:val="26"/>
          <w:szCs w:val="26"/>
        </w:rPr>
        <w:t xml:space="preserve"> </w:t>
      </w:r>
    </w:p>
    <w:p w14:paraId="094AF620" w14:textId="26C73F43" w:rsidR="005555AA" w:rsidRPr="008555EF" w:rsidRDefault="005555AA" w:rsidP="005555AA">
      <w:pPr>
        <w:ind w:firstLine="720"/>
        <w:jc w:val="both"/>
        <w:rPr>
          <w:rFonts w:ascii="Times New Roman" w:hAnsi="Times New Roman" w:cs="Times New Roman"/>
          <w:b/>
          <w:bCs/>
          <w:color w:val="000000"/>
          <w:sz w:val="26"/>
          <w:szCs w:val="26"/>
          <w:u w:val="single"/>
        </w:rPr>
      </w:pPr>
      <w:r w:rsidRPr="008555EF">
        <w:rPr>
          <w:rFonts w:ascii="Times New Roman" w:hAnsi="Times New Roman" w:cs="Times New Roman"/>
          <w:b/>
          <w:bCs/>
          <w:color w:val="000000"/>
          <w:sz w:val="26"/>
          <w:szCs w:val="26"/>
          <w:u w:val="single"/>
        </w:rPr>
        <w:t>C.</w:t>
      </w:r>
      <w:r w:rsidR="00FD073F">
        <w:rPr>
          <w:rFonts w:ascii="Times New Roman" w:hAnsi="Times New Roman" w:cs="Times New Roman"/>
          <w:b/>
          <w:bCs/>
          <w:color w:val="000000"/>
          <w:sz w:val="26"/>
          <w:szCs w:val="26"/>
          <w:u w:val="single"/>
        </w:rPr>
        <w:t xml:space="preserve"> </w:t>
      </w:r>
      <w:r w:rsidRPr="008555EF">
        <w:rPr>
          <w:rFonts w:ascii="Times New Roman" w:hAnsi="Times New Roman" w:cs="Times New Roman"/>
          <w:b/>
          <w:bCs/>
          <w:color w:val="000000"/>
          <w:sz w:val="26"/>
          <w:szCs w:val="26"/>
          <w:u w:val="single"/>
        </w:rPr>
        <w:t>Time to Sue for a Type-C Failure</w:t>
      </w:r>
    </w:p>
    <w:p w14:paraId="285C2B34" w14:textId="53DD9E6C" w:rsidR="004324B7" w:rsidRPr="005213DE" w:rsidRDefault="005555AA" w:rsidP="004324B7">
      <w:pPr>
        <w:ind w:left="720" w:firstLine="720"/>
        <w:jc w:val="both"/>
        <w:rPr>
          <w:rFonts w:ascii="Times New Roman" w:hAnsi="Times New Roman" w:cs="Times New Roman"/>
          <w:color w:val="000000"/>
          <w:sz w:val="26"/>
          <w:szCs w:val="26"/>
          <w:u w:val="single"/>
        </w:rPr>
      </w:pPr>
      <w:r>
        <w:rPr>
          <w:rFonts w:ascii="Times New Roman" w:hAnsi="Times New Roman" w:cs="Times New Roman"/>
          <w:color w:val="000000"/>
          <w:sz w:val="26"/>
          <w:szCs w:val="26"/>
          <w:u w:val="single"/>
        </w:rPr>
        <w:t xml:space="preserve">1. </w:t>
      </w:r>
      <w:r w:rsidR="004324B7">
        <w:rPr>
          <w:rFonts w:ascii="Times New Roman" w:hAnsi="Times New Roman" w:cs="Times New Roman"/>
          <w:color w:val="000000"/>
          <w:sz w:val="26"/>
          <w:szCs w:val="26"/>
          <w:u w:val="single"/>
        </w:rPr>
        <w:t>Analysis of the statute’s language</w:t>
      </w:r>
    </w:p>
    <w:bookmarkEnd w:id="9"/>
    <w:p w14:paraId="65236C46" w14:textId="7E5BC7AD" w:rsidR="00227FF4" w:rsidRPr="005213DE" w:rsidRDefault="00703EA5" w:rsidP="00740434">
      <w:pPr>
        <w:rPr>
          <w:rFonts w:ascii="Times New Roman" w:hAnsi="Times New Roman" w:cs="Times New Roman"/>
          <w:sz w:val="26"/>
          <w:szCs w:val="26"/>
        </w:rPr>
      </w:pPr>
      <w:r w:rsidRPr="005213DE">
        <w:rPr>
          <w:rFonts w:ascii="Times New Roman" w:hAnsi="Times New Roman" w:cs="Times New Roman"/>
          <w:sz w:val="26"/>
          <w:szCs w:val="26"/>
        </w:rPr>
        <w:t xml:space="preserve">Unlike Type A and Type B failures, a Type C failure has nothing to do with the time the security deposit is returned, transferred, or accounted for. Also, it is only tangentially related to whether the landlord has overstated damages </w:t>
      </w:r>
      <w:r w:rsidR="00C3686B" w:rsidRPr="005213DE">
        <w:rPr>
          <w:rFonts w:ascii="Times New Roman" w:hAnsi="Times New Roman" w:cs="Times New Roman"/>
          <w:sz w:val="26"/>
          <w:szCs w:val="26"/>
        </w:rPr>
        <w:t xml:space="preserve">or </w:t>
      </w:r>
      <w:r w:rsidRPr="005213DE">
        <w:rPr>
          <w:rFonts w:ascii="Times New Roman" w:hAnsi="Times New Roman" w:cs="Times New Roman"/>
          <w:sz w:val="26"/>
          <w:szCs w:val="26"/>
        </w:rPr>
        <w:t xml:space="preserve">unpaid bills and deducted from the deposit accordingly. Instead, a Type C failure occurs when the landlord doesn’t give the tenant a chance for an initial </w:t>
      </w:r>
      <w:r w:rsidR="00414FD6">
        <w:rPr>
          <w:rFonts w:ascii="Times New Roman" w:hAnsi="Times New Roman" w:cs="Times New Roman"/>
          <w:sz w:val="26"/>
          <w:szCs w:val="26"/>
        </w:rPr>
        <w:t>“inspection” du</w:t>
      </w:r>
      <w:r w:rsidR="00443CD5" w:rsidRPr="005213DE">
        <w:rPr>
          <w:rFonts w:ascii="Times New Roman" w:hAnsi="Times New Roman" w:cs="Times New Roman"/>
          <w:sz w:val="26"/>
          <w:szCs w:val="26"/>
        </w:rPr>
        <w:t>ring the first 14 days of the tenancy</w:t>
      </w:r>
      <w:r w:rsidRPr="005213DE">
        <w:rPr>
          <w:rFonts w:ascii="Times New Roman" w:hAnsi="Times New Roman" w:cs="Times New Roman"/>
          <w:sz w:val="26"/>
          <w:szCs w:val="26"/>
        </w:rPr>
        <w:t>, a chance for a final “inspection”</w:t>
      </w:r>
      <w:r w:rsidR="00443CD5" w:rsidRPr="005213DE">
        <w:rPr>
          <w:rFonts w:ascii="Times New Roman" w:hAnsi="Times New Roman" w:cs="Times New Roman"/>
          <w:sz w:val="26"/>
          <w:szCs w:val="26"/>
        </w:rPr>
        <w:t xml:space="preserve"> during the last 5 days of the tenancy</w:t>
      </w:r>
      <w:r w:rsidRPr="005213DE">
        <w:rPr>
          <w:rFonts w:ascii="Times New Roman" w:hAnsi="Times New Roman" w:cs="Times New Roman"/>
          <w:sz w:val="26"/>
          <w:szCs w:val="26"/>
        </w:rPr>
        <w:t>, or both</w:t>
      </w:r>
      <w:r w:rsidR="00C3686B" w:rsidRPr="005213DE">
        <w:rPr>
          <w:rFonts w:ascii="Times New Roman" w:hAnsi="Times New Roman" w:cs="Times New Roman"/>
          <w:sz w:val="26"/>
          <w:szCs w:val="26"/>
        </w:rPr>
        <w:t>. D</w:t>
      </w:r>
      <w:r w:rsidR="00EC6336" w:rsidRPr="005213DE">
        <w:rPr>
          <w:rFonts w:ascii="Times New Roman" w:hAnsi="Times New Roman" w:cs="Times New Roman"/>
          <w:sz w:val="26"/>
          <w:szCs w:val="26"/>
        </w:rPr>
        <w:t>etailed requirements for</w:t>
      </w:r>
      <w:r w:rsidR="00AF5471" w:rsidRPr="005213DE">
        <w:rPr>
          <w:rFonts w:ascii="Times New Roman" w:hAnsi="Times New Roman" w:cs="Times New Roman"/>
          <w:sz w:val="26"/>
          <w:szCs w:val="26"/>
        </w:rPr>
        <w:t xml:space="preserve"> timing and conducting</w:t>
      </w:r>
      <w:r w:rsidR="00EC6336" w:rsidRPr="005213DE">
        <w:rPr>
          <w:rFonts w:ascii="Times New Roman" w:hAnsi="Times New Roman" w:cs="Times New Roman"/>
          <w:sz w:val="26"/>
          <w:szCs w:val="26"/>
        </w:rPr>
        <w:t xml:space="preserve"> the inspections are set out in </w:t>
      </w:r>
      <w:r w:rsidR="00C3686B" w:rsidRPr="005213DE">
        <w:rPr>
          <w:rFonts w:ascii="Times New Roman" w:hAnsi="Times New Roman" w:cs="Times New Roman"/>
          <w:sz w:val="26"/>
          <w:szCs w:val="26"/>
        </w:rPr>
        <w:t>Minn. Stat. §</w:t>
      </w:r>
      <w:r w:rsidR="00EC6336" w:rsidRPr="005213DE">
        <w:rPr>
          <w:rFonts w:ascii="Times New Roman" w:hAnsi="Times New Roman" w:cs="Times New Roman"/>
          <w:sz w:val="26"/>
          <w:szCs w:val="26"/>
        </w:rPr>
        <w:t xml:space="preserve"> 504</w:t>
      </w:r>
      <w:r w:rsidR="00AA0C04" w:rsidRPr="005213DE">
        <w:rPr>
          <w:rFonts w:ascii="Times New Roman" w:hAnsi="Times New Roman" w:cs="Times New Roman"/>
          <w:sz w:val="26"/>
          <w:szCs w:val="26"/>
        </w:rPr>
        <w:t>B</w:t>
      </w:r>
      <w:r w:rsidR="00EC6336" w:rsidRPr="005213DE">
        <w:rPr>
          <w:rFonts w:ascii="Times New Roman" w:hAnsi="Times New Roman" w:cs="Times New Roman"/>
          <w:sz w:val="26"/>
          <w:szCs w:val="26"/>
        </w:rPr>
        <w:t>.182.</w:t>
      </w:r>
    </w:p>
    <w:p w14:paraId="6605F7BC" w14:textId="77777777" w:rsidR="00443CD5" w:rsidRPr="005213DE" w:rsidRDefault="00AA0C04" w:rsidP="00EB25E4">
      <w:pPr>
        <w:rPr>
          <w:rFonts w:ascii="Times New Roman" w:hAnsi="Times New Roman" w:cs="Times New Roman"/>
          <w:sz w:val="26"/>
          <w:szCs w:val="26"/>
        </w:rPr>
      </w:pPr>
      <w:r w:rsidRPr="005213DE">
        <w:rPr>
          <w:rFonts w:ascii="Times New Roman" w:hAnsi="Times New Roman" w:cs="Times New Roman"/>
          <w:sz w:val="26"/>
          <w:szCs w:val="26"/>
        </w:rPr>
        <w:t xml:space="preserve">Obviously, a tenant’s Type-C claim doesn’t vest until the landlord breaches either inspection requirement. As discussed above, under </w:t>
      </w:r>
      <w:r w:rsidRPr="005213DE">
        <w:rPr>
          <w:rFonts w:ascii="Times New Roman" w:hAnsi="Times New Roman" w:cs="Times New Roman"/>
          <w:sz w:val="26"/>
          <w:szCs w:val="26"/>
          <w:u w:val="single"/>
        </w:rPr>
        <w:t xml:space="preserve">Duluth Firemen's Relief </w:t>
      </w:r>
      <w:proofErr w:type="spellStart"/>
      <w:r w:rsidRPr="005213DE">
        <w:rPr>
          <w:rFonts w:ascii="Times New Roman" w:hAnsi="Times New Roman" w:cs="Times New Roman"/>
          <w:sz w:val="26"/>
          <w:szCs w:val="26"/>
          <w:u w:val="single"/>
        </w:rPr>
        <w:t>Ass'n</w:t>
      </w:r>
      <w:proofErr w:type="spellEnd"/>
      <w:r w:rsidRPr="005213DE">
        <w:rPr>
          <w:rFonts w:ascii="Times New Roman" w:hAnsi="Times New Roman" w:cs="Times New Roman"/>
          <w:sz w:val="26"/>
          <w:szCs w:val="26"/>
          <w:u w:val="single"/>
        </w:rPr>
        <w:t xml:space="preserve"> </w:t>
      </w:r>
      <w:r w:rsidRPr="005213DE">
        <w:rPr>
          <w:rFonts w:ascii="Times New Roman" w:hAnsi="Times New Roman" w:cs="Times New Roman"/>
          <w:sz w:val="26"/>
          <w:szCs w:val="26"/>
        </w:rPr>
        <w:t xml:space="preserve">the tenant very likely also has to give her mailing address or delivery instructions for her claim to vest. </w:t>
      </w:r>
    </w:p>
    <w:p w14:paraId="1E78B2FF" w14:textId="0EE8EE53" w:rsidR="00EB25E4" w:rsidRPr="005213DE" w:rsidRDefault="00AA0C04" w:rsidP="00EB25E4">
      <w:pPr>
        <w:rPr>
          <w:rFonts w:ascii="Times New Roman" w:hAnsi="Times New Roman" w:cs="Times New Roman"/>
          <w:sz w:val="26"/>
          <w:szCs w:val="26"/>
        </w:rPr>
      </w:pPr>
      <w:r w:rsidRPr="005213DE">
        <w:rPr>
          <w:rFonts w:ascii="Times New Roman" w:hAnsi="Times New Roman" w:cs="Times New Roman"/>
          <w:sz w:val="26"/>
          <w:szCs w:val="26"/>
        </w:rPr>
        <w:t>What about the “as required in subdivision 3” clause.</w:t>
      </w:r>
      <w:r w:rsidR="00443CD5" w:rsidRPr="005213DE">
        <w:rPr>
          <w:rFonts w:ascii="Times New Roman" w:hAnsi="Times New Roman" w:cs="Times New Roman"/>
          <w:sz w:val="26"/>
          <w:szCs w:val="26"/>
        </w:rPr>
        <w:t xml:space="preserve"> Subdivision 3 is about returning the deposit. When the proper inspection isn’t done during the first </w:t>
      </w:r>
      <w:r w:rsidR="00876BA0">
        <w:rPr>
          <w:rFonts w:ascii="Times New Roman" w:hAnsi="Times New Roman" w:cs="Times New Roman"/>
          <w:sz w:val="26"/>
          <w:szCs w:val="26"/>
        </w:rPr>
        <w:t>14</w:t>
      </w:r>
      <w:r w:rsidR="00443CD5" w:rsidRPr="005213DE">
        <w:rPr>
          <w:rFonts w:ascii="Times New Roman" w:hAnsi="Times New Roman" w:cs="Times New Roman"/>
          <w:sz w:val="26"/>
          <w:szCs w:val="26"/>
        </w:rPr>
        <w:t xml:space="preserve"> days of the tenancy, </w:t>
      </w:r>
      <w:r w:rsidR="00443CD5" w:rsidRPr="005213DE">
        <w:rPr>
          <w:rFonts w:ascii="Times New Roman" w:hAnsi="Times New Roman" w:cs="Times New Roman"/>
          <w:sz w:val="26"/>
          <w:szCs w:val="26"/>
        </w:rPr>
        <w:lastRenderedPageBreak/>
        <w:t>neither side is thinking about returning the deposit or suing over it but the landlord has breached</w:t>
      </w:r>
      <w:r w:rsidR="00876BA0">
        <w:rPr>
          <w:rFonts w:ascii="Times New Roman" w:hAnsi="Times New Roman" w:cs="Times New Roman"/>
          <w:sz w:val="26"/>
          <w:szCs w:val="26"/>
        </w:rPr>
        <w:t>.</w:t>
      </w:r>
      <w:r w:rsidR="00443CD5" w:rsidRPr="005213DE">
        <w:rPr>
          <w:rFonts w:ascii="Times New Roman" w:hAnsi="Times New Roman" w:cs="Times New Roman"/>
          <w:sz w:val="26"/>
          <w:szCs w:val="26"/>
        </w:rPr>
        <w:t xml:space="preserve"> Can the tenant sue on day </w:t>
      </w:r>
      <w:r w:rsidR="007D709D" w:rsidRPr="005213DE">
        <w:rPr>
          <w:rFonts w:ascii="Times New Roman" w:hAnsi="Times New Roman" w:cs="Times New Roman"/>
          <w:sz w:val="26"/>
          <w:szCs w:val="26"/>
        </w:rPr>
        <w:t>15</w:t>
      </w:r>
      <w:r w:rsidR="00443CD5" w:rsidRPr="005213DE">
        <w:rPr>
          <w:rFonts w:ascii="Times New Roman" w:hAnsi="Times New Roman" w:cs="Times New Roman"/>
          <w:sz w:val="26"/>
          <w:szCs w:val="26"/>
        </w:rPr>
        <w:t xml:space="preserve"> for this Type C failure? The suit would be for </w:t>
      </w:r>
      <w:r w:rsidR="00876BA0">
        <w:rPr>
          <w:rFonts w:ascii="Times New Roman" w:hAnsi="Times New Roman" w:cs="Times New Roman"/>
          <w:sz w:val="26"/>
          <w:szCs w:val="26"/>
        </w:rPr>
        <w:t>the doubling penalty but not</w:t>
      </w:r>
      <w:r w:rsidR="00443CD5" w:rsidRPr="005213DE">
        <w:rPr>
          <w:rFonts w:ascii="Times New Roman" w:hAnsi="Times New Roman" w:cs="Times New Roman"/>
          <w:sz w:val="26"/>
          <w:szCs w:val="26"/>
        </w:rPr>
        <w:t xml:space="preserve"> the deposit itself.</w:t>
      </w:r>
    </w:p>
    <w:p w14:paraId="79FFEADE" w14:textId="1206223C" w:rsidR="0093683E" w:rsidRPr="005213DE" w:rsidRDefault="00443CD5" w:rsidP="00EB25E4">
      <w:pPr>
        <w:rPr>
          <w:rFonts w:ascii="Times New Roman" w:hAnsi="Times New Roman" w:cs="Times New Roman"/>
          <w:color w:val="000000" w:themeColor="text1"/>
          <w:sz w:val="26"/>
          <w:szCs w:val="26"/>
        </w:rPr>
      </w:pPr>
      <w:r w:rsidRPr="005213DE">
        <w:rPr>
          <w:rFonts w:ascii="Times New Roman" w:hAnsi="Times New Roman" w:cs="Times New Roman"/>
          <w:sz w:val="26"/>
          <w:szCs w:val="26"/>
        </w:rPr>
        <w:t>In defending such a suit, the landlord could point to the language at the end of subdivision 4, “</w:t>
      </w:r>
      <w:r w:rsidRPr="005213DE">
        <w:rPr>
          <w:rFonts w:ascii="Times New Roman" w:hAnsi="Times New Roman" w:cs="Times New Roman"/>
          <w:color w:val="000000" w:themeColor="text1"/>
          <w:sz w:val="26"/>
          <w:szCs w:val="26"/>
        </w:rPr>
        <w:t>in addition to the portion of the deposit wrongfully withheld by the landlord”. The landlord hasn’t yet withheld any deposit. Indeed, he might eventually return all the deposit</w:t>
      </w:r>
      <w:r w:rsidR="0093683E" w:rsidRPr="005213DE">
        <w:rPr>
          <w:rFonts w:ascii="Times New Roman" w:hAnsi="Times New Roman" w:cs="Times New Roman"/>
          <w:color w:val="000000" w:themeColor="text1"/>
          <w:sz w:val="26"/>
          <w:szCs w:val="26"/>
        </w:rPr>
        <w:t xml:space="preserve">. Or he might eventually deduct all the $700 deposit because the tenant completed ruined </w:t>
      </w:r>
      <w:r w:rsidR="001F5421" w:rsidRPr="005213DE">
        <w:rPr>
          <w:rFonts w:ascii="Times New Roman" w:hAnsi="Times New Roman" w:cs="Times New Roman"/>
          <w:color w:val="000000" w:themeColor="text1"/>
          <w:sz w:val="26"/>
          <w:szCs w:val="26"/>
        </w:rPr>
        <w:t>a</w:t>
      </w:r>
      <w:r w:rsidR="0093683E" w:rsidRPr="005213DE">
        <w:rPr>
          <w:rFonts w:ascii="Times New Roman" w:hAnsi="Times New Roman" w:cs="Times New Roman"/>
          <w:color w:val="000000" w:themeColor="text1"/>
          <w:sz w:val="26"/>
          <w:szCs w:val="26"/>
        </w:rPr>
        <w:t xml:space="preserve"> $1000 refrigerator beyond ordinary wear and tear. In these cases, arguably the landlord has not wrongfully withheld the deposit. On the other hand, the lack of an initial inspection might have prevented the tenant from noticing a problem with</w:t>
      </w:r>
      <w:r w:rsidR="007D709D" w:rsidRPr="005213DE">
        <w:rPr>
          <w:rFonts w:ascii="Times New Roman" w:hAnsi="Times New Roman" w:cs="Times New Roman"/>
          <w:color w:val="000000" w:themeColor="text1"/>
          <w:sz w:val="26"/>
          <w:szCs w:val="26"/>
        </w:rPr>
        <w:t xml:space="preserve"> something else like</w:t>
      </w:r>
      <w:r w:rsidR="0093683E" w:rsidRPr="005213DE">
        <w:rPr>
          <w:rFonts w:ascii="Times New Roman" w:hAnsi="Times New Roman" w:cs="Times New Roman"/>
          <w:color w:val="000000" w:themeColor="text1"/>
          <w:sz w:val="26"/>
          <w:szCs w:val="26"/>
        </w:rPr>
        <w:t xml:space="preserve"> the oven, damage the landlord eventually claimed, incorrectly, that the tenant caused. </w:t>
      </w:r>
    </w:p>
    <w:p w14:paraId="00B9847B" w14:textId="662629DC" w:rsidR="00443CD5" w:rsidRPr="005213DE" w:rsidRDefault="00012E5E" w:rsidP="00EB25E4">
      <w:pPr>
        <w:rPr>
          <w:rFonts w:ascii="Times New Roman" w:hAnsi="Times New Roman" w:cs="Times New Roman"/>
          <w:color w:val="EE0000"/>
          <w:sz w:val="26"/>
          <w:szCs w:val="26"/>
        </w:rPr>
      </w:pPr>
      <w:r w:rsidRPr="005213DE">
        <w:rPr>
          <w:rFonts w:ascii="Times New Roman" w:hAnsi="Times New Roman" w:cs="Times New Roman"/>
          <w:color w:val="000000" w:themeColor="text1"/>
          <w:sz w:val="26"/>
          <w:szCs w:val="26"/>
        </w:rPr>
        <w:t>The</w:t>
      </w:r>
      <w:r w:rsidR="0093683E" w:rsidRPr="005213DE">
        <w:rPr>
          <w:rFonts w:ascii="Times New Roman" w:hAnsi="Times New Roman" w:cs="Times New Roman"/>
          <w:color w:val="000000" w:themeColor="text1"/>
          <w:sz w:val="26"/>
          <w:szCs w:val="26"/>
        </w:rPr>
        <w:t xml:space="preserve">refore, the tenant deserves a hammer to force the landlord to do the initial inspection regardless what happens to the deposit. Indeed, in the old days </w:t>
      </w:r>
      <w:r w:rsidR="001F5421" w:rsidRPr="005213DE">
        <w:rPr>
          <w:rFonts w:ascii="Times New Roman" w:hAnsi="Times New Roman" w:cs="Times New Roman"/>
          <w:color w:val="000000" w:themeColor="text1"/>
          <w:sz w:val="26"/>
          <w:szCs w:val="26"/>
        </w:rPr>
        <w:t>before either Type B or Type C failures were added to subdivision 4, a landlord who failed under Type A was liable to the tenant for the doubling penalty even if the landlord returned the entire deposit on day 22 or the landlord kept an entire $700 deposit because the tenant completed ruined a $1000 refrigerator beyond ordinary wear and tear deposit</w:t>
      </w:r>
      <w:r w:rsidR="007D709D" w:rsidRPr="005213DE">
        <w:rPr>
          <w:rFonts w:ascii="Times New Roman" w:hAnsi="Times New Roman" w:cs="Times New Roman"/>
          <w:color w:val="000000" w:themeColor="text1"/>
          <w:sz w:val="26"/>
          <w:szCs w:val="26"/>
        </w:rPr>
        <w:t xml:space="preserve">. </w:t>
      </w:r>
      <w:r w:rsidR="005E02E0" w:rsidRPr="005213DE">
        <w:rPr>
          <w:rFonts w:ascii="Times New Roman" w:hAnsi="Times New Roman" w:cs="Times New Roman"/>
          <w:color w:val="000000" w:themeColor="text1"/>
          <w:sz w:val="26"/>
          <w:szCs w:val="26"/>
        </w:rPr>
        <w:t>There was a small bit of testimony in committee supporting th</w:t>
      </w:r>
      <w:r w:rsidR="00876BA0">
        <w:rPr>
          <w:rFonts w:ascii="Times New Roman" w:hAnsi="Times New Roman" w:cs="Times New Roman"/>
          <w:color w:val="000000" w:themeColor="text1"/>
          <w:sz w:val="26"/>
          <w:szCs w:val="26"/>
        </w:rPr>
        <w:t>e</w:t>
      </w:r>
      <w:r w:rsidR="005E02E0" w:rsidRPr="005213DE">
        <w:rPr>
          <w:rFonts w:ascii="Times New Roman" w:hAnsi="Times New Roman" w:cs="Times New Roman"/>
          <w:color w:val="000000" w:themeColor="text1"/>
          <w:sz w:val="26"/>
          <w:szCs w:val="26"/>
        </w:rPr>
        <w:t xml:space="preserve"> idea</w:t>
      </w:r>
      <w:r w:rsidR="00876BA0">
        <w:rPr>
          <w:rFonts w:ascii="Times New Roman" w:hAnsi="Times New Roman" w:cs="Times New Roman"/>
          <w:color w:val="000000" w:themeColor="text1"/>
          <w:sz w:val="26"/>
          <w:szCs w:val="26"/>
        </w:rPr>
        <w:t xml:space="preserve"> that the tenant’s claim for lack of an initial inspection vests on day 15</w:t>
      </w:r>
      <w:r w:rsidR="005E02E0" w:rsidRPr="005213DE">
        <w:rPr>
          <w:rFonts w:ascii="Times New Roman" w:hAnsi="Times New Roman" w:cs="Times New Roman"/>
          <w:color w:val="000000" w:themeColor="text1"/>
          <w:sz w:val="26"/>
          <w:szCs w:val="26"/>
        </w:rPr>
        <w:t>.</w:t>
      </w:r>
      <w:r w:rsidRPr="005213DE">
        <w:rPr>
          <w:rStyle w:val="FootnoteReference"/>
          <w:rFonts w:ascii="Times New Roman" w:hAnsi="Times New Roman" w:cs="Times New Roman"/>
          <w:color w:val="000000" w:themeColor="text1"/>
          <w:sz w:val="26"/>
          <w:szCs w:val="26"/>
        </w:rPr>
        <w:footnoteReference w:id="10"/>
      </w:r>
    </w:p>
    <w:p w14:paraId="3497ECE4" w14:textId="7D85F842" w:rsidR="007D709D" w:rsidRDefault="007D709D" w:rsidP="00EB25E4">
      <w:pPr>
        <w:rPr>
          <w:rFonts w:ascii="Times New Roman" w:hAnsi="Times New Roman" w:cs="Times New Roman"/>
          <w:color w:val="212121"/>
          <w:sz w:val="26"/>
          <w:szCs w:val="26"/>
        </w:rPr>
      </w:pPr>
      <w:r w:rsidRPr="005213DE">
        <w:rPr>
          <w:rFonts w:ascii="Times New Roman" w:hAnsi="Times New Roman" w:cs="Times New Roman"/>
          <w:color w:val="212121"/>
          <w:sz w:val="26"/>
          <w:szCs w:val="26"/>
        </w:rPr>
        <w:t>On the other hand, the fact that the penalty for disobeying Minn. Stat. § 504B.182 is in Minn. Stat. § 504B.178</w:t>
      </w:r>
      <w:r w:rsidR="00876BA0">
        <w:rPr>
          <w:rFonts w:ascii="Times New Roman" w:hAnsi="Times New Roman" w:cs="Times New Roman"/>
          <w:color w:val="212121"/>
          <w:sz w:val="26"/>
          <w:szCs w:val="26"/>
        </w:rPr>
        <w:t xml:space="preserve"> – the security-deposit statute -- </w:t>
      </w:r>
      <w:r w:rsidRPr="005213DE">
        <w:rPr>
          <w:rFonts w:ascii="Times New Roman" w:hAnsi="Times New Roman" w:cs="Times New Roman"/>
          <w:color w:val="212121"/>
          <w:sz w:val="26"/>
          <w:szCs w:val="26"/>
        </w:rPr>
        <w:t xml:space="preserve">indicates that </w:t>
      </w:r>
      <w:r w:rsidR="0084039D" w:rsidRPr="005213DE">
        <w:rPr>
          <w:rFonts w:ascii="Times New Roman" w:hAnsi="Times New Roman" w:cs="Times New Roman"/>
          <w:color w:val="212121"/>
          <w:sz w:val="26"/>
          <w:szCs w:val="26"/>
        </w:rPr>
        <w:t xml:space="preserve">a suit for </w:t>
      </w:r>
      <w:r w:rsidR="00876BA0">
        <w:rPr>
          <w:rFonts w:ascii="Times New Roman" w:hAnsi="Times New Roman" w:cs="Times New Roman"/>
          <w:color w:val="212121"/>
          <w:sz w:val="26"/>
          <w:szCs w:val="26"/>
        </w:rPr>
        <w:t>the doubling penalty</w:t>
      </w:r>
      <w:r w:rsidRPr="005213DE">
        <w:rPr>
          <w:rFonts w:ascii="Times New Roman" w:hAnsi="Times New Roman" w:cs="Times New Roman"/>
          <w:color w:val="212121"/>
          <w:sz w:val="26"/>
          <w:szCs w:val="26"/>
        </w:rPr>
        <w:t xml:space="preserve"> </w:t>
      </w:r>
      <w:r w:rsidR="0084039D" w:rsidRPr="005213DE">
        <w:rPr>
          <w:rFonts w:ascii="Times New Roman" w:hAnsi="Times New Roman" w:cs="Times New Roman"/>
          <w:color w:val="212121"/>
          <w:sz w:val="26"/>
          <w:szCs w:val="26"/>
        </w:rPr>
        <w:t>based</w:t>
      </w:r>
      <w:r w:rsidRPr="005213DE">
        <w:rPr>
          <w:rFonts w:ascii="Times New Roman" w:hAnsi="Times New Roman" w:cs="Times New Roman"/>
          <w:color w:val="212121"/>
          <w:sz w:val="26"/>
          <w:szCs w:val="26"/>
        </w:rPr>
        <w:t xml:space="preserve"> </w:t>
      </w:r>
      <w:r w:rsidR="00537995">
        <w:rPr>
          <w:rFonts w:ascii="Times New Roman" w:hAnsi="Times New Roman" w:cs="Times New Roman"/>
          <w:color w:val="212121"/>
          <w:sz w:val="26"/>
          <w:szCs w:val="26"/>
        </w:rPr>
        <w:t>on s</w:t>
      </w:r>
      <w:r w:rsidRPr="005213DE">
        <w:rPr>
          <w:rFonts w:ascii="Times New Roman" w:hAnsi="Times New Roman" w:cs="Times New Roman"/>
          <w:color w:val="212121"/>
          <w:sz w:val="26"/>
          <w:szCs w:val="26"/>
        </w:rPr>
        <w:t>ection 504B.182 probably must wait until the tenant has a claim related to the security deposit</w:t>
      </w:r>
      <w:r w:rsidR="0084039D" w:rsidRPr="005213DE">
        <w:rPr>
          <w:rFonts w:ascii="Times New Roman" w:hAnsi="Times New Roman" w:cs="Times New Roman"/>
          <w:color w:val="212121"/>
          <w:sz w:val="26"/>
          <w:szCs w:val="26"/>
        </w:rPr>
        <w:t xml:space="preserve">. </w:t>
      </w:r>
      <w:r w:rsidR="00065067">
        <w:rPr>
          <w:rFonts w:ascii="Times New Roman" w:hAnsi="Times New Roman" w:cs="Times New Roman"/>
          <w:color w:val="212121"/>
          <w:sz w:val="26"/>
          <w:szCs w:val="26"/>
        </w:rPr>
        <w:t xml:space="preserve">Furthermore, </w:t>
      </w:r>
      <w:r w:rsidR="00065067" w:rsidRPr="005213DE">
        <w:rPr>
          <w:rFonts w:ascii="Times New Roman" w:hAnsi="Times New Roman" w:cs="Times New Roman"/>
          <w:color w:val="212121"/>
          <w:sz w:val="26"/>
          <w:szCs w:val="26"/>
        </w:rPr>
        <w:t>Minn. Stat. § 504B.182</w:t>
      </w:r>
      <w:r w:rsidR="00065067">
        <w:rPr>
          <w:rFonts w:ascii="Times New Roman" w:hAnsi="Times New Roman" w:cs="Times New Roman"/>
          <w:color w:val="212121"/>
          <w:sz w:val="26"/>
          <w:szCs w:val="26"/>
        </w:rPr>
        <w:t>, subd. 1 says the “</w:t>
      </w:r>
      <w:r w:rsidR="00065067" w:rsidRPr="00065067">
        <w:rPr>
          <w:rFonts w:ascii="Times New Roman" w:hAnsi="Times New Roman" w:cs="Times New Roman"/>
          <w:color w:val="212121"/>
          <w:sz w:val="26"/>
          <w:szCs w:val="26"/>
        </w:rPr>
        <w:t>initial inspection of the residential unit</w:t>
      </w:r>
      <w:r w:rsidR="00065067">
        <w:rPr>
          <w:rFonts w:ascii="Times New Roman" w:hAnsi="Times New Roman" w:cs="Times New Roman"/>
          <w:color w:val="212121"/>
          <w:sz w:val="26"/>
          <w:szCs w:val="26"/>
        </w:rPr>
        <w:t xml:space="preserve"> [is] </w:t>
      </w:r>
      <w:r w:rsidR="00192FFE">
        <w:rPr>
          <w:rFonts w:ascii="Times New Roman" w:hAnsi="Times New Roman" w:cs="Times New Roman"/>
          <w:color w:val="212121"/>
          <w:sz w:val="26"/>
          <w:szCs w:val="26"/>
        </w:rPr>
        <w:t>for the purposes of identifying</w:t>
      </w:r>
      <w:r w:rsidR="00065067">
        <w:rPr>
          <w:rFonts w:ascii="Times New Roman" w:hAnsi="Times New Roman" w:cs="Times New Roman"/>
          <w:color w:val="212121"/>
          <w:sz w:val="26"/>
          <w:szCs w:val="26"/>
        </w:rPr>
        <w:t xml:space="preserve"> </w:t>
      </w:r>
      <w:r w:rsidR="00065067" w:rsidRPr="00065067">
        <w:rPr>
          <w:rFonts w:ascii="Times New Roman" w:hAnsi="Times New Roman" w:cs="Times New Roman"/>
          <w:color w:val="212121"/>
          <w:sz w:val="26"/>
          <w:szCs w:val="26"/>
        </w:rPr>
        <w:t>existing deficiencies in the rental unit to avoid deductions for the security deposit of the tenant at a future date</w:t>
      </w:r>
      <w:r w:rsidR="00192FFE">
        <w:rPr>
          <w:rFonts w:ascii="Times New Roman" w:hAnsi="Times New Roman" w:cs="Times New Roman"/>
          <w:color w:val="212121"/>
          <w:sz w:val="26"/>
          <w:szCs w:val="26"/>
        </w:rPr>
        <w:t>”</w:t>
      </w:r>
      <w:r w:rsidR="00065067">
        <w:rPr>
          <w:rFonts w:ascii="Times New Roman" w:hAnsi="Times New Roman" w:cs="Times New Roman"/>
          <w:color w:val="212121"/>
          <w:sz w:val="26"/>
          <w:szCs w:val="26"/>
        </w:rPr>
        <w:t>. And, subd. 2 says, “</w:t>
      </w:r>
      <w:r w:rsidR="00065067" w:rsidRPr="00065067">
        <w:rPr>
          <w:rFonts w:ascii="Times New Roman" w:hAnsi="Times New Roman" w:cs="Times New Roman"/>
          <w:color w:val="212121"/>
          <w:sz w:val="26"/>
          <w:szCs w:val="26"/>
        </w:rPr>
        <w:t>The purpose of the move-out inspection shall be to allow the tenant an opportunity to remedy identified deficiencie</w:t>
      </w:r>
      <w:r w:rsidR="00065067">
        <w:rPr>
          <w:rFonts w:ascii="Times New Roman" w:hAnsi="Times New Roman" w:cs="Times New Roman"/>
          <w:color w:val="212121"/>
          <w:sz w:val="26"/>
          <w:szCs w:val="26"/>
        </w:rPr>
        <w:t>s …</w:t>
      </w:r>
      <w:r w:rsidR="00065067" w:rsidRPr="00065067">
        <w:rPr>
          <w:rFonts w:ascii="Times New Roman" w:hAnsi="Times New Roman" w:cs="Times New Roman"/>
          <w:color w:val="212121"/>
          <w:sz w:val="26"/>
          <w:szCs w:val="26"/>
        </w:rPr>
        <w:t>in order to avoid deductions from the security deposit.</w:t>
      </w:r>
      <w:r w:rsidR="00065067">
        <w:rPr>
          <w:rFonts w:ascii="Times New Roman" w:hAnsi="Times New Roman" w:cs="Times New Roman"/>
          <w:color w:val="212121"/>
          <w:sz w:val="26"/>
          <w:szCs w:val="26"/>
        </w:rPr>
        <w:t xml:space="preserve">” </w:t>
      </w:r>
      <w:r w:rsidR="0084039D" w:rsidRPr="005213DE">
        <w:rPr>
          <w:rFonts w:ascii="Times New Roman" w:hAnsi="Times New Roman" w:cs="Times New Roman"/>
          <w:color w:val="212121"/>
          <w:sz w:val="26"/>
          <w:szCs w:val="26"/>
        </w:rPr>
        <w:t>Th</w:t>
      </w:r>
      <w:r w:rsidR="00065067">
        <w:rPr>
          <w:rFonts w:ascii="Times New Roman" w:hAnsi="Times New Roman" w:cs="Times New Roman"/>
          <w:color w:val="212121"/>
          <w:sz w:val="26"/>
          <w:szCs w:val="26"/>
        </w:rPr>
        <w:t>us, a 504B.182</w:t>
      </w:r>
      <w:r w:rsidR="0084039D" w:rsidRPr="005213DE">
        <w:rPr>
          <w:rFonts w:ascii="Times New Roman" w:hAnsi="Times New Roman" w:cs="Times New Roman"/>
          <w:color w:val="212121"/>
          <w:sz w:val="26"/>
          <w:szCs w:val="26"/>
        </w:rPr>
        <w:t xml:space="preserve"> claim would arise no earlier than the end of the tenancy in a non-succession situation</w:t>
      </w:r>
      <w:r w:rsidR="00065067">
        <w:rPr>
          <w:rFonts w:ascii="Times New Roman" w:hAnsi="Times New Roman" w:cs="Times New Roman"/>
          <w:color w:val="212121"/>
          <w:sz w:val="26"/>
          <w:szCs w:val="26"/>
        </w:rPr>
        <w:t xml:space="preserve"> (and maybe not until the three-week clock has run)</w:t>
      </w:r>
      <w:r w:rsidR="0084039D" w:rsidRPr="005213DE">
        <w:rPr>
          <w:rFonts w:ascii="Times New Roman" w:hAnsi="Times New Roman" w:cs="Times New Roman"/>
          <w:color w:val="212121"/>
          <w:sz w:val="26"/>
          <w:szCs w:val="26"/>
        </w:rPr>
        <w:t xml:space="preserve"> or after day 60 </w:t>
      </w:r>
      <w:r w:rsidR="00065067">
        <w:rPr>
          <w:rFonts w:ascii="Times New Roman" w:hAnsi="Times New Roman" w:cs="Times New Roman"/>
          <w:color w:val="212121"/>
          <w:sz w:val="26"/>
          <w:szCs w:val="26"/>
        </w:rPr>
        <w:t>in a</w:t>
      </w:r>
      <w:r w:rsidR="0084039D" w:rsidRPr="005213DE">
        <w:rPr>
          <w:rFonts w:ascii="Times New Roman" w:hAnsi="Times New Roman" w:cs="Times New Roman"/>
          <w:color w:val="212121"/>
          <w:sz w:val="26"/>
          <w:szCs w:val="26"/>
        </w:rPr>
        <w:t xml:space="preserve"> successio</w:t>
      </w:r>
      <w:r w:rsidR="00065067">
        <w:rPr>
          <w:rFonts w:ascii="Times New Roman" w:hAnsi="Times New Roman" w:cs="Times New Roman"/>
          <w:color w:val="212121"/>
          <w:sz w:val="26"/>
          <w:szCs w:val="26"/>
        </w:rPr>
        <w:t>n-in-</w:t>
      </w:r>
      <w:r w:rsidR="0084039D" w:rsidRPr="005213DE">
        <w:rPr>
          <w:rFonts w:ascii="Times New Roman" w:hAnsi="Times New Roman" w:cs="Times New Roman"/>
          <w:color w:val="212121"/>
          <w:sz w:val="26"/>
          <w:szCs w:val="26"/>
        </w:rPr>
        <w:t xml:space="preserve">interest </w:t>
      </w:r>
      <w:r w:rsidR="00065067">
        <w:rPr>
          <w:rFonts w:ascii="Times New Roman" w:hAnsi="Times New Roman" w:cs="Times New Roman"/>
          <w:color w:val="212121"/>
          <w:sz w:val="26"/>
          <w:szCs w:val="26"/>
        </w:rPr>
        <w:t>situation</w:t>
      </w:r>
      <w:r w:rsidRPr="005213DE">
        <w:rPr>
          <w:rFonts w:ascii="Times New Roman" w:hAnsi="Times New Roman" w:cs="Times New Roman"/>
          <w:color w:val="212121"/>
          <w:sz w:val="26"/>
          <w:szCs w:val="26"/>
        </w:rPr>
        <w:t>.</w:t>
      </w:r>
    </w:p>
    <w:p w14:paraId="7C067234" w14:textId="77777777" w:rsidR="00F70809" w:rsidRDefault="00F70809" w:rsidP="00EB25E4">
      <w:pPr>
        <w:rPr>
          <w:rFonts w:ascii="Times New Roman" w:hAnsi="Times New Roman" w:cs="Times New Roman"/>
          <w:color w:val="212121"/>
          <w:sz w:val="26"/>
          <w:szCs w:val="26"/>
        </w:rPr>
      </w:pPr>
    </w:p>
    <w:p w14:paraId="7A962BC7" w14:textId="127C8328" w:rsidR="004324B7" w:rsidRPr="004324B7" w:rsidRDefault="00217115" w:rsidP="004324B7">
      <w:pPr>
        <w:ind w:left="720" w:firstLine="720"/>
        <w:jc w:val="both"/>
        <w:rPr>
          <w:rFonts w:ascii="Times New Roman" w:hAnsi="Times New Roman" w:cs="Times New Roman"/>
          <w:color w:val="000000"/>
          <w:sz w:val="26"/>
          <w:szCs w:val="26"/>
          <w:u w:val="single"/>
        </w:rPr>
      </w:pPr>
      <w:bookmarkStart w:id="10" w:name="_Hlk223187536"/>
      <w:r>
        <w:rPr>
          <w:rFonts w:ascii="Times New Roman" w:hAnsi="Times New Roman" w:cs="Times New Roman"/>
          <w:color w:val="000000"/>
          <w:sz w:val="26"/>
          <w:szCs w:val="26"/>
          <w:u w:val="single"/>
        </w:rPr>
        <w:lastRenderedPageBreak/>
        <w:t xml:space="preserve">2. </w:t>
      </w:r>
      <w:r w:rsidR="004324B7">
        <w:rPr>
          <w:rFonts w:ascii="Times New Roman" w:hAnsi="Times New Roman" w:cs="Times New Roman"/>
          <w:color w:val="000000"/>
          <w:sz w:val="26"/>
          <w:szCs w:val="26"/>
          <w:u w:val="single"/>
        </w:rPr>
        <w:t>Analysis of the statute’s legislative history</w:t>
      </w:r>
    </w:p>
    <w:bookmarkEnd w:id="10"/>
    <w:p w14:paraId="33C38C8C" w14:textId="77777777" w:rsidR="00AE304A" w:rsidRPr="005213DE" w:rsidRDefault="0084039D" w:rsidP="0084039D">
      <w:pPr>
        <w:rPr>
          <w:rFonts w:ascii="Times New Roman" w:hAnsi="Times New Roman" w:cs="Times New Roman"/>
          <w:sz w:val="26"/>
          <w:szCs w:val="26"/>
        </w:rPr>
      </w:pPr>
      <w:r w:rsidRPr="005213DE">
        <w:rPr>
          <w:rFonts w:ascii="Times New Roman" w:hAnsi="Times New Roman" w:cs="Times New Roman"/>
          <w:sz w:val="26"/>
          <w:szCs w:val="26"/>
        </w:rPr>
        <w:t xml:space="preserve">The legislative history of the inspection provisions in </w:t>
      </w:r>
      <w:r w:rsidRPr="005213DE">
        <w:rPr>
          <w:rFonts w:ascii="Times New Roman" w:hAnsi="Times New Roman" w:cs="Times New Roman"/>
          <w:color w:val="212121"/>
          <w:sz w:val="26"/>
          <w:szCs w:val="26"/>
        </w:rPr>
        <w:t xml:space="preserve">Minn. Stat. § 504B.178 and Minn. Stat. § 504B.182, </w:t>
      </w:r>
      <w:hyperlink r:id="rId18" w:anchor="laws.19.85.0" w:tgtFrame="_blank" w:history="1">
        <w:r w:rsidRPr="005213DE">
          <w:rPr>
            <w:rStyle w:val="Hyperlink"/>
            <w:rFonts w:ascii="Times New Roman" w:hAnsi="Times New Roman" w:cs="Times New Roman"/>
            <w:sz w:val="26"/>
            <w:szCs w:val="26"/>
          </w:rPr>
          <w:t>2023 Minn. Laws c 52 art 19 s 85-86</w:t>
        </w:r>
      </w:hyperlink>
      <w:r w:rsidRPr="005213DE">
        <w:rPr>
          <w:rFonts w:ascii="Times New Roman" w:hAnsi="Times New Roman" w:cs="Times New Roman"/>
          <w:sz w:val="26"/>
          <w:szCs w:val="26"/>
        </w:rPr>
        <w:t xml:space="preserve">, sheds a tiny bit of light on the issue. </w:t>
      </w:r>
    </w:p>
    <w:p w14:paraId="081C9E5E" w14:textId="77777777" w:rsidR="00AE304A" w:rsidRPr="005213DE" w:rsidRDefault="00AE304A" w:rsidP="0084039D">
      <w:pPr>
        <w:rPr>
          <w:rFonts w:ascii="Times New Roman" w:hAnsi="Times New Roman" w:cs="Times New Roman"/>
          <w:sz w:val="26"/>
          <w:szCs w:val="26"/>
        </w:rPr>
      </w:pPr>
      <w:r w:rsidRPr="005213DE">
        <w:rPr>
          <w:rFonts w:ascii="Times New Roman" w:hAnsi="Times New Roman" w:cs="Times New Roman"/>
          <w:sz w:val="26"/>
          <w:szCs w:val="26"/>
        </w:rPr>
        <w:t xml:space="preserve">Sections 85 and 86 </w:t>
      </w:r>
      <w:r w:rsidR="0084039D" w:rsidRPr="005213DE">
        <w:rPr>
          <w:rFonts w:ascii="Times New Roman" w:hAnsi="Times New Roman" w:cs="Times New Roman"/>
          <w:sz w:val="26"/>
          <w:szCs w:val="26"/>
        </w:rPr>
        <w:t xml:space="preserve">were part of a </w:t>
      </w:r>
      <w:r w:rsidR="0084039D" w:rsidRPr="003B75C5">
        <w:rPr>
          <w:rFonts w:ascii="Times New Roman" w:hAnsi="Times New Roman" w:cs="Times New Roman"/>
          <w:sz w:val="26"/>
          <w:szCs w:val="26"/>
          <w:u w:val="single"/>
        </w:rPr>
        <w:t>very</w:t>
      </w:r>
      <w:r w:rsidR="0084039D" w:rsidRPr="005213DE">
        <w:rPr>
          <w:rFonts w:ascii="Times New Roman" w:hAnsi="Times New Roman" w:cs="Times New Roman"/>
          <w:sz w:val="26"/>
          <w:szCs w:val="26"/>
        </w:rPr>
        <w:t xml:space="preserve"> huge judiciary omnibus bill, SF 2909. Parts F-J of Article 19 of that bill, a total of 38 sections, incorporated similar</w:t>
      </w:r>
      <w:r w:rsidRPr="005213DE">
        <w:rPr>
          <w:rFonts w:ascii="Times New Roman" w:hAnsi="Times New Roman" w:cs="Times New Roman"/>
          <w:sz w:val="26"/>
          <w:szCs w:val="26"/>
        </w:rPr>
        <w:t>,</w:t>
      </w:r>
      <w:r w:rsidR="0084039D" w:rsidRPr="005213DE">
        <w:rPr>
          <w:rFonts w:ascii="Times New Roman" w:hAnsi="Times New Roman" w:cs="Times New Roman"/>
          <w:sz w:val="26"/>
          <w:szCs w:val="26"/>
        </w:rPr>
        <w:t xml:space="preserve"> but not identical</w:t>
      </w:r>
      <w:r w:rsidRPr="005213DE">
        <w:rPr>
          <w:rFonts w:ascii="Times New Roman" w:hAnsi="Times New Roman" w:cs="Times New Roman"/>
          <w:sz w:val="26"/>
          <w:szCs w:val="26"/>
        </w:rPr>
        <w:t>,</w:t>
      </w:r>
      <w:r w:rsidR="0084039D" w:rsidRPr="005213DE">
        <w:rPr>
          <w:rFonts w:ascii="Times New Roman" w:hAnsi="Times New Roman" w:cs="Times New Roman"/>
          <w:sz w:val="26"/>
          <w:szCs w:val="26"/>
        </w:rPr>
        <w:t xml:space="preserve"> huge</w:t>
      </w:r>
      <w:r w:rsidRPr="005213DE">
        <w:rPr>
          <w:rStyle w:val="FootnoteReference"/>
          <w:rFonts w:ascii="Times New Roman" w:hAnsi="Times New Roman" w:cs="Times New Roman"/>
          <w:sz w:val="26"/>
          <w:szCs w:val="26"/>
        </w:rPr>
        <w:footnoteReference w:id="11"/>
      </w:r>
      <w:r w:rsidR="0084039D" w:rsidRPr="005213DE">
        <w:rPr>
          <w:rFonts w:ascii="Times New Roman" w:hAnsi="Times New Roman" w:cs="Times New Roman"/>
          <w:sz w:val="26"/>
          <w:szCs w:val="26"/>
        </w:rPr>
        <w:t xml:space="preserve"> omnibus housing bills, SF 1298 and HF 917. In turn, those omnibus housing bills incorporated smaller housing bills, including two bills that </w:t>
      </w:r>
      <w:r w:rsidRPr="005213DE">
        <w:rPr>
          <w:rFonts w:ascii="Times New Roman" w:hAnsi="Times New Roman" w:cs="Times New Roman"/>
          <w:sz w:val="26"/>
          <w:szCs w:val="26"/>
        </w:rPr>
        <w:t>contained</w:t>
      </w:r>
      <w:r w:rsidR="0084039D" w:rsidRPr="005213DE">
        <w:rPr>
          <w:rFonts w:ascii="Times New Roman" w:hAnsi="Times New Roman" w:cs="Times New Roman"/>
          <w:sz w:val="26"/>
          <w:szCs w:val="26"/>
        </w:rPr>
        <w:t xml:space="preserve"> the security-deposit language, SF 1091 and HF 2279. </w:t>
      </w:r>
    </w:p>
    <w:p w14:paraId="3536E4D3" w14:textId="50130EE9" w:rsidR="0084039D" w:rsidRPr="005213DE" w:rsidRDefault="0084039D" w:rsidP="0084039D">
      <w:pPr>
        <w:rPr>
          <w:rFonts w:ascii="Times New Roman" w:hAnsi="Times New Roman" w:cs="Times New Roman"/>
          <w:sz w:val="26"/>
          <w:szCs w:val="26"/>
        </w:rPr>
      </w:pPr>
      <w:r w:rsidRPr="005213DE">
        <w:rPr>
          <w:rFonts w:ascii="Times New Roman" w:hAnsi="Times New Roman" w:cs="Times New Roman"/>
          <w:sz w:val="26"/>
          <w:szCs w:val="26"/>
        </w:rPr>
        <w:t xml:space="preserve">The written legislative history of these bills is available at </w:t>
      </w:r>
      <w:hyperlink r:id="rId19" w:history="1">
        <w:r w:rsidRPr="005213DE">
          <w:rPr>
            <w:rStyle w:val="Hyperlink"/>
            <w:rFonts w:ascii="Times New Roman" w:hAnsi="Times New Roman" w:cs="Times New Roman"/>
            <w:sz w:val="26"/>
            <w:szCs w:val="26"/>
          </w:rPr>
          <w:t>https://www.leg.mn.gov/leg/legis</w:t>
        </w:r>
      </w:hyperlink>
      <w:r w:rsidR="00CE6B20">
        <w:rPr>
          <w:rFonts w:ascii="Times New Roman" w:hAnsi="Times New Roman" w:cs="Times New Roman"/>
          <w:sz w:val="26"/>
          <w:szCs w:val="26"/>
        </w:rPr>
        <w:t xml:space="preserve"> </w:t>
      </w:r>
      <w:r w:rsidR="003B75C5">
        <w:rPr>
          <w:rFonts w:ascii="Times New Roman" w:hAnsi="Times New Roman" w:cs="Times New Roman"/>
          <w:sz w:val="26"/>
          <w:szCs w:val="26"/>
        </w:rPr>
        <w:t xml:space="preserve">. This webpage </w:t>
      </w:r>
      <w:r w:rsidR="00CE6B20">
        <w:rPr>
          <w:rFonts w:ascii="Times New Roman" w:hAnsi="Times New Roman" w:cs="Times New Roman"/>
          <w:sz w:val="26"/>
          <w:szCs w:val="26"/>
        </w:rPr>
        <w:t xml:space="preserve">has links to relevant documents. </w:t>
      </w:r>
      <w:r w:rsidR="003B75C5">
        <w:rPr>
          <w:rFonts w:ascii="Times New Roman" w:hAnsi="Times New Roman" w:cs="Times New Roman"/>
          <w:sz w:val="26"/>
          <w:szCs w:val="26"/>
        </w:rPr>
        <w:t>Using</w:t>
      </w:r>
      <w:r w:rsidRPr="005213DE">
        <w:rPr>
          <w:rFonts w:ascii="Times New Roman" w:hAnsi="Times New Roman" w:cs="Times New Roman"/>
          <w:sz w:val="26"/>
          <w:szCs w:val="26"/>
        </w:rPr>
        <w:t xml:space="preserve"> those links, recordings of hearings and floor debates can be</w:t>
      </w:r>
      <w:r w:rsidR="003B75C5">
        <w:rPr>
          <w:rFonts w:ascii="Times New Roman" w:hAnsi="Times New Roman" w:cs="Times New Roman"/>
          <w:sz w:val="26"/>
          <w:szCs w:val="26"/>
        </w:rPr>
        <w:t xml:space="preserve"> identified and in turn</w:t>
      </w:r>
      <w:r w:rsidRPr="005213DE">
        <w:rPr>
          <w:rFonts w:ascii="Times New Roman" w:hAnsi="Times New Roman" w:cs="Times New Roman"/>
          <w:sz w:val="26"/>
          <w:szCs w:val="26"/>
        </w:rPr>
        <w:t xml:space="preserve"> accessed at </w:t>
      </w:r>
      <w:hyperlink r:id="rId20" w:history="1">
        <w:r w:rsidRPr="005213DE">
          <w:rPr>
            <w:rStyle w:val="Hyperlink"/>
            <w:rFonts w:ascii="Times New Roman" w:hAnsi="Times New Roman" w:cs="Times New Roman"/>
            <w:sz w:val="26"/>
            <w:szCs w:val="26"/>
          </w:rPr>
          <w:t>https://www.house.mn.gov/audio/default.asp</w:t>
        </w:r>
      </w:hyperlink>
      <w:r w:rsidRPr="005213DE">
        <w:rPr>
          <w:rFonts w:ascii="Times New Roman" w:hAnsi="Times New Roman" w:cs="Times New Roman"/>
          <w:sz w:val="26"/>
          <w:szCs w:val="26"/>
        </w:rPr>
        <w:t xml:space="preserve"> .</w:t>
      </w:r>
      <w:r w:rsidR="00CE6B20">
        <w:rPr>
          <w:rFonts w:ascii="Times New Roman" w:hAnsi="Times New Roman" w:cs="Times New Roman"/>
          <w:sz w:val="26"/>
          <w:szCs w:val="26"/>
        </w:rPr>
        <w:t xml:space="preserve"> </w:t>
      </w:r>
      <w:r w:rsidRPr="005213DE">
        <w:rPr>
          <w:rFonts w:ascii="Times New Roman" w:hAnsi="Times New Roman" w:cs="Times New Roman"/>
          <w:sz w:val="26"/>
          <w:szCs w:val="26"/>
        </w:rPr>
        <w:t xml:space="preserve">I read that written history and I listened to recordings of relevant floor debates and </w:t>
      </w:r>
      <w:r w:rsidR="00AE304A" w:rsidRPr="005213DE">
        <w:rPr>
          <w:rFonts w:ascii="Times New Roman" w:hAnsi="Times New Roman" w:cs="Times New Roman"/>
          <w:sz w:val="26"/>
          <w:szCs w:val="26"/>
        </w:rPr>
        <w:t xml:space="preserve">of relevant </w:t>
      </w:r>
      <w:r w:rsidRPr="005213DE">
        <w:rPr>
          <w:rFonts w:ascii="Times New Roman" w:hAnsi="Times New Roman" w:cs="Times New Roman"/>
          <w:sz w:val="26"/>
          <w:szCs w:val="26"/>
        </w:rPr>
        <w:t>committee hearings.</w:t>
      </w:r>
      <w:r w:rsidR="00CE6B20">
        <w:rPr>
          <w:rStyle w:val="FootnoteReference"/>
          <w:rFonts w:ascii="Times New Roman" w:hAnsi="Times New Roman" w:cs="Times New Roman"/>
          <w:sz w:val="26"/>
          <w:szCs w:val="26"/>
        </w:rPr>
        <w:footnoteReference w:id="12"/>
      </w:r>
    </w:p>
    <w:p w14:paraId="15F540E1" w14:textId="5277599C" w:rsidR="0084039D" w:rsidRPr="005213DE" w:rsidRDefault="0084039D" w:rsidP="0084039D">
      <w:pPr>
        <w:rPr>
          <w:rFonts w:ascii="Times New Roman" w:hAnsi="Times New Roman" w:cs="Times New Roman"/>
          <w:sz w:val="26"/>
          <w:szCs w:val="26"/>
        </w:rPr>
      </w:pPr>
      <w:r w:rsidRPr="005213DE">
        <w:rPr>
          <w:rFonts w:ascii="Times New Roman" w:hAnsi="Times New Roman" w:cs="Times New Roman"/>
          <w:sz w:val="26"/>
          <w:szCs w:val="26"/>
        </w:rPr>
        <w:t xml:space="preserve">The security-deposit language in the original bills as introduced, SF 1091 and HF 2279, was left unchanged in </w:t>
      </w:r>
      <w:r w:rsidR="00AE304A" w:rsidRPr="005213DE">
        <w:rPr>
          <w:rFonts w:ascii="Times New Roman" w:hAnsi="Times New Roman" w:cs="Times New Roman"/>
          <w:sz w:val="26"/>
          <w:szCs w:val="26"/>
        </w:rPr>
        <w:t xml:space="preserve">all </w:t>
      </w:r>
      <w:r w:rsidRPr="005213DE">
        <w:rPr>
          <w:rFonts w:ascii="Times New Roman" w:hAnsi="Times New Roman" w:cs="Times New Roman"/>
          <w:sz w:val="26"/>
          <w:szCs w:val="26"/>
        </w:rPr>
        <w:t xml:space="preserve">the omnibus bills. The only meaningful testimony on security-deposit language was during the hearings on these bills, and even </w:t>
      </w:r>
      <w:proofErr w:type="gramStart"/>
      <w:r w:rsidRPr="005213DE">
        <w:rPr>
          <w:rFonts w:ascii="Times New Roman" w:hAnsi="Times New Roman" w:cs="Times New Roman"/>
          <w:sz w:val="26"/>
          <w:szCs w:val="26"/>
        </w:rPr>
        <w:t>then</w:t>
      </w:r>
      <w:proofErr w:type="gramEnd"/>
      <w:r w:rsidRPr="005213DE">
        <w:rPr>
          <w:rFonts w:ascii="Times New Roman" w:hAnsi="Times New Roman" w:cs="Times New Roman"/>
          <w:sz w:val="26"/>
          <w:szCs w:val="26"/>
        </w:rPr>
        <w:t xml:space="preserve"> the testimony was brief and did not touch on the damage provisions that became 2023 Minn. Laws c 52 art 19 s 85. Nothing was said on the floor about either 2023 Minn. Laws c 52 art 19 s 85 or 2023 Minn. Laws c 52 art 19 s 86</w:t>
      </w:r>
      <w:r w:rsidR="00AE304A" w:rsidRPr="005213DE">
        <w:rPr>
          <w:rFonts w:ascii="Times New Roman" w:hAnsi="Times New Roman" w:cs="Times New Roman"/>
          <w:sz w:val="26"/>
          <w:szCs w:val="26"/>
        </w:rPr>
        <w:t>.</w:t>
      </w:r>
    </w:p>
    <w:p w14:paraId="7CC6C37D" w14:textId="60AB62B3" w:rsidR="0084039D" w:rsidRPr="005213DE" w:rsidRDefault="003B75C5" w:rsidP="0084039D">
      <w:pPr>
        <w:rPr>
          <w:rFonts w:ascii="Times New Roman" w:hAnsi="Times New Roman" w:cs="Times New Roman"/>
          <w:sz w:val="26"/>
          <w:szCs w:val="26"/>
        </w:rPr>
      </w:pPr>
      <w:r>
        <w:rPr>
          <w:rFonts w:ascii="Times New Roman" w:hAnsi="Times New Roman" w:cs="Times New Roman"/>
          <w:sz w:val="26"/>
          <w:szCs w:val="26"/>
        </w:rPr>
        <w:t xml:space="preserve">A </w:t>
      </w:r>
      <w:r w:rsidRPr="005213DE">
        <w:rPr>
          <w:rFonts w:ascii="Times New Roman" w:hAnsi="Times New Roman" w:cs="Times New Roman"/>
          <w:sz w:val="26"/>
          <w:szCs w:val="26"/>
        </w:rPr>
        <w:t xml:space="preserve">summary </w:t>
      </w:r>
      <w:r>
        <w:rPr>
          <w:rFonts w:ascii="Times New Roman" w:hAnsi="Times New Roman" w:cs="Times New Roman"/>
          <w:sz w:val="26"/>
          <w:szCs w:val="26"/>
        </w:rPr>
        <w:t xml:space="preserve">by </w:t>
      </w:r>
      <w:r w:rsidR="0084039D" w:rsidRPr="005213DE">
        <w:rPr>
          <w:rFonts w:ascii="Times New Roman" w:hAnsi="Times New Roman" w:cs="Times New Roman"/>
          <w:sz w:val="26"/>
          <w:szCs w:val="26"/>
        </w:rPr>
        <w:t xml:space="preserve">committee staff made available. A copy </w:t>
      </w:r>
      <w:r w:rsidR="00F0503C">
        <w:rPr>
          <w:rFonts w:ascii="Times New Roman" w:hAnsi="Times New Roman" w:cs="Times New Roman"/>
          <w:sz w:val="26"/>
          <w:szCs w:val="26"/>
        </w:rPr>
        <w:t xml:space="preserve">was </w:t>
      </w:r>
      <w:r w:rsidR="0084039D" w:rsidRPr="005213DE">
        <w:rPr>
          <w:rFonts w:ascii="Times New Roman" w:hAnsi="Times New Roman" w:cs="Times New Roman"/>
          <w:sz w:val="26"/>
          <w:szCs w:val="26"/>
        </w:rPr>
        <w:t>provided in the Judiciary Committee’s hearing on HF 917</w:t>
      </w:r>
      <w:r w:rsidR="00F0503C">
        <w:rPr>
          <w:rStyle w:val="FootnoteReference"/>
          <w:rFonts w:ascii="Times New Roman" w:hAnsi="Times New Roman" w:cs="Times New Roman"/>
          <w:sz w:val="26"/>
          <w:szCs w:val="26"/>
        </w:rPr>
        <w:footnoteReference w:id="13"/>
      </w:r>
      <w:r w:rsidR="00F0503C">
        <w:rPr>
          <w:rFonts w:ascii="Times New Roman" w:hAnsi="Times New Roman" w:cs="Times New Roman"/>
          <w:sz w:val="26"/>
          <w:szCs w:val="26"/>
        </w:rPr>
        <w:t>.</w:t>
      </w:r>
      <w:r w:rsidR="0084039D" w:rsidRPr="005213DE">
        <w:rPr>
          <w:rFonts w:ascii="Times New Roman" w:hAnsi="Times New Roman" w:cs="Times New Roman"/>
          <w:sz w:val="26"/>
          <w:szCs w:val="26"/>
        </w:rPr>
        <w:t xml:space="preserve"> </w:t>
      </w:r>
      <w:r w:rsidR="00505425" w:rsidRPr="005213DE">
        <w:rPr>
          <w:rFonts w:ascii="Times New Roman" w:hAnsi="Times New Roman" w:cs="Times New Roman"/>
          <w:sz w:val="26"/>
          <w:szCs w:val="26"/>
        </w:rPr>
        <w:t>Here</w:t>
      </w:r>
      <w:r w:rsidR="0084039D" w:rsidRPr="005213DE">
        <w:rPr>
          <w:rFonts w:ascii="Times New Roman" w:hAnsi="Times New Roman" w:cs="Times New Roman"/>
          <w:sz w:val="26"/>
          <w:szCs w:val="26"/>
        </w:rPr>
        <w:t xml:space="preserve"> is the portion of the summary about the security-deposit language: </w:t>
      </w:r>
    </w:p>
    <w:p w14:paraId="704684C0" w14:textId="77777777" w:rsidR="0084039D" w:rsidRPr="005213DE" w:rsidRDefault="0084039D" w:rsidP="0084039D">
      <w:pPr>
        <w:ind w:left="720"/>
        <w:rPr>
          <w:rFonts w:ascii="Times New Roman" w:hAnsi="Times New Roman" w:cs="Times New Roman"/>
          <w:b/>
          <w:bCs/>
          <w:sz w:val="26"/>
          <w:szCs w:val="26"/>
        </w:rPr>
      </w:pPr>
      <w:r w:rsidRPr="005213DE">
        <w:rPr>
          <w:rFonts w:ascii="Times New Roman" w:hAnsi="Times New Roman" w:cs="Times New Roman"/>
          <w:b/>
          <w:bCs/>
          <w:sz w:val="26"/>
          <w:szCs w:val="26"/>
        </w:rPr>
        <w:t xml:space="preserve">7. Damages. </w:t>
      </w:r>
    </w:p>
    <w:p w14:paraId="5C5F9AC8" w14:textId="77777777" w:rsidR="0084039D" w:rsidRPr="005213DE" w:rsidRDefault="0084039D" w:rsidP="0084039D">
      <w:pPr>
        <w:ind w:left="720"/>
        <w:rPr>
          <w:rFonts w:ascii="Times New Roman" w:hAnsi="Times New Roman" w:cs="Times New Roman"/>
          <w:sz w:val="26"/>
          <w:szCs w:val="26"/>
        </w:rPr>
      </w:pPr>
      <w:r w:rsidRPr="005213DE">
        <w:rPr>
          <w:rFonts w:ascii="Times New Roman" w:hAnsi="Times New Roman" w:cs="Times New Roman"/>
          <w:sz w:val="26"/>
          <w:szCs w:val="26"/>
        </w:rPr>
        <w:t xml:space="preserve">Provides that along with other provisions related to the </w:t>
      </w:r>
      <w:r w:rsidRPr="003B75C5">
        <w:rPr>
          <w:rFonts w:ascii="Times New Roman" w:hAnsi="Times New Roman" w:cs="Times New Roman"/>
          <w:sz w:val="26"/>
          <w:szCs w:val="26"/>
          <w:u w:val="single"/>
        </w:rPr>
        <w:t>return</w:t>
      </w:r>
      <w:r w:rsidRPr="005213DE">
        <w:rPr>
          <w:rFonts w:ascii="Times New Roman" w:hAnsi="Times New Roman" w:cs="Times New Roman"/>
          <w:sz w:val="26"/>
          <w:szCs w:val="26"/>
        </w:rPr>
        <w:t xml:space="preserve"> of a damage deposit on a residential rental unit, the landlord can be liable for monetary damages to a tenant if they do not do an initial or final inspection as required in section 3. </w:t>
      </w:r>
    </w:p>
    <w:p w14:paraId="5AC1CD30" w14:textId="77777777" w:rsidR="0084039D" w:rsidRPr="005213DE" w:rsidRDefault="0084039D" w:rsidP="0084039D">
      <w:pPr>
        <w:ind w:left="720"/>
        <w:rPr>
          <w:rFonts w:ascii="Times New Roman" w:hAnsi="Times New Roman" w:cs="Times New Roman"/>
          <w:b/>
          <w:bCs/>
          <w:sz w:val="26"/>
          <w:szCs w:val="26"/>
        </w:rPr>
      </w:pPr>
      <w:r w:rsidRPr="005213DE">
        <w:rPr>
          <w:rFonts w:ascii="Times New Roman" w:hAnsi="Times New Roman" w:cs="Times New Roman"/>
          <w:b/>
          <w:bCs/>
          <w:sz w:val="26"/>
          <w:szCs w:val="26"/>
        </w:rPr>
        <w:lastRenderedPageBreak/>
        <w:t xml:space="preserve">8. Initial and final inspection required. </w:t>
      </w:r>
    </w:p>
    <w:p w14:paraId="57E97ECE" w14:textId="77777777" w:rsidR="0084039D" w:rsidRPr="005213DE" w:rsidRDefault="0084039D" w:rsidP="0084039D">
      <w:pPr>
        <w:ind w:left="1440"/>
        <w:rPr>
          <w:rFonts w:ascii="Times New Roman" w:hAnsi="Times New Roman" w:cs="Times New Roman"/>
          <w:sz w:val="26"/>
          <w:szCs w:val="26"/>
        </w:rPr>
      </w:pPr>
      <w:r w:rsidRPr="005213DE">
        <w:rPr>
          <w:rFonts w:ascii="Times New Roman" w:hAnsi="Times New Roman" w:cs="Times New Roman"/>
          <w:b/>
          <w:bCs/>
          <w:sz w:val="26"/>
          <w:szCs w:val="26"/>
        </w:rPr>
        <w:t>Subd. 1. Initial inspection.</w:t>
      </w:r>
      <w:r w:rsidRPr="005213DE">
        <w:rPr>
          <w:rFonts w:ascii="Times New Roman" w:hAnsi="Times New Roman" w:cs="Times New Roman"/>
          <w:sz w:val="26"/>
          <w:szCs w:val="26"/>
        </w:rPr>
        <w:t xml:space="preserve"> Requires a landlord to offer an initial inspection of the unit to identify deficiencies or clarify the state of the unit related to the damage deposit. </w:t>
      </w:r>
    </w:p>
    <w:p w14:paraId="33B292E8" w14:textId="77777777" w:rsidR="0084039D" w:rsidRPr="005213DE" w:rsidRDefault="0084039D" w:rsidP="0084039D">
      <w:pPr>
        <w:ind w:left="1440"/>
        <w:rPr>
          <w:rFonts w:ascii="Times New Roman" w:hAnsi="Times New Roman" w:cs="Times New Roman"/>
          <w:sz w:val="26"/>
          <w:szCs w:val="26"/>
        </w:rPr>
      </w:pPr>
      <w:r w:rsidRPr="005213DE">
        <w:rPr>
          <w:rFonts w:ascii="Times New Roman" w:hAnsi="Times New Roman" w:cs="Times New Roman"/>
          <w:b/>
          <w:bCs/>
          <w:sz w:val="26"/>
          <w:szCs w:val="26"/>
        </w:rPr>
        <w:t>Subd. 2. Move-out inspection.</w:t>
      </w:r>
      <w:r w:rsidRPr="005213DE">
        <w:rPr>
          <w:rFonts w:ascii="Times New Roman" w:hAnsi="Times New Roman" w:cs="Times New Roman"/>
          <w:sz w:val="26"/>
          <w:szCs w:val="26"/>
        </w:rPr>
        <w:t xml:space="preserve"> Before either the tenant or landlord ends the tenancy, the landlord shall give the tenant a written notice about the right to do a walk-through inspection of the unit within five days of the tenant moving out to allow the tenant a chance to remedy any deficiencies or avoid having money taken out of the deposit. </w:t>
      </w:r>
    </w:p>
    <w:p w14:paraId="64BAA199" w14:textId="77777777" w:rsidR="0084039D" w:rsidRPr="005213DE" w:rsidRDefault="0084039D" w:rsidP="0084039D">
      <w:pPr>
        <w:ind w:left="1440"/>
        <w:rPr>
          <w:rFonts w:ascii="Times New Roman" w:hAnsi="Times New Roman" w:cs="Times New Roman"/>
          <w:sz w:val="26"/>
          <w:szCs w:val="26"/>
        </w:rPr>
      </w:pPr>
      <w:r w:rsidRPr="005213DE">
        <w:rPr>
          <w:rFonts w:ascii="Times New Roman" w:hAnsi="Times New Roman" w:cs="Times New Roman"/>
          <w:b/>
          <w:bCs/>
          <w:sz w:val="26"/>
          <w:szCs w:val="26"/>
        </w:rPr>
        <w:t>Subd. 3. Other requirements under the law.</w:t>
      </w:r>
      <w:r w:rsidRPr="005213DE">
        <w:rPr>
          <w:rFonts w:ascii="Times New Roman" w:hAnsi="Times New Roman" w:cs="Times New Roman"/>
          <w:sz w:val="26"/>
          <w:szCs w:val="26"/>
        </w:rPr>
        <w:t xml:space="preserve"> Explains that this section on inspections does not change any other rights or obligations under Chapter 504B for landlords and tenants. </w:t>
      </w:r>
    </w:p>
    <w:p w14:paraId="66D66A2F" w14:textId="0793FFBD" w:rsidR="0084039D" w:rsidRPr="005213DE" w:rsidRDefault="0084039D" w:rsidP="0084039D">
      <w:pPr>
        <w:ind w:left="1440"/>
        <w:rPr>
          <w:rFonts w:ascii="Times New Roman" w:hAnsi="Times New Roman" w:cs="Times New Roman"/>
          <w:sz w:val="26"/>
          <w:szCs w:val="26"/>
        </w:rPr>
      </w:pPr>
      <w:r w:rsidRPr="005213DE">
        <w:rPr>
          <w:rFonts w:ascii="Times New Roman" w:hAnsi="Times New Roman" w:cs="Times New Roman"/>
          <w:b/>
          <w:bCs/>
          <w:sz w:val="26"/>
          <w:szCs w:val="26"/>
        </w:rPr>
        <w:t>Subd. 4. Waiver.</w:t>
      </w:r>
      <w:r w:rsidRPr="005213DE">
        <w:rPr>
          <w:rFonts w:ascii="Times New Roman" w:hAnsi="Times New Roman" w:cs="Times New Roman"/>
          <w:sz w:val="26"/>
          <w:szCs w:val="26"/>
        </w:rPr>
        <w:t xml:space="preserve"> Prohibits attempts to waive the inspection requirements in this section.</w:t>
      </w:r>
    </w:p>
    <w:p w14:paraId="4AB473BA" w14:textId="3CDA1F32" w:rsidR="0084039D" w:rsidRPr="005213DE" w:rsidRDefault="00C175A2" w:rsidP="0084039D">
      <w:pPr>
        <w:rPr>
          <w:rFonts w:ascii="Times New Roman" w:hAnsi="Times New Roman" w:cs="Times New Roman"/>
          <w:sz w:val="26"/>
          <w:szCs w:val="26"/>
        </w:rPr>
      </w:pPr>
      <w:r w:rsidRPr="005213DE">
        <w:rPr>
          <w:rFonts w:ascii="Times New Roman" w:hAnsi="Times New Roman" w:cs="Times New Roman"/>
          <w:sz w:val="26"/>
          <w:szCs w:val="26"/>
        </w:rPr>
        <w:t>(</w:t>
      </w:r>
      <w:r>
        <w:rPr>
          <w:rFonts w:ascii="Times New Roman" w:hAnsi="Times New Roman" w:cs="Times New Roman"/>
          <w:sz w:val="26"/>
          <w:szCs w:val="26"/>
        </w:rPr>
        <w:t xml:space="preserve">bold </w:t>
      </w:r>
      <w:r w:rsidRPr="005213DE">
        <w:rPr>
          <w:rFonts w:ascii="Times New Roman" w:hAnsi="Times New Roman" w:cs="Times New Roman"/>
          <w:sz w:val="26"/>
          <w:szCs w:val="26"/>
        </w:rPr>
        <w:t>emphasis in original</w:t>
      </w:r>
      <w:r>
        <w:rPr>
          <w:rFonts w:ascii="Times New Roman" w:hAnsi="Times New Roman" w:cs="Times New Roman"/>
          <w:sz w:val="26"/>
          <w:szCs w:val="26"/>
        </w:rPr>
        <w:t xml:space="preserve">, underline </w:t>
      </w:r>
      <w:r w:rsidRPr="005213DE">
        <w:rPr>
          <w:rFonts w:ascii="Times New Roman" w:hAnsi="Times New Roman" w:cs="Times New Roman"/>
          <w:sz w:val="26"/>
          <w:szCs w:val="26"/>
        </w:rPr>
        <w:t xml:space="preserve">emphasis </w:t>
      </w:r>
      <w:r>
        <w:rPr>
          <w:rFonts w:ascii="Times New Roman" w:hAnsi="Times New Roman" w:cs="Times New Roman"/>
          <w:sz w:val="26"/>
          <w:szCs w:val="26"/>
        </w:rPr>
        <w:t>added</w:t>
      </w:r>
      <w:r w:rsidRPr="005213DE">
        <w:rPr>
          <w:rFonts w:ascii="Times New Roman" w:hAnsi="Times New Roman" w:cs="Times New Roman"/>
          <w:sz w:val="26"/>
          <w:szCs w:val="26"/>
        </w:rPr>
        <w:t>)</w:t>
      </w:r>
      <w:r>
        <w:rPr>
          <w:rFonts w:ascii="Times New Roman" w:hAnsi="Times New Roman" w:cs="Times New Roman"/>
          <w:sz w:val="26"/>
          <w:szCs w:val="26"/>
        </w:rPr>
        <w:t>.</w:t>
      </w:r>
      <w:r w:rsidRPr="005213DE">
        <w:rPr>
          <w:rFonts w:ascii="Times New Roman" w:hAnsi="Times New Roman" w:cs="Times New Roman"/>
          <w:sz w:val="26"/>
          <w:szCs w:val="26"/>
        </w:rPr>
        <w:t xml:space="preserve"> </w:t>
      </w:r>
      <w:r w:rsidR="0084039D" w:rsidRPr="005213DE">
        <w:rPr>
          <w:rFonts w:ascii="Times New Roman" w:hAnsi="Times New Roman" w:cs="Times New Roman"/>
          <w:sz w:val="26"/>
          <w:szCs w:val="26"/>
        </w:rPr>
        <w:t>During the hearing in the House Committee on Housing staff counsel made an oral presentation that was nearly identical</w:t>
      </w:r>
      <w:r w:rsidR="00F0503C">
        <w:rPr>
          <w:rFonts w:ascii="Times New Roman" w:hAnsi="Times New Roman" w:cs="Times New Roman"/>
          <w:sz w:val="26"/>
          <w:szCs w:val="26"/>
        </w:rPr>
        <w:t xml:space="preserve">; </w:t>
      </w:r>
      <w:r w:rsidR="0084039D" w:rsidRPr="005213DE">
        <w:rPr>
          <w:rFonts w:ascii="Times New Roman" w:hAnsi="Times New Roman" w:cs="Times New Roman"/>
          <w:sz w:val="26"/>
          <w:szCs w:val="26"/>
        </w:rPr>
        <w:t xml:space="preserve">probably she was reading from </w:t>
      </w:r>
      <w:r w:rsidR="00F0503C">
        <w:rPr>
          <w:rFonts w:ascii="Times New Roman" w:hAnsi="Times New Roman" w:cs="Times New Roman"/>
          <w:sz w:val="26"/>
          <w:szCs w:val="26"/>
        </w:rPr>
        <w:t>the same summary</w:t>
      </w:r>
      <w:r w:rsidR="0084039D" w:rsidRPr="005213DE">
        <w:rPr>
          <w:rFonts w:ascii="Times New Roman" w:hAnsi="Times New Roman" w:cs="Times New Roman"/>
          <w:sz w:val="26"/>
          <w:szCs w:val="26"/>
        </w:rPr>
        <w:t>.</w:t>
      </w:r>
    </w:p>
    <w:p w14:paraId="07C87A92" w14:textId="3CCAA2AB" w:rsidR="003F5725" w:rsidRDefault="0084039D" w:rsidP="0084039D">
      <w:pPr>
        <w:rPr>
          <w:rFonts w:ascii="Times New Roman" w:hAnsi="Times New Roman" w:cs="Times New Roman"/>
          <w:sz w:val="26"/>
          <w:szCs w:val="26"/>
        </w:rPr>
      </w:pPr>
      <w:r w:rsidRPr="005213DE">
        <w:rPr>
          <w:rFonts w:ascii="Times New Roman" w:hAnsi="Times New Roman" w:cs="Times New Roman"/>
          <w:sz w:val="26"/>
          <w:szCs w:val="26"/>
        </w:rPr>
        <w:t>Th</w:t>
      </w:r>
      <w:r w:rsidR="003B75C5">
        <w:rPr>
          <w:rFonts w:ascii="Times New Roman" w:hAnsi="Times New Roman" w:cs="Times New Roman"/>
          <w:sz w:val="26"/>
          <w:szCs w:val="26"/>
        </w:rPr>
        <w:t xml:space="preserve">e summary’s </w:t>
      </w:r>
      <w:r w:rsidR="00AE304A" w:rsidRPr="005213DE">
        <w:rPr>
          <w:rFonts w:ascii="Times New Roman" w:hAnsi="Times New Roman" w:cs="Times New Roman"/>
          <w:sz w:val="26"/>
          <w:szCs w:val="26"/>
        </w:rPr>
        <w:t xml:space="preserve">use of the highlighted word “return” supports the </w:t>
      </w:r>
      <w:r w:rsidR="00AE304A" w:rsidRPr="005213DE">
        <w:rPr>
          <w:rFonts w:ascii="Times New Roman" w:hAnsi="Times New Roman" w:cs="Times New Roman"/>
          <w:color w:val="212121"/>
          <w:sz w:val="26"/>
          <w:szCs w:val="26"/>
        </w:rPr>
        <w:t xml:space="preserve">idea that a 504B.182 claim would arise no earlier than the end of the tenancy in a non-succession situation or after day 60 of a succession in interest occurs. That is the closest </w:t>
      </w:r>
      <w:r w:rsidRPr="005213DE">
        <w:rPr>
          <w:rFonts w:ascii="Times New Roman" w:hAnsi="Times New Roman" w:cs="Times New Roman"/>
          <w:sz w:val="26"/>
          <w:szCs w:val="26"/>
        </w:rPr>
        <w:t xml:space="preserve">the legislative history </w:t>
      </w:r>
      <w:r w:rsidR="00AE304A" w:rsidRPr="005213DE">
        <w:rPr>
          <w:rFonts w:ascii="Times New Roman" w:hAnsi="Times New Roman" w:cs="Times New Roman"/>
          <w:sz w:val="26"/>
          <w:szCs w:val="26"/>
        </w:rPr>
        <w:t>gets to the timing of a Type C lawsuit.</w:t>
      </w:r>
    </w:p>
    <w:p w14:paraId="78E86A30" w14:textId="5E168113" w:rsidR="005127F8" w:rsidRDefault="00537995" w:rsidP="00EE6626">
      <w:pPr>
        <w:rPr>
          <w:rFonts w:ascii="Times New Roman" w:hAnsi="Times New Roman" w:cs="Times New Roman"/>
          <w:b/>
          <w:bCs/>
          <w:caps/>
          <w:sz w:val="26"/>
          <w:szCs w:val="26"/>
        </w:rPr>
      </w:pPr>
      <w:r>
        <w:rPr>
          <w:rFonts w:ascii="Times New Roman" w:hAnsi="Times New Roman" w:cs="Times New Roman"/>
          <w:sz w:val="26"/>
          <w:szCs w:val="26"/>
        </w:rPr>
        <w:t xml:space="preserve">In conclusion, the 2023 legislative history </w:t>
      </w:r>
      <w:r w:rsidR="00EF6D22">
        <w:rPr>
          <w:rFonts w:ascii="Times New Roman" w:hAnsi="Times New Roman" w:cs="Times New Roman"/>
          <w:sz w:val="26"/>
          <w:szCs w:val="26"/>
        </w:rPr>
        <w:t xml:space="preserve">does not resolve </w:t>
      </w:r>
      <w:r>
        <w:rPr>
          <w:rFonts w:ascii="Times New Roman" w:hAnsi="Times New Roman" w:cs="Times New Roman"/>
          <w:sz w:val="26"/>
          <w:szCs w:val="26"/>
        </w:rPr>
        <w:t xml:space="preserve">the </w:t>
      </w:r>
      <w:r w:rsidR="00DE37CD">
        <w:rPr>
          <w:rFonts w:ascii="Times New Roman" w:hAnsi="Times New Roman" w:cs="Times New Roman"/>
          <w:sz w:val="26"/>
          <w:szCs w:val="26"/>
        </w:rPr>
        <w:t xml:space="preserve">statute’s </w:t>
      </w:r>
      <w:r>
        <w:rPr>
          <w:rFonts w:ascii="Times New Roman" w:hAnsi="Times New Roman" w:cs="Times New Roman"/>
          <w:sz w:val="26"/>
          <w:szCs w:val="26"/>
        </w:rPr>
        <w:t>ambiguity.</w:t>
      </w:r>
      <w:r w:rsidR="00C57B60">
        <w:rPr>
          <w:rFonts w:ascii="Times New Roman" w:hAnsi="Times New Roman" w:cs="Times New Roman"/>
          <w:sz w:val="26"/>
          <w:szCs w:val="26"/>
        </w:rPr>
        <w:t xml:space="preserve"> The tenant has to give her mailing address or delivery instructions</w:t>
      </w:r>
      <w:r w:rsidR="00192FFE">
        <w:rPr>
          <w:rFonts w:ascii="Times New Roman" w:hAnsi="Times New Roman" w:cs="Times New Roman"/>
          <w:sz w:val="26"/>
          <w:szCs w:val="26"/>
        </w:rPr>
        <w:t xml:space="preserve">. She probably has to wait until after the 60-day clock has run the tenancy has ended or </w:t>
      </w:r>
      <w:r w:rsidR="00C57B60">
        <w:rPr>
          <w:rFonts w:ascii="Times New Roman" w:hAnsi="Times New Roman" w:cs="Times New Roman"/>
          <w:sz w:val="26"/>
          <w:szCs w:val="26"/>
        </w:rPr>
        <w:t>but it is</w:t>
      </w:r>
      <w:r w:rsidR="00192FFE">
        <w:rPr>
          <w:rFonts w:ascii="Times New Roman" w:hAnsi="Times New Roman" w:cs="Times New Roman"/>
          <w:sz w:val="26"/>
          <w:szCs w:val="26"/>
        </w:rPr>
        <w:t xml:space="preserve"> somewhat</w:t>
      </w:r>
      <w:r w:rsidR="00C57B60">
        <w:rPr>
          <w:rFonts w:ascii="Times New Roman" w:hAnsi="Times New Roman" w:cs="Times New Roman"/>
          <w:sz w:val="26"/>
          <w:szCs w:val="26"/>
        </w:rPr>
        <w:t xml:space="preserve"> unclear when after that she can sue.</w:t>
      </w:r>
    </w:p>
    <w:p w14:paraId="6F98B5FB" w14:textId="3A94C8CE" w:rsidR="00EE6626" w:rsidRPr="00217115" w:rsidRDefault="00150823" w:rsidP="00EE6626">
      <w:pPr>
        <w:rPr>
          <w:rFonts w:ascii="Times New Roman" w:hAnsi="Times New Roman" w:cs="Times New Roman"/>
          <w:b/>
          <w:bCs/>
          <w:caps/>
          <w:sz w:val="26"/>
          <w:szCs w:val="26"/>
        </w:rPr>
      </w:pPr>
      <w:bookmarkStart w:id="11" w:name="_Hlk223187563"/>
      <w:r>
        <w:rPr>
          <w:rFonts w:ascii="Times New Roman" w:hAnsi="Times New Roman" w:cs="Times New Roman"/>
          <w:b/>
          <w:bCs/>
          <w:caps/>
          <w:sz w:val="26"/>
          <w:szCs w:val="26"/>
        </w:rPr>
        <w:t>i</w:t>
      </w:r>
      <w:r w:rsidR="00EE6626" w:rsidRPr="00217115">
        <w:rPr>
          <w:rFonts w:ascii="Times New Roman" w:hAnsi="Times New Roman" w:cs="Times New Roman"/>
          <w:b/>
          <w:bCs/>
          <w:caps/>
          <w:sz w:val="26"/>
          <w:szCs w:val="26"/>
        </w:rPr>
        <w:t>v</w:t>
      </w:r>
      <w:r>
        <w:rPr>
          <w:rFonts w:ascii="Times New Roman" w:hAnsi="Times New Roman" w:cs="Times New Roman"/>
          <w:b/>
          <w:bCs/>
          <w:caps/>
          <w:sz w:val="26"/>
          <w:szCs w:val="26"/>
        </w:rPr>
        <w:t>. ov</w:t>
      </w:r>
      <w:r w:rsidR="00EE6626" w:rsidRPr="00217115">
        <w:rPr>
          <w:rFonts w:ascii="Times New Roman" w:hAnsi="Times New Roman" w:cs="Times New Roman"/>
          <w:b/>
          <w:bCs/>
          <w:caps/>
          <w:sz w:val="26"/>
          <w:szCs w:val="26"/>
        </w:rPr>
        <w:t>erall conclusion</w:t>
      </w:r>
    </w:p>
    <w:bookmarkEnd w:id="11"/>
    <w:p w14:paraId="479F8B21" w14:textId="5D24A0CD" w:rsidR="00F53F1F" w:rsidRDefault="002316FA" w:rsidP="00F53F1F">
      <w:pPr>
        <w:rPr>
          <w:rFonts w:ascii="Times New Roman" w:hAnsi="Times New Roman" w:cs="Times New Roman"/>
          <w:sz w:val="26"/>
          <w:szCs w:val="26"/>
        </w:rPr>
      </w:pPr>
      <w:r>
        <w:rPr>
          <w:rFonts w:ascii="Times New Roman" w:hAnsi="Times New Roman" w:cs="Times New Roman"/>
          <w:sz w:val="26"/>
          <w:szCs w:val="26"/>
        </w:rPr>
        <w:t>T</w:t>
      </w:r>
      <w:r w:rsidR="00EE6626">
        <w:rPr>
          <w:rFonts w:ascii="Times New Roman" w:hAnsi="Times New Roman" w:cs="Times New Roman"/>
          <w:sz w:val="26"/>
          <w:szCs w:val="26"/>
        </w:rPr>
        <w:t xml:space="preserve">wo parts </w:t>
      </w:r>
      <w:r w:rsidR="00F53F1F" w:rsidRPr="005213DE">
        <w:rPr>
          <w:rFonts w:ascii="Times New Roman" w:hAnsi="Times New Roman" w:cs="Times New Roman"/>
          <w:sz w:val="26"/>
          <w:szCs w:val="26"/>
        </w:rPr>
        <w:t xml:space="preserve">of </w:t>
      </w:r>
      <w:r w:rsidR="00611745" w:rsidRPr="005213DE">
        <w:rPr>
          <w:rFonts w:ascii="Times New Roman" w:hAnsi="Times New Roman" w:cs="Times New Roman"/>
          <w:sz w:val="26"/>
          <w:szCs w:val="26"/>
        </w:rPr>
        <w:t>Minn. Stat. § 504B.1</w:t>
      </w:r>
      <w:r w:rsidR="00611745">
        <w:rPr>
          <w:rFonts w:ascii="Times New Roman" w:hAnsi="Times New Roman" w:cs="Times New Roman"/>
          <w:sz w:val="26"/>
          <w:szCs w:val="26"/>
        </w:rPr>
        <w:t xml:space="preserve">78, subd. 4 </w:t>
      </w:r>
      <w:r w:rsidR="0073252E">
        <w:rPr>
          <w:rFonts w:ascii="Times New Roman" w:hAnsi="Times New Roman" w:cs="Times New Roman"/>
          <w:sz w:val="26"/>
          <w:szCs w:val="26"/>
        </w:rPr>
        <w:t>--</w:t>
      </w:r>
      <w:r w:rsidR="00EE6626">
        <w:rPr>
          <w:rFonts w:ascii="Times New Roman" w:hAnsi="Times New Roman" w:cs="Times New Roman"/>
          <w:sz w:val="26"/>
          <w:szCs w:val="26"/>
        </w:rPr>
        <w:t xml:space="preserve"> [</w:t>
      </w:r>
      <w:proofErr w:type="spellStart"/>
      <w:r w:rsidR="00EE6626">
        <w:rPr>
          <w:rFonts w:ascii="Times New Roman" w:hAnsi="Times New Roman" w:cs="Times New Roman"/>
          <w:sz w:val="26"/>
          <w:szCs w:val="26"/>
        </w:rPr>
        <w:t>i</w:t>
      </w:r>
      <w:proofErr w:type="spellEnd"/>
      <w:r w:rsidR="00EE6626">
        <w:rPr>
          <w:rFonts w:ascii="Times New Roman" w:hAnsi="Times New Roman" w:cs="Times New Roman"/>
          <w:sz w:val="26"/>
          <w:szCs w:val="26"/>
        </w:rPr>
        <w:t>] the p</w:t>
      </w:r>
      <w:r w:rsidR="00F53F1F">
        <w:rPr>
          <w:rFonts w:ascii="Times New Roman" w:hAnsi="Times New Roman" w:cs="Times New Roman"/>
          <w:sz w:val="26"/>
          <w:szCs w:val="26"/>
        </w:rPr>
        <w:t xml:space="preserve">art governing the penalty for breach of </w:t>
      </w:r>
      <w:r w:rsidR="00F53F1F" w:rsidRPr="005213DE">
        <w:rPr>
          <w:rFonts w:ascii="Times New Roman" w:hAnsi="Times New Roman" w:cs="Times New Roman"/>
          <w:sz w:val="26"/>
          <w:szCs w:val="26"/>
        </w:rPr>
        <w:t>Minn. Stat. § 504B.1</w:t>
      </w:r>
      <w:r w:rsidR="00F53F1F">
        <w:rPr>
          <w:rFonts w:ascii="Times New Roman" w:hAnsi="Times New Roman" w:cs="Times New Roman"/>
          <w:sz w:val="26"/>
          <w:szCs w:val="26"/>
        </w:rPr>
        <w:t>78, subd. 5 (succession rules)</w:t>
      </w:r>
      <w:r w:rsidR="007410DD">
        <w:rPr>
          <w:rFonts w:ascii="Times New Roman" w:hAnsi="Times New Roman" w:cs="Times New Roman"/>
          <w:sz w:val="26"/>
          <w:szCs w:val="26"/>
        </w:rPr>
        <w:t>; and [ii] the part governing the penalty for breach of section 504B.182</w:t>
      </w:r>
      <w:r w:rsidR="0073252E">
        <w:rPr>
          <w:rFonts w:ascii="Times New Roman" w:hAnsi="Times New Roman" w:cs="Times New Roman"/>
          <w:sz w:val="26"/>
          <w:szCs w:val="26"/>
        </w:rPr>
        <w:t xml:space="preserve"> -- are ambiguous</w:t>
      </w:r>
      <w:r w:rsidR="00F53F1F" w:rsidRPr="005213DE">
        <w:rPr>
          <w:rFonts w:ascii="Times New Roman" w:hAnsi="Times New Roman" w:cs="Times New Roman"/>
          <w:sz w:val="26"/>
          <w:szCs w:val="26"/>
        </w:rPr>
        <w:t xml:space="preserve">. </w:t>
      </w:r>
      <w:r w:rsidR="00EE6626">
        <w:rPr>
          <w:rFonts w:ascii="Times New Roman" w:hAnsi="Times New Roman" w:cs="Times New Roman"/>
          <w:sz w:val="26"/>
          <w:szCs w:val="26"/>
        </w:rPr>
        <w:t>I</w:t>
      </w:r>
      <w:r w:rsidR="00611745">
        <w:rPr>
          <w:rFonts w:ascii="Times New Roman" w:hAnsi="Times New Roman" w:cs="Times New Roman"/>
          <w:sz w:val="26"/>
          <w:szCs w:val="26"/>
        </w:rPr>
        <w:t xml:space="preserve">t </w:t>
      </w:r>
      <w:r w:rsidR="00EE6626">
        <w:rPr>
          <w:rFonts w:ascii="Times New Roman" w:hAnsi="Times New Roman" w:cs="Times New Roman"/>
          <w:sz w:val="26"/>
          <w:szCs w:val="26"/>
        </w:rPr>
        <w:t>is unclear</w:t>
      </w:r>
      <w:r w:rsidR="00F53F1F">
        <w:rPr>
          <w:rFonts w:ascii="Times New Roman" w:hAnsi="Times New Roman" w:cs="Times New Roman"/>
          <w:sz w:val="26"/>
          <w:szCs w:val="26"/>
        </w:rPr>
        <w:t xml:space="preserve"> how soon after providing the defendant with her mailing address or delivery </w:t>
      </w:r>
      <w:r w:rsidR="00C66198">
        <w:rPr>
          <w:rFonts w:ascii="Times New Roman" w:hAnsi="Times New Roman" w:cs="Times New Roman"/>
          <w:sz w:val="26"/>
          <w:szCs w:val="26"/>
        </w:rPr>
        <w:t>instructions</w:t>
      </w:r>
      <w:r w:rsidR="00594D92">
        <w:rPr>
          <w:rFonts w:ascii="Times New Roman" w:hAnsi="Times New Roman" w:cs="Times New Roman"/>
          <w:sz w:val="26"/>
          <w:szCs w:val="26"/>
        </w:rPr>
        <w:t xml:space="preserve"> the tenant can start </w:t>
      </w:r>
      <w:r w:rsidR="00611745">
        <w:rPr>
          <w:rFonts w:ascii="Times New Roman" w:hAnsi="Times New Roman" w:cs="Times New Roman"/>
          <w:sz w:val="26"/>
          <w:szCs w:val="26"/>
        </w:rPr>
        <w:t>a</w:t>
      </w:r>
      <w:r w:rsidR="00594D92">
        <w:rPr>
          <w:rFonts w:ascii="Times New Roman" w:hAnsi="Times New Roman" w:cs="Times New Roman"/>
          <w:sz w:val="26"/>
          <w:szCs w:val="26"/>
        </w:rPr>
        <w:t xml:space="preserve"> lawsuit</w:t>
      </w:r>
      <w:r w:rsidR="00611745">
        <w:rPr>
          <w:rFonts w:ascii="Times New Roman" w:hAnsi="Times New Roman" w:cs="Times New Roman"/>
          <w:sz w:val="26"/>
          <w:szCs w:val="26"/>
        </w:rPr>
        <w:t xml:space="preserve"> based on </w:t>
      </w:r>
      <w:r w:rsidR="00611745" w:rsidRPr="005213DE">
        <w:rPr>
          <w:rFonts w:ascii="Times New Roman" w:hAnsi="Times New Roman" w:cs="Times New Roman"/>
          <w:sz w:val="26"/>
          <w:szCs w:val="26"/>
        </w:rPr>
        <w:t>Minn. Stat. § 504B.1</w:t>
      </w:r>
      <w:r w:rsidR="00611745">
        <w:rPr>
          <w:rFonts w:ascii="Times New Roman" w:hAnsi="Times New Roman" w:cs="Times New Roman"/>
          <w:sz w:val="26"/>
          <w:szCs w:val="26"/>
        </w:rPr>
        <w:t xml:space="preserve">78, subd. 4(3) or </w:t>
      </w:r>
      <w:r w:rsidR="00611745" w:rsidRPr="005213DE">
        <w:rPr>
          <w:rFonts w:ascii="Times New Roman" w:hAnsi="Times New Roman" w:cs="Times New Roman"/>
          <w:sz w:val="26"/>
          <w:szCs w:val="26"/>
        </w:rPr>
        <w:t>Minn. Stat. § 504B.1</w:t>
      </w:r>
      <w:r w:rsidR="00611745">
        <w:rPr>
          <w:rFonts w:ascii="Times New Roman" w:hAnsi="Times New Roman" w:cs="Times New Roman"/>
          <w:sz w:val="26"/>
          <w:szCs w:val="26"/>
        </w:rPr>
        <w:t>78, subd. 4(4).</w:t>
      </w:r>
    </w:p>
    <w:p w14:paraId="0543A818" w14:textId="7D611488" w:rsidR="0084039D" w:rsidRPr="00A30048" w:rsidRDefault="00C66198" w:rsidP="00A30048">
      <w:pPr>
        <w:rPr>
          <w:rFonts w:ascii="Times New Roman" w:hAnsi="Times New Roman" w:cs="Times New Roman"/>
          <w:sz w:val="26"/>
          <w:szCs w:val="26"/>
        </w:rPr>
      </w:pPr>
      <w:r>
        <w:rPr>
          <w:rFonts w:ascii="Times New Roman" w:hAnsi="Times New Roman" w:cs="Times New Roman"/>
          <w:sz w:val="26"/>
          <w:szCs w:val="26"/>
        </w:rPr>
        <w:lastRenderedPageBreak/>
        <w:t xml:space="preserve">The optimal solution is for the legislature to rewrite the statute and eliminate ambiguities. In the meantime, the courts </w:t>
      </w:r>
      <w:r w:rsidR="00D006DE">
        <w:rPr>
          <w:rFonts w:ascii="Times New Roman" w:hAnsi="Times New Roman" w:cs="Times New Roman"/>
          <w:sz w:val="26"/>
          <w:szCs w:val="26"/>
        </w:rPr>
        <w:t xml:space="preserve">will </w:t>
      </w:r>
      <w:r>
        <w:rPr>
          <w:rFonts w:ascii="Times New Roman" w:hAnsi="Times New Roman" w:cs="Times New Roman"/>
          <w:sz w:val="26"/>
          <w:szCs w:val="26"/>
        </w:rPr>
        <w:t>have to do their best to construe the statute.</w:t>
      </w:r>
    </w:p>
    <w:sectPr w:rsidR="0084039D" w:rsidRPr="00A30048">
      <w:headerReference w:type="default" r:id="rId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B25FE" w14:textId="77777777" w:rsidR="00A040F8" w:rsidRDefault="00A040F8" w:rsidP="002F770C">
      <w:pPr>
        <w:spacing w:after="0" w:line="240" w:lineRule="auto"/>
      </w:pPr>
      <w:r>
        <w:separator/>
      </w:r>
    </w:p>
  </w:endnote>
  <w:endnote w:type="continuationSeparator" w:id="0">
    <w:p w14:paraId="6CA9F1C3" w14:textId="77777777" w:rsidR="00A040F8" w:rsidRDefault="00A040F8" w:rsidP="002F77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D71D0F" w14:textId="77777777" w:rsidR="00A040F8" w:rsidRDefault="00A040F8" w:rsidP="002F770C">
      <w:pPr>
        <w:spacing w:after="0" w:line="240" w:lineRule="auto"/>
      </w:pPr>
      <w:r>
        <w:separator/>
      </w:r>
    </w:p>
  </w:footnote>
  <w:footnote w:type="continuationSeparator" w:id="0">
    <w:p w14:paraId="54C437A2" w14:textId="77777777" w:rsidR="00A040F8" w:rsidRDefault="00A040F8" w:rsidP="002F770C">
      <w:pPr>
        <w:spacing w:after="0" w:line="240" w:lineRule="auto"/>
      </w:pPr>
      <w:r>
        <w:continuationSeparator/>
      </w:r>
    </w:p>
  </w:footnote>
  <w:footnote w:id="1">
    <w:p w14:paraId="261E28AC" w14:textId="77777777" w:rsidR="00910F3B" w:rsidRDefault="00910F3B" w:rsidP="00910F3B">
      <w:pPr>
        <w:pStyle w:val="FootnoteText"/>
        <w:rPr>
          <w:rFonts w:ascii="Times New Roman" w:hAnsi="Times New Roman" w:cs="Times New Roman"/>
          <w:sz w:val="24"/>
          <w:szCs w:val="24"/>
        </w:rPr>
      </w:pPr>
      <w:r>
        <w:rPr>
          <w:rStyle w:val="FootnoteReference"/>
        </w:rPr>
        <w:footnoteRef/>
      </w:r>
      <w:r>
        <w:t xml:space="preserve"> </w:t>
      </w:r>
      <w:r w:rsidRPr="009D1A82">
        <w:rPr>
          <w:i/>
          <w:iCs/>
        </w:rPr>
        <w:t> </w:t>
      </w:r>
      <w:hyperlink r:id="rId1" w:anchor="laws.19.85.0" w:history="1">
        <w:r w:rsidRPr="009D1A82">
          <w:rPr>
            <w:rStyle w:val="Hyperlink"/>
            <w:rFonts w:ascii="Times New Roman" w:hAnsi="Times New Roman" w:cs="Times New Roman"/>
            <w:sz w:val="24"/>
            <w:szCs w:val="24"/>
          </w:rPr>
          <w:t xml:space="preserve">2023 Minn. </w:t>
        </w:r>
        <w:proofErr w:type="gramStart"/>
        <w:r w:rsidRPr="009D1A82">
          <w:rPr>
            <w:rStyle w:val="Hyperlink"/>
            <w:rFonts w:ascii="Times New Roman" w:hAnsi="Times New Roman" w:cs="Times New Roman"/>
            <w:sz w:val="24"/>
            <w:szCs w:val="24"/>
          </w:rPr>
          <w:t>Laws  c</w:t>
        </w:r>
        <w:proofErr w:type="gramEnd"/>
        <w:r w:rsidRPr="009D1A82">
          <w:rPr>
            <w:rStyle w:val="Hyperlink"/>
            <w:rFonts w:ascii="Times New Roman" w:hAnsi="Times New Roman" w:cs="Times New Roman"/>
            <w:sz w:val="24"/>
            <w:szCs w:val="24"/>
          </w:rPr>
          <w:t xml:space="preserve"> 52 art 19 s 85</w:t>
        </w:r>
      </w:hyperlink>
    </w:p>
    <w:p w14:paraId="6E0B18A9" w14:textId="77777777" w:rsidR="00910F3B" w:rsidRPr="009D1A82" w:rsidRDefault="00910F3B" w:rsidP="00910F3B">
      <w:pPr>
        <w:pStyle w:val="FootnoteText"/>
        <w:rPr>
          <w:rFonts w:ascii="Times New Roman" w:hAnsi="Times New Roman" w:cs="Times New Roman"/>
          <w:sz w:val="24"/>
          <w:szCs w:val="24"/>
        </w:rPr>
      </w:pPr>
    </w:p>
  </w:footnote>
  <w:footnote w:id="2">
    <w:p w14:paraId="3ABE04DB" w14:textId="77777777" w:rsidR="00910F3B" w:rsidRDefault="00910F3B" w:rsidP="00910F3B">
      <w:pPr>
        <w:pStyle w:val="FootnoteText"/>
        <w:rPr>
          <w:rFonts w:ascii="Times New Roman" w:hAnsi="Times New Roman" w:cs="Times New Roman"/>
          <w:sz w:val="24"/>
          <w:szCs w:val="24"/>
        </w:rPr>
      </w:pPr>
      <w:r w:rsidRPr="009D1A82">
        <w:rPr>
          <w:rStyle w:val="FootnoteReference"/>
          <w:rFonts w:ascii="Times New Roman" w:hAnsi="Times New Roman" w:cs="Times New Roman"/>
          <w:sz w:val="24"/>
          <w:szCs w:val="24"/>
        </w:rPr>
        <w:footnoteRef/>
      </w:r>
      <w:r w:rsidRPr="009D1A82">
        <w:rPr>
          <w:rFonts w:ascii="Times New Roman" w:hAnsi="Times New Roman" w:cs="Times New Roman"/>
          <w:sz w:val="24"/>
          <w:szCs w:val="24"/>
        </w:rPr>
        <w:t xml:space="preserve"> </w:t>
      </w:r>
      <w:hyperlink r:id="rId2" w:anchor="laws.0.6.0" w:history="1">
        <w:r w:rsidRPr="009D1A82">
          <w:rPr>
            <w:rStyle w:val="Hyperlink"/>
            <w:rFonts w:ascii="Times New Roman" w:hAnsi="Times New Roman" w:cs="Times New Roman"/>
            <w:sz w:val="24"/>
            <w:szCs w:val="24"/>
          </w:rPr>
          <w:t xml:space="preserve">2010 Minn. </w:t>
        </w:r>
        <w:proofErr w:type="gramStart"/>
        <w:r w:rsidRPr="009D1A82">
          <w:rPr>
            <w:rStyle w:val="Hyperlink"/>
            <w:rFonts w:ascii="Times New Roman" w:hAnsi="Times New Roman" w:cs="Times New Roman"/>
            <w:sz w:val="24"/>
            <w:szCs w:val="24"/>
          </w:rPr>
          <w:t>Laws  c</w:t>
        </w:r>
        <w:proofErr w:type="gramEnd"/>
        <w:r w:rsidRPr="009D1A82">
          <w:rPr>
            <w:rStyle w:val="Hyperlink"/>
            <w:rFonts w:ascii="Times New Roman" w:hAnsi="Times New Roman" w:cs="Times New Roman"/>
            <w:sz w:val="24"/>
            <w:szCs w:val="24"/>
          </w:rPr>
          <w:t xml:space="preserve"> 315 s 6</w:t>
        </w:r>
      </w:hyperlink>
    </w:p>
    <w:p w14:paraId="26CD09F8" w14:textId="77777777" w:rsidR="00910F3B" w:rsidRPr="009D1A82" w:rsidRDefault="00910F3B" w:rsidP="00910F3B">
      <w:pPr>
        <w:pStyle w:val="FootnoteText"/>
        <w:rPr>
          <w:sz w:val="24"/>
          <w:szCs w:val="24"/>
        </w:rPr>
      </w:pPr>
    </w:p>
  </w:footnote>
  <w:footnote w:id="3">
    <w:p w14:paraId="230442B7" w14:textId="77777777" w:rsidR="00910F3B" w:rsidRDefault="00910F3B" w:rsidP="00910F3B">
      <w:pPr>
        <w:pStyle w:val="FootnoteText"/>
        <w:rPr>
          <w:rFonts w:ascii="Times New Roman" w:hAnsi="Times New Roman" w:cs="Times New Roman"/>
          <w:sz w:val="24"/>
          <w:szCs w:val="24"/>
        </w:rPr>
      </w:pPr>
      <w:r w:rsidRPr="0012328A">
        <w:rPr>
          <w:rStyle w:val="FootnoteReference"/>
          <w:rFonts w:ascii="Times New Roman" w:hAnsi="Times New Roman" w:cs="Times New Roman"/>
          <w:sz w:val="24"/>
          <w:szCs w:val="24"/>
        </w:rPr>
        <w:footnoteRef/>
      </w:r>
      <w:r w:rsidRPr="0012328A">
        <w:rPr>
          <w:rFonts w:ascii="Times New Roman" w:hAnsi="Times New Roman" w:cs="Times New Roman"/>
          <w:sz w:val="24"/>
          <w:szCs w:val="24"/>
        </w:rPr>
        <w:t xml:space="preserve"> </w:t>
      </w:r>
      <w:hyperlink r:id="rId3" w:anchor="laws.1.16.0" w:history="1">
        <w:r w:rsidRPr="0012328A">
          <w:rPr>
            <w:rStyle w:val="Hyperlink"/>
            <w:rFonts w:ascii="Times New Roman" w:hAnsi="Times New Roman" w:cs="Times New Roman"/>
            <w:sz w:val="24"/>
            <w:szCs w:val="24"/>
          </w:rPr>
          <w:t>1999</w:t>
        </w:r>
        <w:r>
          <w:rPr>
            <w:rStyle w:val="Hyperlink"/>
            <w:rFonts w:ascii="Times New Roman" w:hAnsi="Times New Roman" w:cs="Times New Roman"/>
            <w:sz w:val="24"/>
            <w:szCs w:val="24"/>
          </w:rPr>
          <w:t xml:space="preserve"> Minn. Laws</w:t>
        </w:r>
        <w:r w:rsidRPr="0012328A">
          <w:rPr>
            <w:rStyle w:val="Hyperlink"/>
            <w:rFonts w:ascii="Times New Roman" w:hAnsi="Times New Roman" w:cs="Times New Roman"/>
            <w:sz w:val="24"/>
            <w:szCs w:val="24"/>
          </w:rPr>
          <w:t xml:space="preserve"> c 199 art 1 s 16</w:t>
        </w:r>
      </w:hyperlink>
      <w:r>
        <w:rPr>
          <w:rFonts w:ascii="Times New Roman" w:hAnsi="Times New Roman" w:cs="Times New Roman"/>
          <w:sz w:val="24"/>
          <w:szCs w:val="24"/>
        </w:rPr>
        <w:t xml:space="preserve"> </w:t>
      </w:r>
      <w:r w:rsidRPr="0012328A">
        <w:rPr>
          <w:rFonts w:ascii="Times New Roman" w:hAnsi="Times New Roman" w:cs="Times New Roman"/>
          <w:sz w:val="24"/>
          <w:szCs w:val="24"/>
        </w:rPr>
        <w:t xml:space="preserve">In some cases the recodification involved changes in language but recodification did not change the meaning of </w:t>
      </w:r>
      <w:r>
        <w:rPr>
          <w:rFonts w:ascii="Times New Roman" w:hAnsi="Times New Roman" w:cs="Times New Roman"/>
          <w:sz w:val="24"/>
          <w:szCs w:val="24"/>
        </w:rPr>
        <w:t>any</w:t>
      </w:r>
      <w:r w:rsidRPr="0012328A">
        <w:rPr>
          <w:rFonts w:ascii="Times New Roman" w:hAnsi="Times New Roman" w:cs="Times New Roman"/>
          <w:sz w:val="24"/>
          <w:szCs w:val="24"/>
        </w:rPr>
        <w:t xml:space="preserve"> statute. </w:t>
      </w:r>
      <w:hyperlink r:id="rId4" w:history="1">
        <w:r w:rsidRPr="0012328A">
          <w:rPr>
            <w:rStyle w:val="Hyperlink"/>
            <w:rFonts w:ascii="Times New Roman" w:hAnsi="Times New Roman" w:cs="Times New Roman"/>
            <w:sz w:val="24"/>
            <w:szCs w:val="24"/>
          </w:rPr>
          <w:t>Occhino v. Grover, 640 N.W.2d 357,362 (Minn. App. 2002)</w:t>
        </w:r>
      </w:hyperlink>
      <w:r w:rsidRPr="0012328A">
        <w:rPr>
          <w:rFonts w:ascii="Times New Roman" w:hAnsi="Times New Roman" w:cs="Times New Roman"/>
          <w:sz w:val="24"/>
          <w:szCs w:val="24"/>
        </w:rPr>
        <w:t>. The security-deposit statute happened to stay the same.</w:t>
      </w:r>
    </w:p>
    <w:p w14:paraId="7580353A" w14:textId="77777777" w:rsidR="00910F3B" w:rsidRPr="0012328A" w:rsidRDefault="00910F3B" w:rsidP="00910F3B">
      <w:pPr>
        <w:pStyle w:val="FootnoteText"/>
        <w:rPr>
          <w:rFonts w:ascii="Times New Roman" w:hAnsi="Times New Roman" w:cs="Times New Roman"/>
          <w:sz w:val="24"/>
          <w:szCs w:val="24"/>
        </w:rPr>
      </w:pPr>
    </w:p>
  </w:footnote>
  <w:footnote w:id="4">
    <w:p w14:paraId="5286EE9A" w14:textId="77777777" w:rsidR="00910F3B" w:rsidRPr="00F224EA" w:rsidRDefault="00910F3B" w:rsidP="00910F3B">
      <w:pPr>
        <w:pStyle w:val="FootnoteText"/>
        <w:rPr>
          <w:rFonts w:ascii="Times New Roman" w:hAnsi="Times New Roman" w:cs="Times New Roman"/>
          <w:sz w:val="24"/>
          <w:szCs w:val="24"/>
        </w:rPr>
      </w:pPr>
      <w:r w:rsidRPr="00F224EA">
        <w:rPr>
          <w:rStyle w:val="FootnoteReference"/>
          <w:sz w:val="24"/>
          <w:szCs w:val="24"/>
        </w:rPr>
        <w:footnoteRef/>
      </w:r>
      <w:r w:rsidRPr="00F224EA">
        <w:rPr>
          <w:sz w:val="24"/>
          <w:szCs w:val="24"/>
        </w:rPr>
        <w:t xml:space="preserve"> </w:t>
      </w:r>
      <w:r w:rsidRPr="00F224EA">
        <w:rPr>
          <w:rFonts w:ascii="Times New Roman" w:hAnsi="Times New Roman" w:cs="Times New Roman"/>
          <w:sz w:val="24"/>
          <w:szCs w:val="24"/>
        </w:rPr>
        <w:t xml:space="preserve">This appendix repeats most of </w:t>
      </w:r>
      <w:hyperlink r:id="rId5" w:history="1">
        <w:r w:rsidRPr="00F224EA">
          <w:rPr>
            <w:rStyle w:val="Hyperlink"/>
            <w:rFonts w:ascii="Times New Roman" w:hAnsi="Times New Roman" w:cs="Times New Roman"/>
            <w:sz w:val="24"/>
            <w:szCs w:val="24"/>
          </w:rPr>
          <w:t>Appendix</w:t>
        </w:r>
        <w:r w:rsidRPr="00F224EA">
          <w:rPr>
            <w:rStyle w:val="Hyperlink"/>
            <w:rFonts w:ascii="Times New Roman" w:hAnsi="Times New Roman" w:cs="Times New Roman"/>
            <w:b/>
            <w:bCs/>
            <w:sz w:val="24"/>
            <w:szCs w:val="24"/>
          </w:rPr>
          <w:t xml:space="preserve"> 2</w:t>
        </w:r>
      </w:hyperlink>
      <w:r w:rsidRPr="00F224EA">
        <w:rPr>
          <w:rFonts w:ascii="Times New Roman" w:hAnsi="Times New Roman" w:cs="Times New Roman"/>
          <w:sz w:val="24"/>
          <w:szCs w:val="24"/>
        </w:rPr>
        <w:t xml:space="preserve"> in my prior blog, </w:t>
      </w:r>
      <w:hyperlink r:id="rId6" w:history="1">
        <w:r w:rsidRPr="00F224EA">
          <w:rPr>
            <w:rStyle w:val="Hyperlink"/>
            <w:rFonts w:ascii="Times New Roman" w:hAnsi="Times New Roman" w:cs="Times New Roman"/>
            <w:sz w:val="24"/>
            <w:szCs w:val="24"/>
          </w:rPr>
          <w:t>Mungall v. Garry: The Court of Appeals Misconstrues the 21-Day Clock in Minn. Stat. § 504B.178</w:t>
        </w:r>
      </w:hyperlink>
      <w:r w:rsidRPr="00F224EA">
        <w:rPr>
          <w:rFonts w:ascii="Times New Roman" w:hAnsi="Times New Roman" w:cs="Times New Roman"/>
          <w:sz w:val="24"/>
          <w:szCs w:val="24"/>
        </w:rPr>
        <w:t>, but is more complete. The prior blog only dealt with Type A situations while this blog, and especially this part of this blog, also deals with Type B situations.</w:t>
      </w:r>
    </w:p>
    <w:p w14:paraId="1D7C5F97" w14:textId="77777777" w:rsidR="00910F3B" w:rsidRDefault="00910F3B" w:rsidP="00910F3B">
      <w:pPr>
        <w:pStyle w:val="FootnoteText"/>
      </w:pPr>
    </w:p>
  </w:footnote>
  <w:footnote w:id="5">
    <w:p w14:paraId="476BEEEF" w14:textId="77777777" w:rsidR="00910F3B" w:rsidRPr="00F224EA" w:rsidRDefault="00910F3B" w:rsidP="00910F3B">
      <w:pPr>
        <w:pStyle w:val="FootnoteText"/>
        <w:rPr>
          <w:rFonts w:ascii="Times New Roman" w:hAnsi="Times New Roman" w:cs="Times New Roman"/>
          <w:sz w:val="24"/>
          <w:szCs w:val="24"/>
        </w:rPr>
      </w:pPr>
      <w:r w:rsidRPr="00F224EA">
        <w:rPr>
          <w:rStyle w:val="FootnoteReference"/>
          <w:sz w:val="24"/>
          <w:szCs w:val="24"/>
        </w:rPr>
        <w:footnoteRef/>
      </w:r>
      <w:r w:rsidRPr="00F224EA">
        <w:rPr>
          <w:sz w:val="24"/>
          <w:szCs w:val="24"/>
        </w:rPr>
        <w:t xml:space="preserve"> </w:t>
      </w:r>
      <w:r w:rsidRPr="00F224EA">
        <w:rPr>
          <w:rFonts w:ascii="Times New Roman" w:hAnsi="Times New Roman" w:cs="Times New Roman"/>
          <w:sz w:val="24"/>
          <w:szCs w:val="24"/>
        </w:rPr>
        <w:t xml:space="preserve">The Senate had added the word “after” at two points in Article 1. As discussed at length in my prior blog, </w:t>
      </w:r>
      <w:hyperlink r:id="rId7" w:history="1">
        <w:r w:rsidRPr="00F224EA">
          <w:rPr>
            <w:rStyle w:val="Hyperlink"/>
            <w:rFonts w:ascii="Times New Roman" w:hAnsi="Times New Roman" w:cs="Times New Roman"/>
            <w:sz w:val="24"/>
            <w:szCs w:val="24"/>
          </w:rPr>
          <w:t>Mungall v. Garry: The Court of Appeals Misconstrues the 21-Day Clock in Minn. Stat. § 504B.178</w:t>
        </w:r>
      </w:hyperlink>
      <w:r w:rsidRPr="00F224EA">
        <w:rPr>
          <w:rFonts w:ascii="Times New Roman" w:hAnsi="Times New Roman" w:cs="Times New Roman"/>
          <w:sz w:val="24"/>
          <w:szCs w:val="24"/>
        </w:rPr>
        <w:t>, these</w:t>
      </w:r>
      <w:r>
        <w:rPr>
          <w:rFonts w:ascii="Times New Roman" w:hAnsi="Times New Roman" w:cs="Times New Roman"/>
          <w:sz w:val="24"/>
          <w:szCs w:val="24"/>
        </w:rPr>
        <w:t xml:space="preserve"> two additions</w:t>
      </w:r>
      <w:r w:rsidRPr="00F224EA">
        <w:rPr>
          <w:rFonts w:ascii="Times New Roman" w:hAnsi="Times New Roman" w:cs="Times New Roman"/>
          <w:sz w:val="24"/>
          <w:szCs w:val="24"/>
        </w:rPr>
        <w:t xml:space="preserve"> were of no real significance. They are not relevant to the legislative history of what eventually became Minn. Stat. § 504.20, subdivision 4(</w:t>
      </w:r>
      <w:proofErr w:type="gramStart"/>
      <w:r w:rsidRPr="00F224EA">
        <w:rPr>
          <w:rFonts w:ascii="Times New Roman" w:hAnsi="Times New Roman" w:cs="Times New Roman"/>
          <w:sz w:val="24"/>
          <w:szCs w:val="24"/>
        </w:rPr>
        <w:t>3)(</w:t>
      </w:r>
      <w:proofErr w:type="gramEnd"/>
      <w:r w:rsidRPr="00F224EA">
        <w:rPr>
          <w:rFonts w:ascii="Times New Roman" w:hAnsi="Times New Roman" w:cs="Times New Roman"/>
          <w:sz w:val="24"/>
          <w:szCs w:val="24"/>
        </w:rPr>
        <w:t>1992).</w:t>
      </w:r>
    </w:p>
    <w:p w14:paraId="12BA20D1" w14:textId="77777777" w:rsidR="00910F3B" w:rsidRDefault="00910F3B" w:rsidP="00910F3B">
      <w:pPr>
        <w:pStyle w:val="FootnoteText"/>
      </w:pPr>
    </w:p>
  </w:footnote>
  <w:footnote w:id="6">
    <w:p w14:paraId="0989AB2D" w14:textId="77777777" w:rsidR="00910F3B" w:rsidRPr="00DB7656" w:rsidRDefault="00910F3B" w:rsidP="00910F3B">
      <w:pPr>
        <w:pStyle w:val="FootnoteText"/>
        <w:rPr>
          <w:rFonts w:ascii="Times New Roman" w:hAnsi="Times New Roman" w:cs="Times New Roman"/>
          <w:sz w:val="24"/>
          <w:szCs w:val="24"/>
        </w:rPr>
      </w:pPr>
      <w:r w:rsidRPr="00DB7656">
        <w:rPr>
          <w:rStyle w:val="FootnoteReference"/>
          <w:rFonts w:ascii="Times New Roman" w:hAnsi="Times New Roman" w:cs="Times New Roman"/>
          <w:sz w:val="24"/>
          <w:szCs w:val="24"/>
        </w:rPr>
        <w:footnoteRef/>
      </w:r>
      <w:r w:rsidRPr="00DB7656">
        <w:rPr>
          <w:rFonts w:ascii="Times New Roman" w:hAnsi="Times New Roman" w:cs="Times New Roman"/>
          <w:sz w:val="24"/>
          <w:szCs w:val="24"/>
        </w:rPr>
        <w:t xml:space="preserve"> Underlined language is language added by the session law, struck-through language is language deleted by the session law, and the rest is language in the pre-1992 statute.</w:t>
      </w:r>
    </w:p>
  </w:footnote>
  <w:footnote w:id="7">
    <w:p w14:paraId="01788823" w14:textId="77777777" w:rsidR="00910F3B" w:rsidRDefault="00910F3B" w:rsidP="00910F3B">
      <w:pPr>
        <w:pStyle w:val="FootnoteText"/>
      </w:pPr>
      <w:r>
        <w:rPr>
          <w:rStyle w:val="FootnoteReference"/>
        </w:rPr>
        <w:footnoteRef/>
      </w:r>
      <w:r>
        <w:t xml:space="preserve"> </w:t>
      </w:r>
      <w:r>
        <w:rPr>
          <w:rFonts w:ascii="Times New Roman" w:hAnsi="Times New Roman" w:cs="Times New Roman"/>
          <w:sz w:val="26"/>
          <w:szCs w:val="26"/>
        </w:rPr>
        <w:t>Some paragraph indents and the like added for easier reading but the words were the same.</w:t>
      </w:r>
    </w:p>
  </w:footnote>
  <w:footnote w:id="8">
    <w:p w14:paraId="378DC4DC" w14:textId="0EE45020" w:rsidR="00F726AB" w:rsidRDefault="00F726AB">
      <w:pPr>
        <w:pStyle w:val="FootnoteText"/>
        <w:rPr>
          <w:rFonts w:ascii="Times New Roman" w:hAnsi="Times New Roman" w:cs="Times New Roman"/>
          <w:color w:val="212121"/>
          <w:sz w:val="24"/>
          <w:szCs w:val="24"/>
        </w:rPr>
      </w:pPr>
      <w:r w:rsidRPr="00F726AB">
        <w:rPr>
          <w:rStyle w:val="FootnoteReference"/>
          <w:rFonts w:ascii="Times New Roman" w:hAnsi="Times New Roman" w:cs="Times New Roman"/>
          <w:sz w:val="24"/>
          <w:szCs w:val="24"/>
        </w:rPr>
        <w:footnoteRef/>
      </w:r>
      <w:r w:rsidRPr="00F726AB">
        <w:rPr>
          <w:rFonts w:ascii="Times New Roman" w:hAnsi="Times New Roman" w:cs="Times New Roman"/>
          <w:sz w:val="24"/>
          <w:szCs w:val="24"/>
        </w:rPr>
        <w:t xml:space="preserve"> Se</w:t>
      </w:r>
      <w:r w:rsidR="00E3156F">
        <w:rPr>
          <w:rFonts w:ascii="Times New Roman" w:hAnsi="Times New Roman" w:cs="Times New Roman"/>
          <w:sz w:val="24"/>
          <w:szCs w:val="24"/>
        </w:rPr>
        <w:t xml:space="preserve">e </w:t>
      </w:r>
      <w:hyperlink r:id="rId8" w:history="1">
        <w:r w:rsidR="00E3156F" w:rsidRPr="00ED6801">
          <w:rPr>
            <w:rStyle w:val="Hyperlink"/>
            <w:rFonts w:ascii="Times New Roman" w:hAnsi="Times New Roman" w:cs="Times New Roman"/>
            <w:bCs/>
          </w:rPr>
          <w:t>Appendix LH 1992-376</w:t>
        </w:r>
      </w:hyperlink>
      <w:r w:rsidR="00BB15A8">
        <w:rPr>
          <w:rFonts w:ascii="Times New Roman" w:hAnsi="Times New Roman" w:cs="Times New Roman"/>
          <w:sz w:val="24"/>
          <w:szCs w:val="24"/>
        </w:rPr>
        <w:t xml:space="preserve">, </w:t>
      </w:r>
      <w:r w:rsidRPr="00F726AB">
        <w:rPr>
          <w:rFonts w:ascii="Times New Roman" w:hAnsi="Times New Roman" w:cs="Times New Roman"/>
          <w:sz w:val="24"/>
          <w:szCs w:val="24"/>
        </w:rPr>
        <w:t>Endnote 4½</w:t>
      </w:r>
      <w:r w:rsidR="00BB15A8">
        <w:rPr>
          <w:rFonts w:ascii="Times New Roman" w:hAnsi="Times New Roman" w:cs="Times New Roman"/>
          <w:sz w:val="24"/>
          <w:szCs w:val="24"/>
        </w:rPr>
        <w:t xml:space="preserve"> at </w:t>
      </w:r>
      <w:r w:rsidR="001B561F">
        <w:rPr>
          <w:rFonts w:ascii="Times New Roman" w:hAnsi="Times New Roman" w:cs="Times New Roman"/>
          <w:sz w:val="24"/>
          <w:szCs w:val="24"/>
        </w:rPr>
        <w:t>PDF page 27</w:t>
      </w:r>
      <w:r w:rsidR="00442570">
        <w:rPr>
          <w:rFonts w:ascii="Times New Roman" w:hAnsi="Times New Roman" w:cs="Times New Roman"/>
          <w:sz w:val="24"/>
          <w:szCs w:val="24"/>
        </w:rPr>
        <w:t>,</w:t>
      </w:r>
      <w:r>
        <w:rPr>
          <w:rFonts w:ascii="Times New Roman" w:hAnsi="Times New Roman" w:cs="Times New Roman"/>
          <w:sz w:val="24"/>
          <w:szCs w:val="24"/>
        </w:rPr>
        <w:t xml:space="preserve"> </w:t>
      </w:r>
      <w:r w:rsidR="00BB15A8">
        <w:rPr>
          <w:rFonts w:ascii="Times New Roman" w:hAnsi="Times New Roman" w:cs="Times New Roman"/>
          <w:color w:val="212121"/>
          <w:sz w:val="24"/>
          <w:szCs w:val="24"/>
        </w:rPr>
        <w:t>m</w:t>
      </w:r>
      <w:r w:rsidR="000A6585" w:rsidRPr="000A6585">
        <w:rPr>
          <w:rFonts w:ascii="Times New Roman" w:hAnsi="Times New Roman" w:cs="Times New Roman"/>
          <w:color w:val="212121"/>
          <w:sz w:val="24"/>
          <w:szCs w:val="24"/>
        </w:rPr>
        <w:t>inutes of the 1992 conference committee</w:t>
      </w:r>
      <w:r w:rsidR="00846466">
        <w:rPr>
          <w:rFonts w:ascii="Times New Roman" w:hAnsi="Times New Roman" w:cs="Times New Roman"/>
          <w:color w:val="212121"/>
          <w:sz w:val="24"/>
          <w:szCs w:val="24"/>
        </w:rPr>
        <w:t>, March 11, 1992 memo from conference co-chair Karen Clark to conference members</w:t>
      </w:r>
    </w:p>
    <w:p w14:paraId="350D5F43" w14:textId="77777777" w:rsidR="00A32A4B" w:rsidRPr="00F726AB" w:rsidRDefault="00A32A4B">
      <w:pPr>
        <w:pStyle w:val="FootnoteText"/>
        <w:rPr>
          <w:rFonts w:ascii="Times New Roman" w:hAnsi="Times New Roman" w:cs="Times New Roman"/>
          <w:sz w:val="24"/>
          <w:szCs w:val="24"/>
        </w:rPr>
      </w:pPr>
    </w:p>
  </w:footnote>
  <w:footnote w:id="9">
    <w:p w14:paraId="5CEBB78C" w14:textId="7D98253E" w:rsidR="000979CE" w:rsidRPr="00F726AB" w:rsidRDefault="000979CE" w:rsidP="000979CE">
      <w:pPr>
        <w:pStyle w:val="FootnoteText"/>
        <w:rPr>
          <w:rFonts w:ascii="Times New Roman" w:hAnsi="Times New Roman" w:cs="Times New Roman"/>
          <w:sz w:val="24"/>
          <w:szCs w:val="24"/>
        </w:rPr>
      </w:pPr>
      <w:r w:rsidRPr="00F726AB">
        <w:rPr>
          <w:rStyle w:val="FootnoteReference"/>
          <w:rFonts w:ascii="Times New Roman" w:hAnsi="Times New Roman" w:cs="Times New Roman"/>
          <w:sz w:val="24"/>
          <w:szCs w:val="24"/>
        </w:rPr>
        <w:footnoteRef/>
      </w:r>
      <w:r w:rsidRPr="00F726AB">
        <w:rPr>
          <w:rFonts w:ascii="Times New Roman" w:hAnsi="Times New Roman" w:cs="Times New Roman"/>
          <w:sz w:val="24"/>
          <w:szCs w:val="24"/>
        </w:rPr>
        <w:t xml:space="preserve"> See</w:t>
      </w:r>
      <w:r>
        <w:rPr>
          <w:rFonts w:ascii="Times New Roman" w:hAnsi="Times New Roman" w:cs="Times New Roman"/>
          <w:sz w:val="24"/>
          <w:szCs w:val="24"/>
        </w:rPr>
        <w:t xml:space="preserve"> </w:t>
      </w:r>
      <w:hyperlink r:id="rId9" w:history="1">
        <w:r w:rsidR="005C3E73" w:rsidRPr="00ED6801">
          <w:rPr>
            <w:rStyle w:val="Hyperlink"/>
            <w:rFonts w:ascii="Times New Roman" w:hAnsi="Times New Roman" w:cs="Times New Roman"/>
            <w:bCs/>
          </w:rPr>
          <w:t>Appendix LH 1992-376</w:t>
        </w:r>
      </w:hyperlink>
      <w:r w:rsidR="00AD52F0">
        <w:rPr>
          <w:rFonts w:ascii="Times New Roman" w:hAnsi="Times New Roman" w:cs="Times New Roman"/>
          <w:sz w:val="24"/>
          <w:szCs w:val="24"/>
        </w:rPr>
        <w:t>, E</w:t>
      </w:r>
      <w:r w:rsidRPr="00F726AB">
        <w:rPr>
          <w:rFonts w:ascii="Times New Roman" w:hAnsi="Times New Roman" w:cs="Times New Roman"/>
          <w:sz w:val="24"/>
          <w:szCs w:val="24"/>
        </w:rPr>
        <w:t>ndnote 4½</w:t>
      </w:r>
      <w:r w:rsidR="00BB15A8">
        <w:rPr>
          <w:rFonts w:ascii="Times New Roman" w:hAnsi="Times New Roman" w:cs="Times New Roman"/>
          <w:sz w:val="24"/>
          <w:szCs w:val="24"/>
        </w:rPr>
        <w:t xml:space="preserve"> at </w:t>
      </w:r>
      <w:r w:rsidR="001B561F">
        <w:rPr>
          <w:rFonts w:ascii="Times New Roman" w:hAnsi="Times New Roman" w:cs="Times New Roman"/>
          <w:sz w:val="24"/>
          <w:szCs w:val="24"/>
        </w:rPr>
        <w:t>PDF page 33</w:t>
      </w:r>
      <w:r>
        <w:rPr>
          <w:rFonts w:ascii="Times New Roman" w:hAnsi="Times New Roman" w:cs="Times New Roman"/>
          <w:sz w:val="24"/>
          <w:szCs w:val="24"/>
        </w:rPr>
        <w:t xml:space="preserve">, </w:t>
      </w:r>
      <w:r w:rsidR="00846466">
        <w:rPr>
          <w:rFonts w:ascii="Times New Roman" w:hAnsi="Times New Roman" w:cs="Times New Roman"/>
          <w:color w:val="212121"/>
          <w:sz w:val="24"/>
          <w:szCs w:val="24"/>
        </w:rPr>
        <w:t>March 10, 1992 memo from Legislative Analyst Kathy Novak to Representative Clark.</w:t>
      </w:r>
    </w:p>
  </w:footnote>
  <w:footnote w:id="10">
    <w:p w14:paraId="0E23A5BA" w14:textId="33180CCD" w:rsidR="002B7928" w:rsidRPr="005C3E73" w:rsidRDefault="00012E5E" w:rsidP="00012E5E">
      <w:pPr>
        <w:pStyle w:val="FootnoteText"/>
        <w:rPr>
          <w:rFonts w:ascii="Times New Roman" w:hAnsi="Times New Roman" w:cs="Times New Roman"/>
          <w:sz w:val="24"/>
          <w:szCs w:val="24"/>
        </w:rPr>
      </w:pPr>
      <w:r w:rsidRPr="008E1E0F">
        <w:rPr>
          <w:rStyle w:val="FootnoteReference"/>
          <w:rFonts w:ascii="Times New Roman" w:hAnsi="Times New Roman" w:cs="Times New Roman"/>
          <w:sz w:val="24"/>
          <w:szCs w:val="24"/>
        </w:rPr>
        <w:footnoteRef/>
      </w:r>
      <w:r w:rsidRPr="008E1E0F">
        <w:rPr>
          <w:rFonts w:ascii="Times New Roman" w:hAnsi="Times New Roman" w:cs="Times New Roman"/>
          <w:sz w:val="24"/>
          <w:szCs w:val="24"/>
        </w:rPr>
        <w:t xml:space="preserve"> </w:t>
      </w:r>
      <w:hyperlink r:id="rId10" w:history="1">
        <w:r w:rsidR="008E1E0F" w:rsidRPr="005C3E73">
          <w:rPr>
            <w:rStyle w:val="Hyperlink"/>
            <w:rFonts w:ascii="Times New Roman" w:hAnsi="Times New Roman" w:cs="Times New Roman"/>
            <w:sz w:val="24"/>
            <w:szCs w:val="24"/>
          </w:rPr>
          <w:t>Appendix Sakhardande</w:t>
        </w:r>
      </w:hyperlink>
      <w:r w:rsidRPr="005C3E73">
        <w:rPr>
          <w:rFonts w:ascii="Times New Roman" w:hAnsi="Times New Roman" w:cs="Times New Roman"/>
          <w:color w:val="000000" w:themeColor="text1"/>
          <w:sz w:val="24"/>
          <w:szCs w:val="24"/>
        </w:rPr>
        <w:t xml:space="preserve"> </w:t>
      </w:r>
      <w:r w:rsidRPr="008E1E0F">
        <w:rPr>
          <w:rFonts w:ascii="Times New Roman" w:hAnsi="Times New Roman" w:cs="Times New Roman"/>
          <w:sz w:val="24"/>
          <w:szCs w:val="24"/>
        </w:rPr>
        <w:t>contains a transcript of this testimony and details of where and when it was given.</w:t>
      </w:r>
    </w:p>
  </w:footnote>
  <w:footnote w:id="11">
    <w:p w14:paraId="22BC985F" w14:textId="08999A27" w:rsidR="00AE304A" w:rsidRDefault="00AE304A">
      <w:pPr>
        <w:pStyle w:val="FootnoteText"/>
        <w:rPr>
          <w:rFonts w:ascii="Times New Roman" w:hAnsi="Times New Roman" w:cs="Times New Roman"/>
          <w:sz w:val="24"/>
          <w:szCs w:val="24"/>
        </w:rPr>
      </w:pPr>
      <w:r w:rsidRPr="00AE304A">
        <w:rPr>
          <w:rStyle w:val="FootnoteReference"/>
          <w:rFonts w:ascii="Times New Roman" w:hAnsi="Times New Roman" w:cs="Times New Roman"/>
          <w:sz w:val="24"/>
          <w:szCs w:val="24"/>
        </w:rPr>
        <w:footnoteRef/>
      </w:r>
      <w:r w:rsidRPr="00AE304A">
        <w:rPr>
          <w:rFonts w:ascii="Times New Roman" w:hAnsi="Times New Roman" w:cs="Times New Roman"/>
          <w:sz w:val="24"/>
          <w:szCs w:val="24"/>
        </w:rPr>
        <w:t xml:space="preserve"> Huge, but unlike SF 2909</w:t>
      </w:r>
      <w:r w:rsidR="002B7928">
        <w:rPr>
          <w:rFonts w:ascii="Times New Roman" w:hAnsi="Times New Roman" w:cs="Times New Roman"/>
          <w:sz w:val="24"/>
          <w:szCs w:val="24"/>
        </w:rPr>
        <w:t>,</w:t>
      </w:r>
      <w:r w:rsidRPr="00AE304A">
        <w:rPr>
          <w:rFonts w:ascii="Times New Roman" w:hAnsi="Times New Roman" w:cs="Times New Roman"/>
          <w:sz w:val="24"/>
          <w:szCs w:val="24"/>
        </w:rPr>
        <w:t xml:space="preserve"> not </w:t>
      </w:r>
      <w:r w:rsidRPr="002B7928">
        <w:rPr>
          <w:rFonts w:ascii="Times New Roman" w:hAnsi="Times New Roman" w:cs="Times New Roman"/>
          <w:i/>
          <w:iCs/>
          <w:sz w:val="24"/>
          <w:szCs w:val="24"/>
        </w:rPr>
        <w:t>very</w:t>
      </w:r>
      <w:r w:rsidRPr="00AE304A">
        <w:rPr>
          <w:rFonts w:ascii="Times New Roman" w:hAnsi="Times New Roman" w:cs="Times New Roman"/>
          <w:sz w:val="24"/>
          <w:szCs w:val="24"/>
        </w:rPr>
        <w:t xml:space="preserve"> huge!</w:t>
      </w:r>
    </w:p>
    <w:p w14:paraId="74819CDB" w14:textId="77777777" w:rsidR="003B75C5" w:rsidRPr="00AE304A" w:rsidRDefault="003B75C5">
      <w:pPr>
        <w:pStyle w:val="FootnoteText"/>
        <w:rPr>
          <w:rFonts w:ascii="Times New Roman" w:hAnsi="Times New Roman" w:cs="Times New Roman"/>
          <w:sz w:val="24"/>
          <w:szCs w:val="24"/>
        </w:rPr>
      </w:pPr>
    </w:p>
  </w:footnote>
  <w:footnote w:id="12">
    <w:p w14:paraId="16A07C16" w14:textId="12FEDE73" w:rsidR="00CE6B20" w:rsidRDefault="00CE6B20">
      <w:pPr>
        <w:pStyle w:val="FootnoteText"/>
        <w:rPr>
          <w:rFonts w:ascii="Times New Roman" w:hAnsi="Times New Roman" w:cs="Times New Roman"/>
          <w:sz w:val="24"/>
          <w:szCs w:val="24"/>
        </w:rPr>
      </w:pPr>
      <w:r>
        <w:rPr>
          <w:rStyle w:val="FootnoteReference"/>
        </w:rPr>
        <w:footnoteRef/>
      </w:r>
      <w:r>
        <w:t xml:space="preserve"> </w:t>
      </w:r>
      <w:r>
        <w:rPr>
          <w:rFonts w:ascii="Times New Roman" w:hAnsi="Times New Roman" w:cs="Times New Roman"/>
          <w:sz w:val="24"/>
          <w:szCs w:val="24"/>
        </w:rPr>
        <w:t>This was a bit mind numbing. I don’t think I missed anything important but the reader is more than welcome to check.</w:t>
      </w:r>
    </w:p>
    <w:p w14:paraId="03B3B4CB" w14:textId="77777777" w:rsidR="00CE6B20" w:rsidRDefault="00CE6B20">
      <w:pPr>
        <w:pStyle w:val="FootnoteText"/>
      </w:pPr>
    </w:p>
  </w:footnote>
  <w:footnote w:id="13">
    <w:p w14:paraId="6BAC72DB" w14:textId="4EE79EBC" w:rsidR="00F0503C" w:rsidRPr="00F0503C" w:rsidRDefault="00F0503C">
      <w:pPr>
        <w:pStyle w:val="FootnoteText"/>
        <w:rPr>
          <w:rFonts w:ascii="Times New Roman" w:hAnsi="Times New Roman" w:cs="Times New Roman"/>
          <w:sz w:val="24"/>
          <w:szCs w:val="24"/>
        </w:rPr>
      </w:pPr>
      <w:r w:rsidRPr="00F0503C">
        <w:rPr>
          <w:rStyle w:val="FootnoteReference"/>
          <w:rFonts w:ascii="Times New Roman" w:hAnsi="Times New Roman" w:cs="Times New Roman"/>
          <w:sz w:val="24"/>
          <w:szCs w:val="24"/>
        </w:rPr>
        <w:footnoteRef/>
      </w:r>
      <w:r w:rsidRPr="00F0503C">
        <w:rPr>
          <w:rFonts w:ascii="Times New Roman" w:hAnsi="Times New Roman" w:cs="Times New Roman"/>
          <w:sz w:val="24"/>
          <w:szCs w:val="24"/>
        </w:rPr>
        <w:t xml:space="preserve"> A copy is available at </w:t>
      </w:r>
      <w:hyperlink r:id="rId11" w:history="1">
        <w:r w:rsidRPr="00F0503C">
          <w:rPr>
            <w:rStyle w:val="Hyperlink"/>
            <w:rFonts w:ascii="Times New Roman" w:hAnsi="Times New Roman" w:cs="Times New Roman"/>
            <w:sz w:val="24"/>
            <w:szCs w:val="24"/>
          </w:rPr>
          <w:t>https://www.house.mn.gov/hrd/bs/93/HF0917.pdf</w:t>
        </w:r>
      </w:hyperlink>
      <w:r w:rsidRPr="00F0503C">
        <w:rPr>
          <w:rFonts w:ascii="Times New Roman" w:hAnsi="Times New Roman" w:cs="Times New Roman"/>
          <w:sz w:val="24"/>
          <w:szCs w:val="24"/>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0835358"/>
      <w:docPartObj>
        <w:docPartGallery w:val="Page Numbers (Top of Page)"/>
        <w:docPartUnique/>
      </w:docPartObj>
    </w:sdtPr>
    <w:sdtEndPr>
      <w:rPr>
        <w:noProof/>
      </w:rPr>
    </w:sdtEndPr>
    <w:sdtContent>
      <w:p w14:paraId="0267D516" w14:textId="7B3D1948" w:rsidR="00262911" w:rsidRDefault="00262911">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EB9D55B" w14:textId="77777777" w:rsidR="00262911" w:rsidRDefault="002629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157790"/>
    <w:multiLevelType w:val="hybridMultilevel"/>
    <w:tmpl w:val="37A40C88"/>
    <w:lvl w:ilvl="0" w:tplc="8FB8ECC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9B13E86"/>
    <w:multiLevelType w:val="hybridMultilevel"/>
    <w:tmpl w:val="F7C88016"/>
    <w:lvl w:ilvl="0" w:tplc="5A8AC96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2A5452"/>
    <w:multiLevelType w:val="hybridMultilevel"/>
    <w:tmpl w:val="4E7E9E7A"/>
    <w:lvl w:ilvl="0" w:tplc="C032E05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F544A4"/>
    <w:multiLevelType w:val="hybridMultilevel"/>
    <w:tmpl w:val="EC622630"/>
    <w:lvl w:ilvl="0" w:tplc="6E18323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522DE3"/>
    <w:multiLevelType w:val="hybridMultilevel"/>
    <w:tmpl w:val="74E62F00"/>
    <w:lvl w:ilvl="0" w:tplc="AD9021D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7C054D0"/>
    <w:multiLevelType w:val="hybridMultilevel"/>
    <w:tmpl w:val="D6EE11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A965E7"/>
    <w:multiLevelType w:val="hybridMultilevel"/>
    <w:tmpl w:val="D284AC2A"/>
    <w:lvl w:ilvl="0" w:tplc="F6C8070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03D3E7E"/>
    <w:multiLevelType w:val="hybridMultilevel"/>
    <w:tmpl w:val="82F21B8C"/>
    <w:lvl w:ilvl="0" w:tplc="A0462F06">
      <w:start w:val="27"/>
      <w:numFmt w:val="upperLetter"/>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94B2F2F"/>
    <w:multiLevelType w:val="hybridMultilevel"/>
    <w:tmpl w:val="C15EE7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D3A2019"/>
    <w:multiLevelType w:val="hybridMultilevel"/>
    <w:tmpl w:val="804EC718"/>
    <w:lvl w:ilvl="0" w:tplc="12EC6F8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5CC72FB"/>
    <w:multiLevelType w:val="hybridMultilevel"/>
    <w:tmpl w:val="0E6A3DDE"/>
    <w:lvl w:ilvl="0" w:tplc="E0E446B0">
      <w:start w:val="1"/>
      <w:numFmt w:val="upperLetter"/>
      <w:lvlText w:val="%1."/>
      <w:lvlJc w:val="left"/>
      <w:pPr>
        <w:ind w:left="108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50015505">
    <w:abstractNumId w:val="8"/>
  </w:num>
  <w:num w:numId="2" w16cid:durableId="123348329">
    <w:abstractNumId w:val="2"/>
  </w:num>
  <w:num w:numId="3" w16cid:durableId="355692784">
    <w:abstractNumId w:val="9"/>
  </w:num>
  <w:num w:numId="4" w16cid:durableId="1722289341">
    <w:abstractNumId w:val="4"/>
  </w:num>
  <w:num w:numId="5" w16cid:durableId="2082868122">
    <w:abstractNumId w:val="3"/>
  </w:num>
  <w:num w:numId="6" w16cid:durableId="292753793">
    <w:abstractNumId w:val="1"/>
  </w:num>
  <w:num w:numId="7" w16cid:durableId="224412055">
    <w:abstractNumId w:val="6"/>
  </w:num>
  <w:num w:numId="8" w16cid:durableId="321784134">
    <w:abstractNumId w:val="10"/>
  </w:num>
  <w:num w:numId="9" w16cid:durableId="721947183">
    <w:abstractNumId w:val="5"/>
  </w:num>
  <w:num w:numId="10" w16cid:durableId="1076785718">
    <w:abstractNumId w:val="7"/>
  </w:num>
  <w:num w:numId="11" w16cid:durableId="1436659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70C"/>
    <w:rsid w:val="00002F69"/>
    <w:rsid w:val="00003550"/>
    <w:rsid w:val="00005021"/>
    <w:rsid w:val="00012E5E"/>
    <w:rsid w:val="00014C95"/>
    <w:rsid w:val="000220AB"/>
    <w:rsid w:val="00022200"/>
    <w:rsid w:val="00036E68"/>
    <w:rsid w:val="00043DD6"/>
    <w:rsid w:val="000562D0"/>
    <w:rsid w:val="00065067"/>
    <w:rsid w:val="000678FE"/>
    <w:rsid w:val="00085B54"/>
    <w:rsid w:val="00085E0B"/>
    <w:rsid w:val="00086A37"/>
    <w:rsid w:val="00093FEF"/>
    <w:rsid w:val="00094251"/>
    <w:rsid w:val="000979CE"/>
    <w:rsid w:val="000A3564"/>
    <w:rsid w:val="000A6585"/>
    <w:rsid w:val="000C41CD"/>
    <w:rsid w:val="000D0017"/>
    <w:rsid w:val="000D404D"/>
    <w:rsid w:val="000D5471"/>
    <w:rsid w:val="000F04AC"/>
    <w:rsid w:val="000F6296"/>
    <w:rsid w:val="00104FB4"/>
    <w:rsid w:val="00132C67"/>
    <w:rsid w:val="00133276"/>
    <w:rsid w:val="00134077"/>
    <w:rsid w:val="00136DFF"/>
    <w:rsid w:val="00150823"/>
    <w:rsid w:val="00157F30"/>
    <w:rsid w:val="00164C1E"/>
    <w:rsid w:val="00176845"/>
    <w:rsid w:val="00187E27"/>
    <w:rsid w:val="00190B88"/>
    <w:rsid w:val="00192B5F"/>
    <w:rsid w:val="00192FFE"/>
    <w:rsid w:val="001A0735"/>
    <w:rsid w:val="001A15A8"/>
    <w:rsid w:val="001B4F04"/>
    <w:rsid w:val="001B561F"/>
    <w:rsid w:val="001B5F8A"/>
    <w:rsid w:val="001D19AA"/>
    <w:rsid w:val="001D3978"/>
    <w:rsid w:val="001D4074"/>
    <w:rsid w:val="001D6AC7"/>
    <w:rsid w:val="001E14BA"/>
    <w:rsid w:val="001E295D"/>
    <w:rsid w:val="001F2424"/>
    <w:rsid w:val="001F4AFD"/>
    <w:rsid w:val="001F5421"/>
    <w:rsid w:val="001F6FA9"/>
    <w:rsid w:val="00202F60"/>
    <w:rsid w:val="0020478A"/>
    <w:rsid w:val="00205E10"/>
    <w:rsid w:val="00213A7E"/>
    <w:rsid w:val="00217115"/>
    <w:rsid w:val="00227FF4"/>
    <w:rsid w:val="0023162E"/>
    <w:rsid w:val="002316FA"/>
    <w:rsid w:val="00231CEF"/>
    <w:rsid w:val="0023538A"/>
    <w:rsid w:val="0023784F"/>
    <w:rsid w:val="00253792"/>
    <w:rsid w:val="00262911"/>
    <w:rsid w:val="00267E8C"/>
    <w:rsid w:val="00272C76"/>
    <w:rsid w:val="00276CBA"/>
    <w:rsid w:val="00276FCD"/>
    <w:rsid w:val="00281741"/>
    <w:rsid w:val="0028200F"/>
    <w:rsid w:val="002A2FC4"/>
    <w:rsid w:val="002B300E"/>
    <w:rsid w:val="002B72E1"/>
    <w:rsid w:val="002B7928"/>
    <w:rsid w:val="002C0604"/>
    <w:rsid w:val="002D006C"/>
    <w:rsid w:val="002E15D7"/>
    <w:rsid w:val="002E1A31"/>
    <w:rsid w:val="002E3DC7"/>
    <w:rsid w:val="002E5E17"/>
    <w:rsid w:val="002F5D92"/>
    <w:rsid w:val="002F770C"/>
    <w:rsid w:val="00312D27"/>
    <w:rsid w:val="0033534B"/>
    <w:rsid w:val="00343C9B"/>
    <w:rsid w:val="00354448"/>
    <w:rsid w:val="00372229"/>
    <w:rsid w:val="00375F8B"/>
    <w:rsid w:val="00383DA0"/>
    <w:rsid w:val="00386881"/>
    <w:rsid w:val="003B75C5"/>
    <w:rsid w:val="003C361F"/>
    <w:rsid w:val="003C40EE"/>
    <w:rsid w:val="003C4D9C"/>
    <w:rsid w:val="003D6BD7"/>
    <w:rsid w:val="003E772F"/>
    <w:rsid w:val="003F5725"/>
    <w:rsid w:val="00414FD6"/>
    <w:rsid w:val="00416BB7"/>
    <w:rsid w:val="00420BAD"/>
    <w:rsid w:val="00422E01"/>
    <w:rsid w:val="004324B7"/>
    <w:rsid w:val="00433424"/>
    <w:rsid w:val="00433BFA"/>
    <w:rsid w:val="00442570"/>
    <w:rsid w:val="00443CD5"/>
    <w:rsid w:val="00466905"/>
    <w:rsid w:val="00474BBC"/>
    <w:rsid w:val="0047526E"/>
    <w:rsid w:val="004864AF"/>
    <w:rsid w:val="00491788"/>
    <w:rsid w:val="004C1D6F"/>
    <w:rsid w:val="004D483D"/>
    <w:rsid w:val="004E7828"/>
    <w:rsid w:val="00503721"/>
    <w:rsid w:val="00505425"/>
    <w:rsid w:val="00511543"/>
    <w:rsid w:val="005127F8"/>
    <w:rsid w:val="005213DE"/>
    <w:rsid w:val="005262A4"/>
    <w:rsid w:val="00537995"/>
    <w:rsid w:val="005555AA"/>
    <w:rsid w:val="00560073"/>
    <w:rsid w:val="00563D38"/>
    <w:rsid w:val="00580FBA"/>
    <w:rsid w:val="00583D53"/>
    <w:rsid w:val="00585F30"/>
    <w:rsid w:val="00594D92"/>
    <w:rsid w:val="005A5FA0"/>
    <w:rsid w:val="005C3A64"/>
    <w:rsid w:val="005C3E73"/>
    <w:rsid w:val="005C5A8C"/>
    <w:rsid w:val="005D5AC9"/>
    <w:rsid w:val="005E02E0"/>
    <w:rsid w:val="005E4183"/>
    <w:rsid w:val="005E57E9"/>
    <w:rsid w:val="005F4DD1"/>
    <w:rsid w:val="005F589C"/>
    <w:rsid w:val="005F7F06"/>
    <w:rsid w:val="00605D8C"/>
    <w:rsid w:val="00611745"/>
    <w:rsid w:val="00631774"/>
    <w:rsid w:val="006465D3"/>
    <w:rsid w:val="006511E7"/>
    <w:rsid w:val="00662D9A"/>
    <w:rsid w:val="0067484E"/>
    <w:rsid w:val="006769BE"/>
    <w:rsid w:val="00686854"/>
    <w:rsid w:val="00693BE6"/>
    <w:rsid w:val="00695E5E"/>
    <w:rsid w:val="006C16E5"/>
    <w:rsid w:val="006E0D86"/>
    <w:rsid w:val="006E3B5D"/>
    <w:rsid w:val="006E4200"/>
    <w:rsid w:val="006E6750"/>
    <w:rsid w:val="006E70EB"/>
    <w:rsid w:val="006F37AA"/>
    <w:rsid w:val="00703EA5"/>
    <w:rsid w:val="00731AAB"/>
    <w:rsid w:val="0073252E"/>
    <w:rsid w:val="007346CD"/>
    <w:rsid w:val="007347FE"/>
    <w:rsid w:val="00736961"/>
    <w:rsid w:val="00740434"/>
    <w:rsid w:val="007410DD"/>
    <w:rsid w:val="007441FE"/>
    <w:rsid w:val="00745131"/>
    <w:rsid w:val="007540A7"/>
    <w:rsid w:val="00776CBF"/>
    <w:rsid w:val="0079079D"/>
    <w:rsid w:val="00791D30"/>
    <w:rsid w:val="007A330B"/>
    <w:rsid w:val="007B4AAA"/>
    <w:rsid w:val="007B7421"/>
    <w:rsid w:val="007D5F95"/>
    <w:rsid w:val="007D709D"/>
    <w:rsid w:val="007E2BD9"/>
    <w:rsid w:val="007F23BE"/>
    <w:rsid w:val="00810358"/>
    <w:rsid w:val="00811DDC"/>
    <w:rsid w:val="00812B18"/>
    <w:rsid w:val="008339F1"/>
    <w:rsid w:val="00836F97"/>
    <w:rsid w:val="0084039D"/>
    <w:rsid w:val="00846466"/>
    <w:rsid w:val="008555EF"/>
    <w:rsid w:val="0085616D"/>
    <w:rsid w:val="00860374"/>
    <w:rsid w:val="00875AA0"/>
    <w:rsid w:val="00876BA0"/>
    <w:rsid w:val="00883B64"/>
    <w:rsid w:val="00884466"/>
    <w:rsid w:val="008863C6"/>
    <w:rsid w:val="00886D1A"/>
    <w:rsid w:val="008961A2"/>
    <w:rsid w:val="008B07ED"/>
    <w:rsid w:val="008B4C10"/>
    <w:rsid w:val="008D093A"/>
    <w:rsid w:val="008D1BDC"/>
    <w:rsid w:val="008D5D9E"/>
    <w:rsid w:val="008D7762"/>
    <w:rsid w:val="008E1E0F"/>
    <w:rsid w:val="008E24E9"/>
    <w:rsid w:val="008E6FFB"/>
    <w:rsid w:val="008F7B17"/>
    <w:rsid w:val="0090236E"/>
    <w:rsid w:val="00910F3B"/>
    <w:rsid w:val="0092461F"/>
    <w:rsid w:val="00925C56"/>
    <w:rsid w:val="00927047"/>
    <w:rsid w:val="0093683E"/>
    <w:rsid w:val="00940298"/>
    <w:rsid w:val="009458E5"/>
    <w:rsid w:val="00946ABE"/>
    <w:rsid w:val="009565B7"/>
    <w:rsid w:val="00965DB2"/>
    <w:rsid w:val="00967345"/>
    <w:rsid w:val="00980D92"/>
    <w:rsid w:val="00985126"/>
    <w:rsid w:val="00993321"/>
    <w:rsid w:val="009A76D2"/>
    <w:rsid w:val="009A7F9C"/>
    <w:rsid w:val="009B03FA"/>
    <w:rsid w:val="009B6252"/>
    <w:rsid w:val="009B7B72"/>
    <w:rsid w:val="009C0644"/>
    <w:rsid w:val="009C24CB"/>
    <w:rsid w:val="009C326B"/>
    <w:rsid w:val="009D0D0A"/>
    <w:rsid w:val="009E3203"/>
    <w:rsid w:val="009F7EE3"/>
    <w:rsid w:val="00A036CA"/>
    <w:rsid w:val="00A040F8"/>
    <w:rsid w:val="00A16DD6"/>
    <w:rsid w:val="00A207CB"/>
    <w:rsid w:val="00A30048"/>
    <w:rsid w:val="00A3137E"/>
    <w:rsid w:val="00A32A4B"/>
    <w:rsid w:val="00A35107"/>
    <w:rsid w:val="00A35C84"/>
    <w:rsid w:val="00A42630"/>
    <w:rsid w:val="00A5283D"/>
    <w:rsid w:val="00A708F2"/>
    <w:rsid w:val="00A85B6B"/>
    <w:rsid w:val="00A93554"/>
    <w:rsid w:val="00AA0C04"/>
    <w:rsid w:val="00AA1F5D"/>
    <w:rsid w:val="00AA33B9"/>
    <w:rsid w:val="00AA7653"/>
    <w:rsid w:val="00AA78F3"/>
    <w:rsid w:val="00AB15C8"/>
    <w:rsid w:val="00AC258D"/>
    <w:rsid w:val="00AD4AF2"/>
    <w:rsid w:val="00AD52F0"/>
    <w:rsid w:val="00AE2F20"/>
    <w:rsid w:val="00AE304A"/>
    <w:rsid w:val="00AF02BE"/>
    <w:rsid w:val="00AF06BA"/>
    <w:rsid w:val="00AF5471"/>
    <w:rsid w:val="00B03F7C"/>
    <w:rsid w:val="00B15B8E"/>
    <w:rsid w:val="00B224AC"/>
    <w:rsid w:val="00B2678F"/>
    <w:rsid w:val="00B275C8"/>
    <w:rsid w:val="00B4403A"/>
    <w:rsid w:val="00B639F4"/>
    <w:rsid w:val="00B76365"/>
    <w:rsid w:val="00B8514C"/>
    <w:rsid w:val="00B90B4A"/>
    <w:rsid w:val="00B95226"/>
    <w:rsid w:val="00BB15A8"/>
    <w:rsid w:val="00BB37F9"/>
    <w:rsid w:val="00BB56E3"/>
    <w:rsid w:val="00BC33B4"/>
    <w:rsid w:val="00BC66DC"/>
    <w:rsid w:val="00BD04CF"/>
    <w:rsid w:val="00BD7A4E"/>
    <w:rsid w:val="00BF1C37"/>
    <w:rsid w:val="00BF40E2"/>
    <w:rsid w:val="00C122FD"/>
    <w:rsid w:val="00C138D2"/>
    <w:rsid w:val="00C174AE"/>
    <w:rsid w:val="00C175A2"/>
    <w:rsid w:val="00C27A0B"/>
    <w:rsid w:val="00C33CB8"/>
    <w:rsid w:val="00C354EA"/>
    <w:rsid w:val="00C3620F"/>
    <w:rsid w:val="00C3686B"/>
    <w:rsid w:val="00C43E00"/>
    <w:rsid w:val="00C57B60"/>
    <w:rsid w:val="00C66198"/>
    <w:rsid w:val="00C7431F"/>
    <w:rsid w:val="00C74B5D"/>
    <w:rsid w:val="00C74F95"/>
    <w:rsid w:val="00C77023"/>
    <w:rsid w:val="00C8597F"/>
    <w:rsid w:val="00C900D6"/>
    <w:rsid w:val="00C91F12"/>
    <w:rsid w:val="00C950B9"/>
    <w:rsid w:val="00CB1A1A"/>
    <w:rsid w:val="00CB6BFD"/>
    <w:rsid w:val="00CE1B61"/>
    <w:rsid w:val="00CE6B20"/>
    <w:rsid w:val="00CE6C0E"/>
    <w:rsid w:val="00CF5871"/>
    <w:rsid w:val="00CF7471"/>
    <w:rsid w:val="00D006DE"/>
    <w:rsid w:val="00D069B3"/>
    <w:rsid w:val="00D1649B"/>
    <w:rsid w:val="00D37582"/>
    <w:rsid w:val="00D43B7E"/>
    <w:rsid w:val="00D44D4D"/>
    <w:rsid w:val="00D50C46"/>
    <w:rsid w:val="00D51EBE"/>
    <w:rsid w:val="00D6120E"/>
    <w:rsid w:val="00D70D2C"/>
    <w:rsid w:val="00D71AAD"/>
    <w:rsid w:val="00D71C11"/>
    <w:rsid w:val="00D97C26"/>
    <w:rsid w:val="00DA38D5"/>
    <w:rsid w:val="00DB15DA"/>
    <w:rsid w:val="00DB576D"/>
    <w:rsid w:val="00DB723A"/>
    <w:rsid w:val="00DD43CE"/>
    <w:rsid w:val="00DE37CD"/>
    <w:rsid w:val="00DE4E30"/>
    <w:rsid w:val="00DE659B"/>
    <w:rsid w:val="00DE7BA8"/>
    <w:rsid w:val="00E124BC"/>
    <w:rsid w:val="00E2496D"/>
    <w:rsid w:val="00E306CD"/>
    <w:rsid w:val="00E3156F"/>
    <w:rsid w:val="00E64F09"/>
    <w:rsid w:val="00E67E80"/>
    <w:rsid w:val="00E72F40"/>
    <w:rsid w:val="00E777EC"/>
    <w:rsid w:val="00E851FC"/>
    <w:rsid w:val="00E90B60"/>
    <w:rsid w:val="00EA71A4"/>
    <w:rsid w:val="00EA789B"/>
    <w:rsid w:val="00EB25E4"/>
    <w:rsid w:val="00EC6336"/>
    <w:rsid w:val="00ED6801"/>
    <w:rsid w:val="00ED7729"/>
    <w:rsid w:val="00EE6626"/>
    <w:rsid w:val="00EF4CE3"/>
    <w:rsid w:val="00EF6D22"/>
    <w:rsid w:val="00F017CC"/>
    <w:rsid w:val="00F0503C"/>
    <w:rsid w:val="00F107E5"/>
    <w:rsid w:val="00F11FEC"/>
    <w:rsid w:val="00F200E1"/>
    <w:rsid w:val="00F2660C"/>
    <w:rsid w:val="00F34047"/>
    <w:rsid w:val="00F53F1F"/>
    <w:rsid w:val="00F70809"/>
    <w:rsid w:val="00F70864"/>
    <w:rsid w:val="00F726AB"/>
    <w:rsid w:val="00FA048D"/>
    <w:rsid w:val="00FB0EF4"/>
    <w:rsid w:val="00FB1CDE"/>
    <w:rsid w:val="00FB3157"/>
    <w:rsid w:val="00FD073F"/>
    <w:rsid w:val="00FD4D53"/>
    <w:rsid w:val="00FE2D54"/>
    <w:rsid w:val="00FF37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61E676"/>
  <w15:chartTrackingRefBased/>
  <w15:docId w15:val="{6FFC081E-E082-42A7-89DE-6CA406B73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770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2F770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F770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F770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F770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F77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77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77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77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770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2F770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F770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F770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F770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F77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77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77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770C"/>
    <w:rPr>
      <w:rFonts w:eastAsiaTheme="majorEastAsia" w:cstheme="majorBidi"/>
      <w:color w:val="272727" w:themeColor="text1" w:themeTint="D8"/>
    </w:rPr>
  </w:style>
  <w:style w:type="paragraph" w:styleId="Title">
    <w:name w:val="Title"/>
    <w:basedOn w:val="Normal"/>
    <w:next w:val="Normal"/>
    <w:link w:val="TitleChar"/>
    <w:uiPriority w:val="10"/>
    <w:qFormat/>
    <w:rsid w:val="002F77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77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77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77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770C"/>
    <w:pPr>
      <w:spacing w:before="160"/>
      <w:jc w:val="center"/>
    </w:pPr>
    <w:rPr>
      <w:i/>
      <w:iCs/>
      <w:color w:val="404040" w:themeColor="text1" w:themeTint="BF"/>
    </w:rPr>
  </w:style>
  <w:style w:type="character" w:customStyle="1" w:styleId="QuoteChar">
    <w:name w:val="Quote Char"/>
    <w:basedOn w:val="DefaultParagraphFont"/>
    <w:link w:val="Quote"/>
    <w:uiPriority w:val="29"/>
    <w:rsid w:val="002F770C"/>
    <w:rPr>
      <w:i/>
      <w:iCs/>
      <w:color w:val="404040" w:themeColor="text1" w:themeTint="BF"/>
    </w:rPr>
  </w:style>
  <w:style w:type="paragraph" w:styleId="ListParagraph">
    <w:name w:val="List Paragraph"/>
    <w:basedOn w:val="Normal"/>
    <w:uiPriority w:val="34"/>
    <w:qFormat/>
    <w:rsid w:val="002F770C"/>
    <w:pPr>
      <w:ind w:left="720"/>
      <w:contextualSpacing/>
    </w:pPr>
  </w:style>
  <w:style w:type="character" w:styleId="IntenseEmphasis">
    <w:name w:val="Intense Emphasis"/>
    <w:basedOn w:val="DefaultParagraphFont"/>
    <w:uiPriority w:val="21"/>
    <w:qFormat/>
    <w:rsid w:val="002F770C"/>
    <w:rPr>
      <w:i/>
      <w:iCs/>
      <w:color w:val="2F5496" w:themeColor="accent1" w:themeShade="BF"/>
    </w:rPr>
  </w:style>
  <w:style w:type="paragraph" w:styleId="IntenseQuote">
    <w:name w:val="Intense Quote"/>
    <w:basedOn w:val="Normal"/>
    <w:next w:val="Normal"/>
    <w:link w:val="IntenseQuoteChar"/>
    <w:uiPriority w:val="30"/>
    <w:qFormat/>
    <w:rsid w:val="002F770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F770C"/>
    <w:rPr>
      <w:i/>
      <w:iCs/>
      <w:color w:val="2F5496" w:themeColor="accent1" w:themeShade="BF"/>
    </w:rPr>
  </w:style>
  <w:style w:type="character" w:styleId="IntenseReference">
    <w:name w:val="Intense Reference"/>
    <w:basedOn w:val="DefaultParagraphFont"/>
    <w:uiPriority w:val="32"/>
    <w:qFormat/>
    <w:rsid w:val="002F770C"/>
    <w:rPr>
      <w:b/>
      <w:bCs/>
      <w:smallCaps/>
      <w:color w:val="2F5496" w:themeColor="accent1" w:themeShade="BF"/>
      <w:spacing w:val="5"/>
    </w:rPr>
  </w:style>
  <w:style w:type="paragraph" w:styleId="FootnoteText">
    <w:name w:val="footnote text"/>
    <w:basedOn w:val="Normal"/>
    <w:link w:val="FootnoteTextChar"/>
    <w:unhideWhenUsed/>
    <w:rsid w:val="002F770C"/>
    <w:pPr>
      <w:spacing w:after="0" w:line="240" w:lineRule="auto"/>
    </w:pPr>
    <w:rPr>
      <w:sz w:val="20"/>
      <w:szCs w:val="20"/>
    </w:rPr>
  </w:style>
  <w:style w:type="character" w:customStyle="1" w:styleId="FootnoteTextChar">
    <w:name w:val="Footnote Text Char"/>
    <w:basedOn w:val="DefaultParagraphFont"/>
    <w:link w:val="FootnoteText"/>
    <w:uiPriority w:val="99"/>
    <w:rsid w:val="002F770C"/>
    <w:rPr>
      <w:sz w:val="20"/>
      <w:szCs w:val="20"/>
    </w:rPr>
  </w:style>
  <w:style w:type="character" w:styleId="FootnoteReference">
    <w:name w:val="footnote reference"/>
    <w:basedOn w:val="DefaultParagraphFont"/>
    <w:semiHidden/>
    <w:unhideWhenUsed/>
    <w:rsid w:val="002F770C"/>
    <w:rPr>
      <w:vertAlign w:val="superscript"/>
    </w:rPr>
  </w:style>
  <w:style w:type="character" w:styleId="Hyperlink">
    <w:name w:val="Hyperlink"/>
    <w:basedOn w:val="DefaultParagraphFont"/>
    <w:uiPriority w:val="99"/>
    <w:unhideWhenUsed/>
    <w:rsid w:val="005262A4"/>
    <w:rPr>
      <w:color w:val="0563C1" w:themeColor="hyperlink"/>
      <w:u w:val="single"/>
    </w:rPr>
  </w:style>
  <w:style w:type="character" w:styleId="UnresolvedMention">
    <w:name w:val="Unresolved Mention"/>
    <w:basedOn w:val="DefaultParagraphFont"/>
    <w:uiPriority w:val="99"/>
    <w:semiHidden/>
    <w:unhideWhenUsed/>
    <w:rsid w:val="005262A4"/>
    <w:rPr>
      <w:color w:val="605E5C"/>
      <w:shd w:val="clear" w:color="auto" w:fill="E1DFDD"/>
    </w:rPr>
  </w:style>
  <w:style w:type="character" w:styleId="PlaceholderText">
    <w:name w:val="Placeholder Text"/>
    <w:basedOn w:val="DefaultParagraphFont"/>
    <w:uiPriority w:val="99"/>
    <w:semiHidden/>
    <w:rsid w:val="00D71AAD"/>
    <w:rPr>
      <w:color w:val="666666"/>
    </w:rPr>
  </w:style>
  <w:style w:type="paragraph" w:styleId="NormalWeb">
    <w:name w:val="Normal (Web)"/>
    <w:basedOn w:val="Normal"/>
    <w:uiPriority w:val="99"/>
    <w:semiHidden/>
    <w:unhideWhenUsed/>
    <w:rsid w:val="00EB25E4"/>
    <w:rPr>
      <w:rFonts w:ascii="Times New Roman" w:hAnsi="Times New Roman" w:cs="Times New Roman"/>
    </w:rPr>
  </w:style>
  <w:style w:type="character" w:styleId="FollowedHyperlink">
    <w:name w:val="FollowedHyperlink"/>
    <w:basedOn w:val="DefaultParagraphFont"/>
    <w:uiPriority w:val="99"/>
    <w:semiHidden/>
    <w:unhideWhenUsed/>
    <w:rsid w:val="00085E0B"/>
    <w:rPr>
      <w:color w:val="954F72" w:themeColor="followedHyperlink"/>
      <w:u w:val="single"/>
    </w:rPr>
  </w:style>
  <w:style w:type="paragraph" w:styleId="Header">
    <w:name w:val="header"/>
    <w:basedOn w:val="Normal"/>
    <w:link w:val="HeaderChar"/>
    <w:uiPriority w:val="99"/>
    <w:unhideWhenUsed/>
    <w:rsid w:val="002629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2911"/>
  </w:style>
  <w:style w:type="paragraph" w:styleId="Footer">
    <w:name w:val="footer"/>
    <w:basedOn w:val="Normal"/>
    <w:link w:val="FooterChar"/>
    <w:uiPriority w:val="99"/>
    <w:unhideWhenUsed/>
    <w:rsid w:val="002629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29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visor.mn.gov/statutes/2025/cite/504B.182" TargetMode="External"/><Relationship Id="rId13" Type="http://schemas.openxmlformats.org/officeDocument/2006/relationships/hyperlink" Target="https://birnberglegalwebsite.wordpress.com/wp-content/uploads/2026/03/lh-1992-376-security-deposit-.pdf" TargetMode="External"/><Relationship Id="rId18" Type="http://schemas.openxmlformats.org/officeDocument/2006/relationships/hyperlink" Target="https://www.revisor.mn.gov/laws/2023/0/52/"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revisor.mn.gov/laws/?doctype=Chapter&amp;year=1992&amp;type=0&amp;id=376" TargetMode="External"/><Relationship Id="rId17" Type="http://schemas.openxmlformats.org/officeDocument/2006/relationships/hyperlink" Target="https://mn.gov/law-library-stat/archive/ctapun/9712/1002.htm" TargetMode="External"/><Relationship Id="rId2" Type="http://schemas.openxmlformats.org/officeDocument/2006/relationships/numbering" Target="numbering.xml"/><Relationship Id="rId16" Type="http://schemas.openxmlformats.org/officeDocument/2006/relationships/hyperlink" Target="https://mn.gov/law-library-stat/archive/ctapun/9712/1002.htm" TargetMode="External"/><Relationship Id="rId20" Type="http://schemas.openxmlformats.org/officeDocument/2006/relationships/hyperlink" Target="https://www.house.mn.gov/audio/default.asp"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irnberglegalwebsite.net/2019/07/22/mungall-v-garry-the-court-of-appeals-misconstrues-the-21-day-clock-in-minn-stat-%c2%a7-504b-178-2/" TargetMode="External"/><Relationship Id="rId5" Type="http://schemas.openxmlformats.org/officeDocument/2006/relationships/webSettings" Target="webSettings.xml"/><Relationship Id="rId15" Type="http://schemas.openxmlformats.org/officeDocument/2006/relationships/hyperlink" Target="https://birnberglegalwebsite.wordpress.com/wp-content/uploads/2026/03/lh-1992-376-security-deposit-.pdf" TargetMode="External"/><Relationship Id="rId23" Type="http://schemas.openxmlformats.org/officeDocument/2006/relationships/theme" Target="theme/theme1.xml"/><Relationship Id="rId10" Type="http://schemas.openxmlformats.org/officeDocument/2006/relationships/hyperlink" Target="https://birnberglegalwebsite.net/2019/07/22/mungall-v-garry-the-court-of-appeals-misconstrues-the-21-day-clock-in-minn-stat-%c2%a7-504b-178-2/" TargetMode="External"/><Relationship Id="rId19" Type="http://schemas.openxmlformats.org/officeDocument/2006/relationships/hyperlink" Target="https://www.leg.mn.gov/leg/legis" TargetMode="External"/><Relationship Id="rId4" Type="http://schemas.openxmlformats.org/officeDocument/2006/relationships/settings" Target="settings.xml"/><Relationship Id="rId9" Type="http://schemas.openxmlformats.org/officeDocument/2006/relationships/hyperlink" Target="https://birnberglegalwebsite.net/2019/07/22/mungall-v-garry-the-court-of-appeals-misconstrues-the-21-day-clock-in-minn-stat-%c2%a7-504b-178-2/" TargetMode="External"/><Relationship Id="rId14" Type="http://schemas.openxmlformats.org/officeDocument/2006/relationships/hyperlink" Target="https://birnberglegalwebsite.wordpress.com/wp-content/uploads/2026/03/lh-1992-376-security-deposit-.pdf"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birnberglegalwebsite.wordpress.com/wp-content/uploads/2026/03/lh-1992-376-security-deposit-.pdf" TargetMode="External"/><Relationship Id="rId3" Type="http://schemas.openxmlformats.org/officeDocument/2006/relationships/hyperlink" Target="https://www.revisor.mn.gov/laws/1999/0/199/" TargetMode="External"/><Relationship Id="rId7" Type="http://schemas.openxmlformats.org/officeDocument/2006/relationships/hyperlink" Target="https://birnberglegalwebsite.net/2019/07/22/mungall-v-garry-the-court-of-appeals-misconstrues-the-21-day-clock-in-minn-stat-%c2%a7-504b-178-2/" TargetMode="External"/><Relationship Id="rId2" Type="http://schemas.openxmlformats.org/officeDocument/2006/relationships/hyperlink" Target="https://www.revisor.mn.gov/laws/2010/0/315/" TargetMode="External"/><Relationship Id="rId1" Type="http://schemas.openxmlformats.org/officeDocument/2006/relationships/hyperlink" Target="https://www.revisor.mn.gov/laws/2023/0/52/" TargetMode="External"/><Relationship Id="rId6" Type="http://schemas.openxmlformats.org/officeDocument/2006/relationships/hyperlink" Target="https://birnberglegalwebsite.net/2019/07/22/mungall-v-garry-the-court-of-appeals-misconstrues-the-21-day-clock-in-minn-stat-%c2%a7-504b-178-2/" TargetMode="External"/><Relationship Id="rId11" Type="http://schemas.openxmlformats.org/officeDocument/2006/relationships/hyperlink" Target="https://www.house.mn.gov/hrd/bs/93/HF0917.pdf" TargetMode="External"/><Relationship Id="rId5" Type="http://schemas.openxmlformats.org/officeDocument/2006/relationships/hyperlink" Target="https://birnberglegalwebsite.net/wp-content/uploads/2019/07/mungall-appendix-2-d.pdf" TargetMode="External"/><Relationship Id="rId10" Type="http://schemas.openxmlformats.org/officeDocument/2006/relationships/hyperlink" Target="https://birnberglegalwebsite.wordpress.com/wp-content/uploads/2026/03/appendix-sakhardande-.pdf" TargetMode="External"/><Relationship Id="rId4" Type="http://schemas.openxmlformats.org/officeDocument/2006/relationships/hyperlink" Target="https://scholar.google.com/scholar_case?case=7995007659523373036&amp;hl=en&amp;as_sdt=6,24" TargetMode="External"/><Relationship Id="rId9" Type="http://schemas.openxmlformats.org/officeDocument/2006/relationships/hyperlink" Target="https://birnberglegalwebsite.wordpress.com/wp-content/uploads/2026/03/lh-1992-376-security-deposi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E76993-3E53-4643-B6CD-E13C85CBC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22</Pages>
  <Words>6722</Words>
  <Characters>38316</Characters>
  <Application>Microsoft Office Word</Application>
  <DocSecurity>0</DocSecurity>
  <Lines>319</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14</cp:revision>
  <cp:lastPrinted>2026-03-22T23:43:00Z</cp:lastPrinted>
  <dcterms:created xsi:type="dcterms:W3CDTF">2026-03-09T15:49:00Z</dcterms:created>
  <dcterms:modified xsi:type="dcterms:W3CDTF">2026-03-22T23:49:00Z</dcterms:modified>
</cp:coreProperties>
</file>