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9A7E9" w14:textId="140ACA74" w:rsidR="00646709" w:rsidRPr="00B113B7" w:rsidRDefault="00646709" w:rsidP="00F6261E">
      <w:pPr>
        <w:suppressLineNumbers/>
        <w:jc w:val="center"/>
        <w:rPr>
          <w:rFonts w:ascii="Times New Roman" w:hAnsi="Times New Roman" w:cs="Times New Roman"/>
          <w:b/>
          <w:bCs/>
          <w:sz w:val="28"/>
          <w:szCs w:val="28"/>
        </w:rPr>
      </w:pPr>
      <w:r w:rsidRPr="00B113B7">
        <w:rPr>
          <w:rFonts w:ascii="Times New Roman" w:hAnsi="Times New Roman" w:cs="Times New Roman"/>
          <w:b/>
          <w:bCs/>
          <w:sz w:val="28"/>
          <w:szCs w:val="28"/>
        </w:rPr>
        <w:t>A S</w:t>
      </w:r>
      <w:r w:rsidR="00B113B7" w:rsidRPr="00B113B7">
        <w:rPr>
          <w:rFonts w:ascii="Times New Roman" w:hAnsi="Times New Roman" w:cs="Times New Roman"/>
          <w:b/>
          <w:bCs/>
          <w:sz w:val="28"/>
          <w:szCs w:val="28"/>
        </w:rPr>
        <w:t xml:space="preserve">uccessor in Interest Should Have a Claim for Bad-Faith Retention of Security Deposits under Minn. Stat. § 504B.178, Subd. 7. </w:t>
      </w:r>
      <w:r w:rsidR="00F6261E">
        <w:rPr>
          <w:rFonts w:ascii="Times New Roman" w:hAnsi="Times New Roman" w:cs="Times New Roman"/>
          <w:b/>
          <w:bCs/>
          <w:sz w:val="28"/>
          <w:szCs w:val="28"/>
        </w:rPr>
        <w:t xml:space="preserve">                            </w:t>
      </w:r>
      <w:r w:rsidR="00B113B7" w:rsidRPr="00B113B7">
        <w:rPr>
          <w:rFonts w:ascii="Times New Roman" w:hAnsi="Times New Roman" w:cs="Times New Roman"/>
          <w:b/>
          <w:bCs/>
          <w:i/>
          <w:iCs/>
          <w:sz w:val="28"/>
          <w:szCs w:val="28"/>
        </w:rPr>
        <w:t xml:space="preserve">Townridge Apts. </w:t>
      </w:r>
      <w:r w:rsidR="00B113B7">
        <w:rPr>
          <w:rFonts w:ascii="Times New Roman" w:hAnsi="Times New Roman" w:cs="Times New Roman"/>
          <w:b/>
          <w:bCs/>
          <w:i/>
          <w:iCs/>
          <w:sz w:val="28"/>
          <w:szCs w:val="28"/>
        </w:rPr>
        <w:t>v</w:t>
      </w:r>
      <w:r w:rsidR="00B113B7" w:rsidRPr="00B113B7">
        <w:rPr>
          <w:rFonts w:ascii="Times New Roman" w:hAnsi="Times New Roman" w:cs="Times New Roman"/>
          <w:b/>
          <w:bCs/>
          <w:i/>
          <w:iCs/>
          <w:sz w:val="28"/>
          <w:szCs w:val="28"/>
        </w:rPr>
        <w:t>. Silver</w:t>
      </w:r>
      <w:r w:rsidR="000A7C5B">
        <w:rPr>
          <w:rFonts w:ascii="Times New Roman" w:hAnsi="Times New Roman" w:cs="Times New Roman"/>
          <w:b/>
          <w:bCs/>
          <w:i/>
          <w:iCs/>
          <w:sz w:val="28"/>
          <w:szCs w:val="28"/>
        </w:rPr>
        <w:t xml:space="preserve"> C</w:t>
      </w:r>
      <w:r w:rsidR="00B113B7" w:rsidRPr="00B113B7">
        <w:rPr>
          <w:rFonts w:ascii="Times New Roman" w:hAnsi="Times New Roman" w:cs="Times New Roman"/>
          <w:b/>
          <w:bCs/>
          <w:i/>
          <w:iCs/>
          <w:sz w:val="28"/>
          <w:szCs w:val="28"/>
        </w:rPr>
        <w:t xml:space="preserve">rest </w:t>
      </w:r>
      <w:r w:rsidR="00B113B7" w:rsidRPr="00B113B7">
        <w:rPr>
          <w:rFonts w:ascii="Times New Roman" w:hAnsi="Times New Roman" w:cs="Times New Roman"/>
          <w:b/>
          <w:bCs/>
          <w:sz w:val="28"/>
          <w:szCs w:val="28"/>
        </w:rPr>
        <w:t>Was Wrongly Decided.</w:t>
      </w:r>
    </w:p>
    <w:p w14:paraId="3872782D" w14:textId="37548B35" w:rsidR="00186B44" w:rsidRPr="0036769F" w:rsidRDefault="0036769F" w:rsidP="0036769F">
      <w:pPr>
        <w:suppressLineNumbers/>
        <w:rPr>
          <w:rFonts w:ascii="Times New Roman" w:hAnsi="Times New Roman" w:cs="Times New Roman"/>
          <w:b/>
          <w:bCs/>
        </w:rPr>
      </w:pPr>
      <w:r>
        <w:rPr>
          <w:rFonts w:ascii="Times New Roman" w:hAnsi="Times New Roman" w:cs="Times New Roman"/>
          <w:b/>
          <w:bCs/>
        </w:rPr>
        <w:t xml:space="preserve">I. </w:t>
      </w:r>
      <w:r w:rsidR="00186B44" w:rsidRPr="0036769F">
        <w:rPr>
          <w:rFonts w:ascii="Times New Roman" w:hAnsi="Times New Roman" w:cs="Times New Roman"/>
          <w:b/>
          <w:bCs/>
        </w:rPr>
        <w:t>FACTS</w:t>
      </w:r>
    </w:p>
    <w:p w14:paraId="1438391B" w14:textId="6869D971" w:rsidR="0010709D" w:rsidRPr="00B96F22" w:rsidRDefault="0010709D" w:rsidP="001B7D20">
      <w:pPr>
        <w:suppressLineNumbers/>
        <w:rPr>
          <w:rFonts w:ascii="Times New Roman" w:hAnsi="Times New Roman" w:cs="Times New Roman"/>
        </w:rPr>
      </w:pPr>
      <w:r w:rsidRPr="00B96F22">
        <w:rPr>
          <w:rFonts w:ascii="Times New Roman" w:hAnsi="Times New Roman" w:cs="Times New Roman"/>
        </w:rPr>
        <w:t xml:space="preserve">The material facts in </w:t>
      </w:r>
      <w:hyperlink r:id="rId8" w:tgtFrame="_blank" w:history="1">
        <w:r w:rsidR="00134AFD" w:rsidRPr="00B96F22">
          <w:rPr>
            <w:rStyle w:val="Hyperlink"/>
            <w:rFonts w:ascii="Times New Roman" w:hAnsi="Times New Roman" w:cs="Times New Roman"/>
          </w:rPr>
          <w:t>Townridge Apts v Silver Crest Partnership, 1997 WL 769489, File No. C6-97-1002 (Minn. Ct. App. 12/16/1997) (nonprecedential)</w:t>
        </w:r>
      </w:hyperlink>
      <w:r w:rsidR="00B96F22">
        <w:t xml:space="preserve"> </w:t>
      </w:r>
      <w:r w:rsidRPr="00B96F22">
        <w:rPr>
          <w:rFonts w:ascii="Times New Roman" w:hAnsi="Times New Roman" w:cs="Times New Roman"/>
        </w:rPr>
        <w:t>were as follows:</w:t>
      </w:r>
      <w:r w:rsidR="00B96F22">
        <w:rPr>
          <w:rStyle w:val="FootnoteReference"/>
          <w:rFonts w:ascii="Times New Roman" w:hAnsi="Times New Roman" w:cs="Times New Roman"/>
        </w:rPr>
        <w:footnoteReference w:id="1"/>
      </w:r>
    </w:p>
    <w:p w14:paraId="528CA4ED" w14:textId="015732FD" w:rsidR="0010709D" w:rsidRPr="00B96F22" w:rsidRDefault="0010709D" w:rsidP="001B7D20">
      <w:pPr>
        <w:suppressLineNumbers/>
        <w:rPr>
          <w:rFonts w:ascii="Times New Roman" w:hAnsi="Times New Roman" w:cs="Times New Roman"/>
        </w:rPr>
      </w:pPr>
      <w:r w:rsidRPr="00B96F22">
        <w:rPr>
          <w:rFonts w:ascii="Times New Roman" w:hAnsi="Times New Roman" w:cs="Times New Roman"/>
        </w:rPr>
        <w:t>Townridge owned an apartment complex of about 68 units</w:t>
      </w:r>
      <w:r w:rsidR="00B96F22">
        <w:rPr>
          <w:rStyle w:val="FootnoteReference"/>
          <w:rFonts w:ascii="Times New Roman" w:hAnsi="Times New Roman" w:cs="Times New Roman"/>
        </w:rPr>
        <w:footnoteReference w:id="2"/>
      </w:r>
      <w:r w:rsidRPr="00B96F22">
        <w:rPr>
          <w:rFonts w:ascii="Times New Roman" w:hAnsi="Times New Roman" w:cs="Times New Roman"/>
        </w:rPr>
        <w:t xml:space="preserve"> in New Brighton, MN. On December 12, 1986, sold the complex to Silver Crest on a contract for deed, which required Silve</w:t>
      </w:r>
      <w:r w:rsidR="0036769F">
        <w:rPr>
          <w:rFonts w:ascii="Times New Roman" w:hAnsi="Times New Roman" w:cs="Times New Roman"/>
        </w:rPr>
        <w:t>r C</w:t>
      </w:r>
      <w:r w:rsidRPr="00B96F22">
        <w:rPr>
          <w:rFonts w:ascii="Times New Roman" w:hAnsi="Times New Roman" w:cs="Times New Roman"/>
        </w:rPr>
        <w:t xml:space="preserve">rest to pay Townridge $10,875 per month until December 29, 1996, when a balloon payment was due, plus property taxes. Silver Crest fell behind on the property tax payments. Townridge served it with a notice of cancellation of the contract for deed </w:t>
      </w:r>
      <w:r w:rsidR="00112C97">
        <w:rPr>
          <w:rFonts w:ascii="Times New Roman" w:hAnsi="Times New Roman" w:cs="Times New Roman"/>
        </w:rPr>
        <w:t>o</w:t>
      </w:r>
      <w:r w:rsidRPr="00B96F22">
        <w:rPr>
          <w:rFonts w:ascii="Times New Roman" w:hAnsi="Times New Roman" w:cs="Times New Roman"/>
        </w:rPr>
        <w:t>n April 8, 1996. Silver Crest did not cure the default, resulting in fee title to the complex reverting to Townridge on June 8, 1996 per Minn. Stat. § 559.21.</w:t>
      </w:r>
    </w:p>
    <w:p w14:paraId="513FF193" w14:textId="64891527" w:rsidR="00AA5E43" w:rsidRPr="00B96F22" w:rsidRDefault="0010709D" w:rsidP="001B7D20">
      <w:pPr>
        <w:suppressLineNumbers/>
        <w:rPr>
          <w:rFonts w:ascii="Times New Roman" w:hAnsi="Times New Roman" w:cs="Times New Roman"/>
        </w:rPr>
      </w:pPr>
      <w:r w:rsidRPr="00B96F22">
        <w:rPr>
          <w:rFonts w:ascii="Times New Roman" w:hAnsi="Times New Roman" w:cs="Times New Roman"/>
        </w:rPr>
        <w:t xml:space="preserve">In the meantime, Silver Crest had collected </w:t>
      </w:r>
      <w:r w:rsidR="00A5621D">
        <w:rPr>
          <w:rFonts w:ascii="Times New Roman" w:hAnsi="Times New Roman" w:cs="Times New Roman"/>
        </w:rPr>
        <w:t>$23,678</w:t>
      </w:r>
      <w:r w:rsidRPr="00B96F22">
        <w:rPr>
          <w:rFonts w:ascii="Times New Roman" w:hAnsi="Times New Roman" w:cs="Times New Roman"/>
        </w:rPr>
        <w:t xml:space="preserve"> in rent payments for June from some of the tenants plus security deposits, 58 of which had been made by current tenants.</w:t>
      </w:r>
      <w:r w:rsidR="000A2760" w:rsidRPr="00B96F22">
        <w:rPr>
          <w:rFonts w:ascii="Times New Roman" w:hAnsi="Times New Roman" w:cs="Times New Roman"/>
        </w:rPr>
        <w:t xml:space="preserve"> </w:t>
      </w:r>
      <w:r w:rsidR="00F9291C" w:rsidRPr="00B96F22">
        <w:rPr>
          <w:rFonts w:ascii="Times New Roman" w:hAnsi="Times New Roman" w:cs="Times New Roman"/>
        </w:rPr>
        <w:t xml:space="preserve">On June 13, 1986, Silver Crest paid Townridge $2,590, apparently related to rents. A few days later, </w:t>
      </w:r>
      <w:proofErr w:type="spellStart"/>
      <w:r w:rsidR="00F9291C" w:rsidRPr="00B96F22">
        <w:rPr>
          <w:rFonts w:ascii="Times New Roman" w:hAnsi="Times New Roman" w:cs="Times New Roman"/>
        </w:rPr>
        <w:t>Townridge’s</w:t>
      </w:r>
      <w:proofErr w:type="spellEnd"/>
      <w:r w:rsidR="00F9291C" w:rsidRPr="00B96F22">
        <w:rPr>
          <w:rFonts w:ascii="Times New Roman" w:hAnsi="Times New Roman" w:cs="Times New Roman"/>
        </w:rPr>
        <w:t xml:space="preserve"> attorney sent Silver Crest a letter demanding it return the deposits plus 22/30 of the collected June rents to Townridge. </w:t>
      </w:r>
    </w:p>
    <w:p w14:paraId="24EE2806" w14:textId="66DE5E42" w:rsidR="0010709D" w:rsidRPr="00B96F22" w:rsidRDefault="00AA5E43" w:rsidP="001B7D20">
      <w:pPr>
        <w:suppressLineNumbers/>
        <w:rPr>
          <w:rFonts w:ascii="Times New Roman" w:hAnsi="Times New Roman" w:cs="Times New Roman"/>
        </w:rPr>
      </w:pPr>
      <w:r w:rsidRPr="00B96F22">
        <w:rPr>
          <w:rFonts w:ascii="Times New Roman" w:hAnsi="Times New Roman" w:cs="Times New Roman"/>
        </w:rPr>
        <w:t xml:space="preserve">On August 22, 1996, Townridge served a Summons and Complaint on Silver Crest. The complaint essentially had two counts. One was for 22/30 of the June rents. </w:t>
      </w:r>
      <w:r w:rsidR="00F9291C" w:rsidRPr="00B96F22">
        <w:rPr>
          <w:rFonts w:ascii="Times New Roman" w:hAnsi="Times New Roman" w:cs="Times New Roman"/>
        </w:rPr>
        <w:t>The other was for the outstanding security deposits plus 58 x $200 = $11,600 for bad faith damages under Minn. Stat. §504.20, subd. 7 (1994) which read:</w:t>
      </w:r>
    </w:p>
    <w:p w14:paraId="522E48FB" w14:textId="6C86E19A" w:rsidR="008101A8" w:rsidRPr="00B96F22" w:rsidRDefault="008101A8" w:rsidP="001B7D20">
      <w:pPr>
        <w:suppressLineNumbers/>
        <w:ind w:left="720"/>
        <w:rPr>
          <w:rFonts w:cstheme="minorHAnsi"/>
        </w:rPr>
      </w:pPr>
      <w:r w:rsidRPr="00B96F22">
        <w:rPr>
          <w:rFonts w:cstheme="minorHAnsi"/>
        </w:rPr>
        <w:t xml:space="preserve">Subd. 7.  The bad faith retention by a landlord of a deposit, the interest thereon, or any portion thereof, in violation of this section shall subject the landlord to punitive damages not to exceed $200 for each deposit in addition to the damages provided in subdivision 4.  If the landlord has failed to comply with the provisions of subdivision 3 or 5, retention of a deposit shall be presumed to be in bad faith unless the landlord returns the deposit within two weeks after the commencement of any action for the recovery of the deposit. </w:t>
      </w:r>
    </w:p>
    <w:p w14:paraId="50312A7B" w14:textId="4EC4B8F1" w:rsidR="00F9291C" w:rsidRPr="00B96F22" w:rsidRDefault="00F9291C" w:rsidP="001B7D20">
      <w:pPr>
        <w:suppressLineNumbers/>
        <w:rPr>
          <w:rFonts w:ascii="Times New Roman" w:hAnsi="Times New Roman" w:cs="Times New Roman"/>
        </w:rPr>
      </w:pPr>
      <w:r w:rsidRPr="00B96F22">
        <w:rPr>
          <w:rFonts w:ascii="Times New Roman" w:hAnsi="Times New Roman" w:cs="Times New Roman"/>
        </w:rPr>
        <w:lastRenderedPageBreak/>
        <w:t xml:space="preserve">On September 25, </w:t>
      </w:r>
      <w:r w:rsidR="00685DEE" w:rsidRPr="00B96F22">
        <w:rPr>
          <w:rFonts w:ascii="Times New Roman" w:hAnsi="Times New Roman" w:cs="Times New Roman"/>
        </w:rPr>
        <w:t xml:space="preserve">Silver Crest’s </w:t>
      </w:r>
      <w:r w:rsidRPr="00B96F22">
        <w:rPr>
          <w:rFonts w:ascii="Times New Roman" w:hAnsi="Times New Roman" w:cs="Times New Roman"/>
        </w:rPr>
        <w:t xml:space="preserve">attorney </w:t>
      </w:r>
      <w:r w:rsidR="00A5621D">
        <w:rPr>
          <w:rFonts w:ascii="Times New Roman" w:hAnsi="Times New Roman" w:cs="Times New Roman"/>
        </w:rPr>
        <w:t>wrote</w:t>
      </w:r>
      <w:r w:rsidRPr="00B96F22">
        <w:rPr>
          <w:rFonts w:ascii="Times New Roman" w:hAnsi="Times New Roman" w:cs="Times New Roman"/>
        </w:rPr>
        <w:t xml:space="preserve"> </w:t>
      </w:r>
      <w:proofErr w:type="spellStart"/>
      <w:r w:rsidR="002271BB" w:rsidRPr="00B96F22">
        <w:rPr>
          <w:rFonts w:ascii="Times New Roman" w:hAnsi="Times New Roman" w:cs="Times New Roman"/>
        </w:rPr>
        <w:t>Townridge</w:t>
      </w:r>
      <w:r w:rsidRPr="00B96F22">
        <w:rPr>
          <w:rFonts w:ascii="Times New Roman" w:hAnsi="Times New Roman" w:cs="Times New Roman"/>
        </w:rPr>
        <w:t>’s</w:t>
      </w:r>
      <w:proofErr w:type="spellEnd"/>
      <w:r w:rsidRPr="00B96F22">
        <w:rPr>
          <w:rFonts w:ascii="Times New Roman" w:hAnsi="Times New Roman" w:cs="Times New Roman"/>
        </w:rPr>
        <w:t xml:space="preserve"> attorney that it will start returning deposits on October 1. On September 30, </w:t>
      </w:r>
      <w:proofErr w:type="spellStart"/>
      <w:r w:rsidR="002271BB" w:rsidRPr="00B96F22">
        <w:rPr>
          <w:rFonts w:ascii="Times New Roman" w:hAnsi="Times New Roman" w:cs="Times New Roman"/>
        </w:rPr>
        <w:t>Townridge</w:t>
      </w:r>
      <w:r w:rsidRPr="00B96F22">
        <w:rPr>
          <w:rFonts w:ascii="Times New Roman" w:hAnsi="Times New Roman" w:cs="Times New Roman"/>
        </w:rPr>
        <w:t>’s</w:t>
      </w:r>
      <w:proofErr w:type="spellEnd"/>
      <w:r w:rsidRPr="00B96F22">
        <w:rPr>
          <w:rFonts w:ascii="Times New Roman" w:hAnsi="Times New Roman" w:cs="Times New Roman"/>
        </w:rPr>
        <w:t xml:space="preserve"> attorney </w:t>
      </w:r>
      <w:r w:rsidR="00A5621D">
        <w:rPr>
          <w:rFonts w:ascii="Times New Roman" w:hAnsi="Times New Roman" w:cs="Times New Roman"/>
        </w:rPr>
        <w:t>wrote</w:t>
      </w:r>
      <w:r w:rsidRPr="00B96F22">
        <w:rPr>
          <w:rFonts w:ascii="Times New Roman" w:hAnsi="Times New Roman" w:cs="Times New Roman"/>
        </w:rPr>
        <w:t xml:space="preserve"> </w:t>
      </w:r>
      <w:r w:rsidR="00685DEE" w:rsidRPr="00B96F22">
        <w:rPr>
          <w:rFonts w:ascii="Times New Roman" w:hAnsi="Times New Roman" w:cs="Times New Roman"/>
        </w:rPr>
        <w:t>Silver Crest</w:t>
      </w:r>
      <w:r w:rsidRPr="00B96F22">
        <w:rPr>
          <w:rFonts w:ascii="Times New Roman" w:hAnsi="Times New Roman" w:cs="Times New Roman"/>
        </w:rPr>
        <w:t>’s attorney that T</w:t>
      </w:r>
      <w:r w:rsidR="0027359C">
        <w:rPr>
          <w:rFonts w:ascii="Times New Roman" w:hAnsi="Times New Roman" w:cs="Times New Roman"/>
        </w:rPr>
        <w:t>ownridge</w:t>
      </w:r>
      <w:r w:rsidRPr="00B96F22">
        <w:rPr>
          <w:rFonts w:ascii="Times New Roman" w:hAnsi="Times New Roman" w:cs="Times New Roman"/>
        </w:rPr>
        <w:t xml:space="preserve"> ha</w:t>
      </w:r>
      <w:r w:rsidR="00A5621D">
        <w:rPr>
          <w:rFonts w:ascii="Times New Roman" w:hAnsi="Times New Roman" w:cs="Times New Roman"/>
        </w:rPr>
        <w:t>d</w:t>
      </w:r>
      <w:r w:rsidRPr="00B96F22">
        <w:rPr>
          <w:rFonts w:ascii="Times New Roman" w:hAnsi="Times New Roman" w:cs="Times New Roman"/>
        </w:rPr>
        <w:t xml:space="preserve"> already paid out deposits to some tenants who</w:t>
      </w:r>
      <w:r w:rsidR="0027359C">
        <w:rPr>
          <w:rFonts w:ascii="Times New Roman" w:hAnsi="Times New Roman" w:cs="Times New Roman"/>
        </w:rPr>
        <w:t xml:space="preserve"> had</w:t>
      </w:r>
      <w:r w:rsidRPr="00B96F22">
        <w:rPr>
          <w:rFonts w:ascii="Times New Roman" w:hAnsi="Times New Roman" w:cs="Times New Roman"/>
        </w:rPr>
        <w:t xml:space="preserve"> moved out after June 8. Finally, on October 31, a </w:t>
      </w:r>
      <w:r w:rsidR="00685DEE" w:rsidRPr="00B96F22">
        <w:rPr>
          <w:rFonts w:ascii="Times New Roman" w:hAnsi="Times New Roman" w:cs="Times New Roman"/>
        </w:rPr>
        <w:t xml:space="preserve">Silver Crest </w:t>
      </w:r>
      <w:r w:rsidRPr="00B96F22">
        <w:rPr>
          <w:rFonts w:ascii="Times New Roman" w:hAnsi="Times New Roman" w:cs="Times New Roman"/>
        </w:rPr>
        <w:t xml:space="preserve">subsidiary </w:t>
      </w:r>
      <w:r w:rsidR="00A5621D">
        <w:rPr>
          <w:rFonts w:ascii="Times New Roman" w:hAnsi="Times New Roman" w:cs="Times New Roman"/>
        </w:rPr>
        <w:t>sent</w:t>
      </w:r>
      <w:r w:rsidRPr="00B96F22">
        <w:rPr>
          <w:rFonts w:ascii="Times New Roman" w:hAnsi="Times New Roman" w:cs="Times New Roman"/>
        </w:rPr>
        <w:t xml:space="preserve"> checks to each tenant for </w:t>
      </w:r>
      <w:r w:rsidR="0027359C">
        <w:rPr>
          <w:rFonts w:ascii="Times New Roman" w:hAnsi="Times New Roman" w:cs="Times New Roman"/>
        </w:rPr>
        <w:t>her</w:t>
      </w:r>
      <w:r w:rsidRPr="00B96F22">
        <w:rPr>
          <w:rFonts w:ascii="Times New Roman" w:hAnsi="Times New Roman" w:cs="Times New Roman"/>
        </w:rPr>
        <w:t xml:space="preserve"> deposit plus accumulated interest along with a letter telling the tenant to “refund” (pay) the money to </w:t>
      </w:r>
      <w:r w:rsidR="002271BB" w:rsidRPr="00B96F22">
        <w:rPr>
          <w:rFonts w:ascii="Times New Roman" w:hAnsi="Times New Roman" w:cs="Times New Roman"/>
        </w:rPr>
        <w:t xml:space="preserve">Townridge </w:t>
      </w:r>
      <w:r w:rsidRPr="00B96F22">
        <w:rPr>
          <w:rFonts w:ascii="Times New Roman" w:hAnsi="Times New Roman" w:cs="Times New Roman"/>
        </w:rPr>
        <w:t>if the tenant had already had h</w:t>
      </w:r>
      <w:r w:rsidR="00C14EBE">
        <w:rPr>
          <w:rFonts w:ascii="Times New Roman" w:hAnsi="Times New Roman" w:cs="Times New Roman"/>
        </w:rPr>
        <w:t>er</w:t>
      </w:r>
      <w:r w:rsidRPr="00B96F22">
        <w:rPr>
          <w:rFonts w:ascii="Times New Roman" w:hAnsi="Times New Roman" w:cs="Times New Roman"/>
        </w:rPr>
        <w:t xml:space="preserve"> deposit refunded.</w:t>
      </w:r>
    </w:p>
    <w:p w14:paraId="5B1C5AC8" w14:textId="6BF7D7DB" w:rsidR="002442DF" w:rsidRPr="00B96F22" w:rsidRDefault="00067AE5" w:rsidP="001B7D20">
      <w:pPr>
        <w:suppressLineNumbers/>
        <w:rPr>
          <w:rFonts w:ascii="Times New Roman" w:hAnsi="Times New Roman" w:cs="Times New Roman"/>
        </w:rPr>
      </w:pPr>
      <w:r w:rsidRPr="00B96F22">
        <w:rPr>
          <w:rFonts w:ascii="Times New Roman" w:hAnsi="Times New Roman" w:cs="Times New Roman"/>
        </w:rPr>
        <w:t>Both sides moved the district court for summary judgment.</w:t>
      </w:r>
      <w:r w:rsidR="00D95B98" w:rsidRPr="00B96F22">
        <w:rPr>
          <w:rFonts w:ascii="Times New Roman" w:hAnsi="Times New Roman" w:cs="Times New Roman"/>
        </w:rPr>
        <w:t xml:space="preserve"> The court granted </w:t>
      </w:r>
      <w:r w:rsidR="002271BB" w:rsidRPr="00B96F22">
        <w:rPr>
          <w:rFonts w:ascii="Times New Roman" w:hAnsi="Times New Roman" w:cs="Times New Roman"/>
        </w:rPr>
        <w:t xml:space="preserve">Townridge </w:t>
      </w:r>
      <w:r w:rsidR="00D95B98" w:rsidRPr="00B96F22">
        <w:rPr>
          <w:rFonts w:ascii="Times New Roman" w:hAnsi="Times New Roman" w:cs="Times New Roman"/>
        </w:rPr>
        <w:t>summary judgment for $</w:t>
      </w:r>
      <w:r w:rsidR="00A5621D">
        <w:rPr>
          <w:rFonts w:ascii="Times New Roman" w:hAnsi="Times New Roman" w:cs="Times New Roman"/>
        </w:rPr>
        <w:t>15,563.39</w:t>
      </w:r>
      <w:r w:rsidR="00D95B98" w:rsidRPr="00B96F22">
        <w:rPr>
          <w:rFonts w:ascii="Times New Roman" w:hAnsi="Times New Roman" w:cs="Times New Roman"/>
          <w:color w:val="EE0000"/>
        </w:rPr>
        <w:t xml:space="preserve"> </w:t>
      </w:r>
      <w:r w:rsidR="00D95B98" w:rsidRPr="00B96F22">
        <w:rPr>
          <w:rFonts w:ascii="Times New Roman" w:hAnsi="Times New Roman" w:cs="Times New Roman"/>
        </w:rPr>
        <w:t>on its claim for 22/</w:t>
      </w:r>
      <w:r w:rsidR="00A5621D">
        <w:rPr>
          <w:rFonts w:ascii="Times New Roman" w:hAnsi="Times New Roman" w:cs="Times New Roman"/>
        </w:rPr>
        <w:t>3</w:t>
      </w:r>
      <w:r w:rsidR="00D95B98" w:rsidRPr="00B96F22">
        <w:rPr>
          <w:rFonts w:ascii="Times New Roman" w:hAnsi="Times New Roman" w:cs="Times New Roman"/>
        </w:rPr>
        <w:t>0 of the June rents plus $11,600 for bad faith damages u</w:t>
      </w:r>
      <w:r w:rsidR="00C209B2" w:rsidRPr="00B96F22">
        <w:rPr>
          <w:rFonts w:ascii="Times New Roman" w:hAnsi="Times New Roman" w:cs="Times New Roman"/>
        </w:rPr>
        <w:t>n</w:t>
      </w:r>
      <w:r w:rsidR="00D95B98" w:rsidRPr="00B96F22">
        <w:rPr>
          <w:rFonts w:ascii="Times New Roman" w:hAnsi="Times New Roman" w:cs="Times New Roman"/>
        </w:rPr>
        <w:t>der Minn. Stat. §504.20, subd. 7. For some reason</w:t>
      </w:r>
      <w:r w:rsidR="0027359C">
        <w:rPr>
          <w:rFonts w:ascii="Times New Roman" w:hAnsi="Times New Roman" w:cs="Times New Roman"/>
        </w:rPr>
        <w:t>,</w:t>
      </w:r>
      <w:r w:rsidR="00D95B98" w:rsidRPr="00B96F22">
        <w:rPr>
          <w:rFonts w:ascii="Times New Roman" w:hAnsi="Times New Roman" w:cs="Times New Roman"/>
        </w:rPr>
        <w:t xml:space="preserve"> </w:t>
      </w:r>
      <w:proofErr w:type="spellStart"/>
      <w:r w:rsidR="002271BB" w:rsidRPr="00B96F22">
        <w:rPr>
          <w:rFonts w:ascii="Times New Roman" w:hAnsi="Times New Roman" w:cs="Times New Roman"/>
        </w:rPr>
        <w:t>Townridge</w:t>
      </w:r>
      <w:r w:rsidR="00D95B98" w:rsidRPr="00B96F22">
        <w:rPr>
          <w:rFonts w:ascii="Times New Roman" w:hAnsi="Times New Roman" w:cs="Times New Roman"/>
        </w:rPr>
        <w:t>’s</w:t>
      </w:r>
      <w:proofErr w:type="spellEnd"/>
      <w:r w:rsidR="00D95B98" w:rsidRPr="00B96F22">
        <w:rPr>
          <w:rFonts w:ascii="Times New Roman" w:hAnsi="Times New Roman" w:cs="Times New Roman"/>
        </w:rPr>
        <w:t xml:space="preserve"> claim based on payments it had made to </w:t>
      </w:r>
      <w:proofErr w:type="gramStart"/>
      <w:r w:rsidR="00D95B98" w:rsidRPr="00B96F22">
        <w:rPr>
          <w:rFonts w:ascii="Times New Roman" w:hAnsi="Times New Roman" w:cs="Times New Roman"/>
        </w:rPr>
        <w:t>tenants</w:t>
      </w:r>
      <w:proofErr w:type="gramEnd"/>
      <w:r w:rsidR="00D95B98" w:rsidRPr="00B96F22">
        <w:rPr>
          <w:rFonts w:ascii="Times New Roman" w:hAnsi="Times New Roman" w:cs="Times New Roman"/>
        </w:rPr>
        <w:t xml:space="preserve"> post June 8 for </w:t>
      </w:r>
      <w:r w:rsidR="000F1B56" w:rsidRPr="00B96F22">
        <w:rPr>
          <w:rFonts w:ascii="Times New Roman" w:hAnsi="Times New Roman" w:cs="Times New Roman"/>
        </w:rPr>
        <w:t>their</w:t>
      </w:r>
      <w:r w:rsidR="00D95B98" w:rsidRPr="00B96F22">
        <w:rPr>
          <w:rFonts w:ascii="Times New Roman" w:hAnsi="Times New Roman" w:cs="Times New Roman"/>
        </w:rPr>
        <w:t xml:space="preserve"> deposits was not included in the judgment</w:t>
      </w:r>
      <w:r w:rsidR="000F1B56" w:rsidRPr="00B96F22">
        <w:rPr>
          <w:rFonts w:ascii="Times New Roman" w:hAnsi="Times New Roman" w:cs="Times New Roman"/>
        </w:rPr>
        <w:t xml:space="preserve"> or, apparently, in </w:t>
      </w:r>
      <w:proofErr w:type="spellStart"/>
      <w:r w:rsidR="000F1B56" w:rsidRPr="00B96F22">
        <w:rPr>
          <w:rFonts w:ascii="Times New Roman" w:hAnsi="Times New Roman" w:cs="Times New Roman"/>
        </w:rPr>
        <w:t>Townridge’s</w:t>
      </w:r>
      <w:proofErr w:type="spellEnd"/>
      <w:r w:rsidR="000F1B56" w:rsidRPr="00B96F22">
        <w:rPr>
          <w:rFonts w:ascii="Times New Roman" w:hAnsi="Times New Roman" w:cs="Times New Roman"/>
        </w:rPr>
        <w:t xml:space="preserve"> motion for summary judgment</w:t>
      </w:r>
      <w:r w:rsidR="00D95B98" w:rsidRPr="00B96F22">
        <w:rPr>
          <w:rFonts w:ascii="Times New Roman" w:hAnsi="Times New Roman" w:cs="Times New Roman"/>
        </w:rPr>
        <w:t>.</w:t>
      </w:r>
    </w:p>
    <w:p w14:paraId="27F782C0" w14:textId="6C33F41B" w:rsidR="00D95B98" w:rsidRPr="00B96F22" w:rsidRDefault="00685DEE" w:rsidP="001B7D20">
      <w:pPr>
        <w:suppressLineNumbers/>
        <w:rPr>
          <w:rFonts w:ascii="Times New Roman" w:hAnsi="Times New Roman" w:cs="Times New Roman"/>
        </w:rPr>
      </w:pPr>
      <w:r w:rsidRPr="00B96F22">
        <w:rPr>
          <w:rFonts w:ascii="Times New Roman" w:hAnsi="Times New Roman" w:cs="Times New Roman"/>
        </w:rPr>
        <w:t xml:space="preserve">Silver Crest </w:t>
      </w:r>
      <w:r w:rsidR="007730F3" w:rsidRPr="00B96F22">
        <w:rPr>
          <w:rFonts w:ascii="Times New Roman" w:hAnsi="Times New Roman" w:cs="Times New Roman"/>
        </w:rPr>
        <w:t>appealed both rulings. This essay does not discuss the rent claim.</w:t>
      </w:r>
      <w:r w:rsidRPr="00B96F22">
        <w:rPr>
          <w:rFonts w:ascii="Times New Roman" w:hAnsi="Times New Roman" w:cs="Times New Roman"/>
        </w:rPr>
        <w:t xml:space="preserve"> Silver </w:t>
      </w:r>
      <w:proofErr w:type="gramStart"/>
      <w:r w:rsidRPr="00B96F22">
        <w:rPr>
          <w:rFonts w:ascii="Times New Roman" w:hAnsi="Times New Roman" w:cs="Times New Roman"/>
        </w:rPr>
        <w:t>Crest‘</w:t>
      </w:r>
      <w:proofErr w:type="gramEnd"/>
      <w:r w:rsidRPr="00B96F22">
        <w:rPr>
          <w:rFonts w:ascii="Times New Roman" w:hAnsi="Times New Roman" w:cs="Times New Roman"/>
        </w:rPr>
        <w:t xml:space="preserve">s </w:t>
      </w:r>
      <w:r w:rsidR="006D59B2">
        <w:rPr>
          <w:rFonts w:ascii="Times New Roman" w:hAnsi="Times New Roman" w:cs="Times New Roman"/>
        </w:rPr>
        <w:t xml:space="preserve">only </w:t>
      </w:r>
      <w:r w:rsidR="007730F3" w:rsidRPr="00B96F22">
        <w:rPr>
          <w:rFonts w:ascii="Times New Roman" w:hAnsi="Times New Roman" w:cs="Times New Roman"/>
        </w:rPr>
        <w:t>defense on the Minn. Stat. §504.20</w:t>
      </w:r>
      <w:r w:rsidR="00C209B2" w:rsidRPr="00B96F22">
        <w:rPr>
          <w:rFonts w:ascii="Times New Roman" w:hAnsi="Times New Roman" w:cs="Times New Roman"/>
        </w:rPr>
        <w:t xml:space="preserve"> </w:t>
      </w:r>
      <w:r w:rsidR="007730F3" w:rsidRPr="00B96F22">
        <w:rPr>
          <w:rFonts w:ascii="Times New Roman" w:hAnsi="Times New Roman" w:cs="Times New Roman"/>
        </w:rPr>
        <w:t>claim</w:t>
      </w:r>
      <w:r w:rsidRPr="00B96F22">
        <w:rPr>
          <w:rFonts w:ascii="Times New Roman" w:hAnsi="Times New Roman" w:cs="Times New Roman"/>
        </w:rPr>
        <w:t xml:space="preserve">, </w:t>
      </w:r>
      <w:r w:rsidR="007730F3" w:rsidRPr="00B96F22">
        <w:rPr>
          <w:rFonts w:ascii="Times New Roman" w:hAnsi="Times New Roman" w:cs="Times New Roman"/>
        </w:rPr>
        <w:t>in both district court and the court of appeals</w:t>
      </w:r>
      <w:r w:rsidRPr="00B96F22">
        <w:rPr>
          <w:rFonts w:ascii="Times New Roman" w:hAnsi="Times New Roman" w:cs="Times New Roman"/>
        </w:rPr>
        <w:t xml:space="preserve">, </w:t>
      </w:r>
      <w:r w:rsidR="007730F3" w:rsidRPr="00B96F22">
        <w:rPr>
          <w:rFonts w:ascii="Times New Roman" w:hAnsi="Times New Roman" w:cs="Times New Roman"/>
        </w:rPr>
        <w:t xml:space="preserve">was </w:t>
      </w:r>
      <w:proofErr w:type="gramStart"/>
      <w:r w:rsidR="007730F3" w:rsidRPr="00B96F22">
        <w:rPr>
          <w:rFonts w:ascii="Times New Roman" w:hAnsi="Times New Roman" w:cs="Times New Roman"/>
        </w:rPr>
        <w:t>that only tenants</w:t>
      </w:r>
      <w:proofErr w:type="gramEnd"/>
      <w:r w:rsidR="0027359C">
        <w:rPr>
          <w:rFonts w:ascii="Times New Roman" w:hAnsi="Times New Roman" w:cs="Times New Roman"/>
        </w:rPr>
        <w:t>,</w:t>
      </w:r>
      <w:r w:rsidR="007730F3" w:rsidRPr="00B96F22">
        <w:rPr>
          <w:rFonts w:ascii="Times New Roman" w:hAnsi="Times New Roman" w:cs="Times New Roman"/>
        </w:rPr>
        <w:t xml:space="preserve"> and not successors in interest (i.e. </w:t>
      </w:r>
      <w:r w:rsidR="002271BB" w:rsidRPr="00B96F22">
        <w:rPr>
          <w:rFonts w:ascii="Times New Roman" w:hAnsi="Times New Roman" w:cs="Times New Roman"/>
        </w:rPr>
        <w:t>Townridge</w:t>
      </w:r>
      <w:r w:rsidR="007730F3" w:rsidRPr="00B96F22">
        <w:rPr>
          <w:rFonts w:ascii="Times New Roman" w:hAnsi="Times New Roman" w:cs="Times New Roman"/>
        </w:rPr>
        <w:t>)</w:t>
      </w:r>
      <w:r w:rsidR="0027359C">
        <w:rPr>
          <w:rFonts w:ascii="Times New Roman" w:hAnsi="Times New Roman" w:cs="Times New Roman"/>
        </w:rPr>
        <w:t>,</w:t>
      </w:r>
      <w:r w:rsidR="007730F3" w:rsidRPr="00B96F22">
        <w:rPr>
          <w:rFonts w:ascii="Times New Roman" w:hAnsi="Times New Roman" w:cs="Times New Roman"/>
        </w:rPr>
        <w:t xml:space="preserve"> had standing to make a claim for the bad-faith damages in Minn. Stat. §504.20, subd. 7.  </w:t>
      </w:r>
      <w:r w:rsidR="00D95B98" w:rsidRPr="00B96F22">
        <w:rPr>
          <w:rFonts w:ascii="Times New Roman" w:hAnsi="Times New Roman" w:cs="Times New Roman"/>
        </w:rPr>
        <w:t xml:space="preserve">The Court of Appeals affirmed the district court on the 22/30 June rent claim but reversed on the Minn. Stat. §504.20, subd. 7 </w:t>
      </w:r>
      <w:proofErr w:type="gramStart"/>
      <w:r w:rsidR="00D95B98" w:rsidRPr="00B96F22">
        <w:rPr>
          <w:rFonts w:ascii="Times New Roman" w:hAnsi="Times New Roman" w:cs="Times New Roman"/>
        </w:rPr>
        <w:t>claim</w:t>
      </w:r>
      <w:proofErr w:type="gramEnd"/>
      <w:r w:rsidR="00D95B98" w:rsidRPr="00B96F22">
        <w:rPr>
          <w:rFonts w:ascii="Times New Roman" w:hAnsi="Times New Roman" w:cs="Times New Roman"/>
        </w:rPr>
        <w:t>.</w:t>
      </w:r>
      <w:r w:rsidR="007730F3" w:rsidRPr="00B96F22">
        <w:rPr>
          <w:rFonts w:ascii="Times New Roman" w:hAnsi="Times New Roman" w:cs="Times New Roman"/>
        </w:rPr>
        <w:t xml:space="preserve"> It agreed with </w:t>
      </w:r>
      <w:r w:rsidRPr="00B96F22">
        <w:rPr>
          <w:rFonts w:ascii="Times New Roman" w:hAnsi="Times New Roman" w:cs="Times New Roman"/>
        </w:rPr>
        <w:t xml:space="preserve">Silver Crest </w:t>
      </w:r>
      <w:r w:rsidR="007730F3" w:rsidRPr="00B96F22">
        <w:rPr>
          <w:rFonts w:ascii="Times New Roman" w:hAnsi="Times New Roman" w:cs="Times New Roman"/>
        </w:rPr>
        <w:t>that</w:t>
      </w:r>
      <w:r w:rsidR="006D59B2">
        <w:rPr>
          <w:rFonts w:ascii="Times New Roman" w:hAnsi="Times New Roman" w:cs="Times New Roman"/>
        </w:rPr>
        <w:t xml:space="preserve"> a</w:t>
      </w:r>
      <w:r w:rsidR="007730F3" w:rsidRPr="00B96F22">
        <w:rPr>
          <w:rFonts w:ascii="Times New Roman" w:hAnsi="Times New Roman" w:cs="Times New Roman"/>
        </w:rPr>
        <w:t xml:space="preserve"> successor in interest did not have standing under that subdivision.</w:t>
      </w:r>
    </w:p>
    <w:p w14:paraId="3C9DDCDC" w14:textId="61DD62AC" w:rsidR="00FD4D6C" w:rsidRPr="00B96F22" w:rsidRDefault="00C14EBE" w:rsidP="001B7D20">
      <w:pPr>
        <w:suppressLineNumbers/>
        <w:rPr>
          <w:rFonts w:ascii="Times New Roman" w:hAnsi="Times New Roman" w:cs="Times New Roman"/>
          <w:b/>
          <w:bCs/>
        </w:rPr>
      </w:pPr>
      <w:r>
        <w:rPr>
          <w:rFonts w:ascii="Times New Roman" w:hAnsi="Times New Roman" w:cs="Times New Roman"/>
          <w:b/>
          <w:bCs/>
        </w:rPr>
        <w:t xml:space="preserve">II. </w:t>
      </w:r>
      <w:r w:rsidR="00186B44" w:rsidRPr="00B96F22">
        <w:rPr>
          <w:rFonts w:ascii="Times New Roman" w:hAnsi="Times New Roman" w:cs="Times New Roman"/>
          <w:b/>
          <w:bCs/>
        </w:rPr>
        <w:t>ANALYSIS</w:t>
      </w:r>
    </w:p>
    <w:p w14:paraId="50F24543" w14:textId="496FB82F" w:rsidR="00FD4D6C" w:rsidRPr="00B96F22" w:rsidRDefault="00B539E1" w:rsidP="001B7D20">
      <w:pPr>
        <w:suppressLineNumbers/>
        <w:rPr>
          <w:rFonts w:ascii="Times New Roman" w:hAnsi="Times New Roman" w:cs="Times New Roman"/>
        </w:rPr>
      </w:pPr>
      <w:r w:rsidRPr="00B96F22">
        <w:rPr>
          <w:rFonts w:ascii="Times New Roman" w:hAnsi="Times New Roman" w:cs="Times New Roman"/>
        </w:rPr>
        <w:t xml:space="preserve">Minn. Stat. §504.20 (1994) </w:t>
      </w:r>
      <w:r w:rsidR="00645EDD" w:rsidRPr="00B96F22">
        <w:rPr>
          <w:rFonts w:ascii="Times New Roman" w:hAnsi="Times New Roman" w:cs="Times New Roman"/>
        </w:rPr>
        <w:t xml:space="preserve">has been amended several times since </w:t>
      </w:r>
      <w:r w:rsidR="00645EDD" w:rsidRPr="00B96F22">
        <w:rPr>
          <w:rFonts w:ascii="Times New Roman" w:hAnsi="Times New Roman" w:cs="Times New Roman"/>
          <w:u w:val="single"/>
        </w:rPr>
        <w:t>Townridge</w:t>
      </w:r>
      <w:r w:rsidR="00645EDD" w:rsidRPr="00B96F22">
        <w:rPr>
          <w:rFonts w:ascii="Times New Roman" w:hAnsi="Times New Roman" w:cs="Times New Roman"/>
        </w:rPr>
        <w:t xml:space="preserve"> was decided. In 1999, </w:t>
      </w:r>
      <w:r w:rsidR="00293366" w:rsidRPr="00B96F22">
        <w:rPr>
          <w:rFonts w:ascii="Times New Roman" w:hAnsi="Times New Roman" w:cs="Times New Roman"/>
        </w:rPr>
        <w:t xml:space="preserve">along with all of Minn. Chap. 504 and 566, </w:t>
      </w:r>
      <w:r w:rsidR="00C209B2" w:rsidRPr="00B96F22">
        <w:rPr>
          <w:rFonts w:ascii="Times New Roman" w:hAnsi="Times New Roman" w:cs="Times New Roman"/>
        </w:rPr>
        <w:t xml:space="preserve">Minn. Stat. §504.20 </w:t>
      </w:r>
      <w:r w:rsidR="00645EDD" w:rsidRPr="00B96F22">
        <w:rPr>
          <w:rFonts w:ascii="Times New Roman" w:hAnsi="Times New Roman" w:cs="Times New Roman"/>
        </w:rPr>
        <w:t>was recodified</w:t>
      </w:r>
      <w:r w:rsidR="00B3100A" w:rsidRPr="00B96F22">
        <w:rPr>
          <w:rFonts w:ascii="Times New Roman" w:hAnsi="Times New Roman" w:cs="Times New Roman"/>
        </w:rPr>
        <w:t>. It is</w:t>
      </w:r>
      <w:r w:rsidR="00293366" w:rsidRPr="00B96F22">
        <w:rPr>
          <w:rFonts w:ascii="Times New Roman" w:hAnsi="Times New Roman" w:cs="Times New Roman"/>
        </w:rPr>
        <w:t xml:space="preserve"> now numbered</w:t>
      </w:r>
      <w:r w:rsidR="00645EDD" w:rsidRPr="00B96F22">
        <w:rPr>
          <w:rFonts w:ascii="Times New Roman" w:hAnsi="Times New Roman" w:cs="Times New Roman"/>
        </w:rPr>
        <w:t xml:space="preserve"> Minn. Stat. §504B.178. That recodification made no changes in meaning.</w:t>
      </w:r>
      <w:r w:rsidR="00645EDD" w:rsidRPr="00B96F22">
        <w:rPr>
          <w:rStyle w:val="FootnoteReference"/>
          <w:rFonts w:ascii="Times New Roman" w:hAnsi="Times New Roman" w:cs="Times New Roman"/>
        </w:rPr>
        <w:footnoteReference w:id="3"/>
      </w:r>
      <w:r w:rsidR="00645EDD" w:rsidRPr="00B96F22">
        <w:rPr>
          <w:rFonts w:ascii="Times New Roman" w:hAnsi="Times New Roman" w:cs="Times New Roman"/>
        </w:rPr>
        <w:t xml:space="preserve"> In 2010, the $200 cap in subdivision 7 was increased to $500</w:t>
      </w:r>
      <w:r w:rsidR="00645EDD" w:rsidRPr="00B96F22">
        <w:rPr>
          <w:rStyle w:val="FootnoteReference"/>
          <w:rFonts w:ascii="Times New Roman" w:hAnsi="Times New Roman" w:cs="Times New Roman"/>
        </w:rPr>
        <w:footnoteReference w:id="4"/>
      </w:r>
      <w:r w:rsidR="00645EDD" w:rsidRPr="00B96F22">
        <w:rPr>
          <w:rFonts w:ascii="Times New Roman" w:hAnsi="Times New Roman" w:cs="Times New Roman"/>
        </w:rPr>
        <w:t xml:space="preserve">; that change does not change the analysis of the </w:t>
      </w:r>
      <w:r w:rsidR="00645EDD" w:rsidRPr="00B96F22">
        <w:rPr>
          <w:rFonts w:ascii="Times New Roman" w:hAnsi="Times New Roman" w:cs="Times New Roman"/>
          <w:u w:val="single"/>
        </w:rPr>
        <w:t>Townridge</w:t>
      </w:r>
      <w:r w:rsidR="00645EDD" w:rsidRPr="00B96F22">
        <w:rPr>
          <w:rFonts w:ascii="Times New Roman" w:hAnsi="Times New Roman" w:cs="Times New Roman"/>
        </w:rPr>
        <w:t xml:space="preserve"> case.</w:t>
      </w:r>
      <w:r w:rsidR="00645EDD" w:rsidRPr="00B96F22">
        <w:rPr>
          <w:rStyle w:val="FootnoteReference"/>
          <w:rFonts w:ascii="Times New Roman" w:hAnsi="Times New Roman" w:cs="Times New Roman"/>
        </w:rPr>
        <w:footnoteReference w:id="5"/>
      </w:r>
      <w:r w:rsidR="00645EDD" w:rsidRPr="00B96F22">
        <w:rPr>
          <w:rFonts w:ascii="Times New Roman" w:hAnsi="Times New Roman" w:cs="Times New Roman"/>
        </w:rPr>
        <w:t xml:space="preserve"> The other amendments had nothing to do with subdivision 7.</w:t>
      </w:r>
      <w:r w:rsidR="00291AC5" w:rsidRPr="00B96F22">
        <w:rPr>
          <w:rStyle w:val="FootnoteReference"/>
          <w:rFonts w:ascii="Times New Roman" w:hAnsi="Times New Roman" w:cs="Times New Roman"/>
        </w:rPr>
        <w:footnoteReference w:id="6"/>
      </w:r>
      <w:r w:rsidR="00645EDD" w:rsidRPr="00B96F22">
        <w:rPr>
          <w:rFonts w:ascii="Times New Roman" w:hAnsi="Times New Roman" w:cs="Times New Roman"/>
        </w:rPr>
        <w:t xml:space="preserve"> </w:t>
      </w:r>
      <w:r w:rsidR="00293366" w:rsidRPr="00B96F22">
        <w:rPr>
          <w:rFonts w:ascii="Times New Roman" w:hAnsi="Times New Roman" w:cs="Times New Roman"/>
        </w:rPr>
        <w:t xml:space="preserve">Therefore, </w:t>
      </w:r>
      <w:r w:rsidR="00293366" w:rsidRPr="00B96F22">
        <w:rPr>
          <w:rFonts w:ascii="Times New Roman" w:hAnsi="Times New Roman" w:cs="Times New Roman"/>
        </w:rPr>
        <w:lastRenderedPageBreak/>
        <w:t>to make the discussion of some legislative history easier to follow</w:t>
      </w:r>
      <w:r w:rsidR="00864F13" w:rsidRPr="00B96F22">
        <w:rPr>
          <w:rFonts w:ascii="Times New Roman" w:hAnsi="Times New Roman" w:cs="Times New Roman"/>
        </w:rPr>
        <w:t>,</w:t>
      </w:r>
      <w:r w:rsidR="00293366" w:rsidRPr="00B96F22">
        <w:rPr>
          <w:rFonts w:ascii="Times New Roman" w:hAnsi="Times New Roman" w:cs="Times New Roman"/>
        </w:rPr>
        <w:t xml:space="preserve"> the analysis of </w:t>
      </w:r>
      <w:r w:rsidR="00293366" w:rsidRPr="00B96F22">
        <w:rPr>
          <w:rFonts w:ascii="Times New Roman" w:hAnsi="Times New Roman" w:cs="Times New Roman"/>
          <w:u w:val="single"/>
        </w:rPr>
        <w:t>Townridge</w:t>
      </w:r>
      <w:r w:rsidR="00293366" w:rsidRPr="00B96F22">
        <w:rPr>
          <w:rFonts w:ascii="Times New Roman" w:hAnsi="Times New Roman" w:cs="Times New Roman"/>
        </w:rPr>
        <w:t xml:space="preserve"> below uses the 1994 version of Minn. Stat. §504.20 unless stated otherwise.</w:t>
      </w:r>
    </w:p>
    <w:p w14:paraId="1F98688A" w14:textId="63C03283" w:rsidR="00864F13" w:rsidRPr="00B96F22" w:rsidRDefault="00864F13" w:rsidP="001B7D20">
      <w:pPr>
        <w:suppressLineNumbers/>
        <w:rPr>
          <w:rFonts w:ascii="Times New Roman" w:hAnsi="Times New Roman" w:cs="Times New Roman"/>
        </w:rPr>
      </w:pPr>
      <w:r w:rsidRPr="00B96F22">
        <w:rPr>
          <w:rFonts w:ascii="Times New Roman" w:hAnsi="Times New Roman" w:cs="Times New Roman"/>
        </w:rPr>
        <w:t>As discussed below, I believe the Court of Appeals was wrong. Successors in interest do have standing to sue under Minn. Stat. § 504B.178, subd. 7 (previously Minn. Stat. §504.20, subd. 7</w:t>
      </w:r>
      <w:r w:rsidR="00923677">
        <w:rPr>
          <w:rFonts w:ascii="Times New Roman" w:hAnsi="Times New Roman" w:cs="Times New Roman"/>
        </w:rPr>
        <w:t>)</w:t>
      </w:r>
      <w:r w:rsidRPr="00B96F22">
        <w:rPr>
          <w:rFonts w:ascii="Times New Roman" w:hAnsi="Times New Roman" w:cs="Times New Roman"/>
        </w:rPr>
        <w:t>.</w:t>
      </w:r>
    </w:p>
    <w:p w14:paraId="57ED2C35" w14:textId="6060D48D" w:rsidR="003E698B" w:rsidRPr="00B96F22" w:rsidRDefault="00923677" w:rsidP="001B7D20">
      <w:pPr>
        <w:suppressLineNumbers/>
        <w:rPr>
          <w:rFonts w:ascii="Times New Roman" w:hAnsi="Times New Roman" w:cs="Times New Roman"/>
          <w:u w:val="single"/>
        </w:rPr>
      </w:pPr>
      <w:r>
        <w:rPr>
          <w:rFonts w:ascii="Times New Roman" w:hAnsi="Times New Roman" w:cs="Times New Roman"/>
          <w:u w:val="single"/>
        </w:rPr>
        <w:t>A. T</w:t>
      </w:r>
      <w:r w:rsidR="00C2614E" w:rsidRPr="00B96F22">
        <w:rPr>
          <w:rFonts w:ascii="Times New Roman" w:hAnsi="Times New Roman" w:cs="Times New Roman"/>
          <w:u w:val="single"/>
        </w:rPr>
        <w:t>he p</w:t>
      </w:r>
      <w:r w:rsidR="003E698B" w:rsidRPr="00B96F22">
        <w:rPr>
          <w:rFonts w:ascii="Times New Roman" w:hAnsi="Times New Roman" w:cs="Times New Roman"/>
          <w:u w:val="single"/>
        </w:rPr>
        <w:t>lain languag</w:t>
      </w:r>
      <w:r w:rsidR="00C2614E" w:rsidRPr="00B96F22">
        <w:rPr>
          <w:rFonts w:ascii="Times New Roman" w:hAnsi="Times New Roman" w:cs="Times New Roman"/>
          <w:u w:val="single"/>
        </w:rPr>
        <w:t>e of Minn. Stat. §504.20 (now Minn. Stat. §504B.178)</w:t>
      </w:r>
    </w:p>
    <w:p w14:paraId="46CA68F2" w14:textId="3B02B209" w:rsidR="00B3100A" w:rsidRPr="00B96F22" w:rsidRDefault="00B3100A" w:rsidP="001B7D20">
      <w:pPr>
        <w:suppressLineNumbers/>
        <w:rPr>
          <w:rFonts w:ascii="Times New Roman" w:hAnsi="Times New Roman" w:cs="Times New Roman"/>
        </w:rPr>
      </w:pPr>
      <w:r w:rsidRPr="00B96F22">
        <w:rPr>
          <w:rFonts w:ascii="Times New Roman" w:hAnsi="Times New Roman" w:cs="Times New Roman"/>
        </w:rPr>
        <w:t>The first sentence of Minn. Stat. §504.20, subd. 7 is the core of the subdivision. I</w:t>
      </w:r>
      <w:r w:rsidR="003044BA" w:rsidRPr="00B96F22">
        <w:rPr>
          <w:rFonts w:ascii="Times New Roman" w:hAnsi="Times New Roman" w:cs="Times New Roman"/>
        </w:rPr>
        <w:t>t</w:t>
      </w:r>
      <w:r w:rsidRPr="00B96F22">
        <w:rPr>
          <w:rFonts w:ascii="Times New Roman" w:hAnsi="Times New Roman" w:cs="Times New Roman"/>
        </w:rPr>
        <w:t xml:space="preserve"> </w:t>
      </w:r>
      <w:r w:rsidR="00E149D4" w:rsidRPr="00B96F22">
        <w:rPr>
          <w:rFonts w:ascii="Times New Roman" w:hAnsi="Times New Roman" w:cs="Times New Roman"/>
        </w:rPr>
        <w:t xml:space="preserve">says, “The bad faith retention by a landlord of a deposit, the interest thereon, or any portion thereof, in violation of this section shall subject the landlord to punitive damages not to exceed $200 for each deposit in addition to the damages provided in subdivision 4.” </w:t>
      </w:r>
      <w:r w:rsidR="003044BA" w:rsidRPr="00B96F22">
        <w:rPr>
          <w:rFonts w:ascii="Times New Roman" w:hAnsi="Times New Roman" w:cs="Times New Roman"/>
        </w:rPr>
        <w:t>The phrase “this section” means all of Minn. Stat. §504.20.</w:t>
      </w:r>
      <w:r w:rsidR="003044BA" w:rsidRPr="00B96F22">
        <w:rPr>
          <w:rStyle w:val="FootnoteReference"/>
          <w:rFonts w:ascii="Times New Roman" w:hAnsi="Times New Roman" w:cs="Times New Roman"/>
        </w:rPr>
        <w:footnoteReference w:id="7"/>
      </w:r>
      <w:r w:rsidR="003044BA" w:rsidRPr="00B96F22">
        <w:rPr>
          <w:rFonts w:ascii="Times New Roman" w:hAnsi="Times New Roman" w:cs="Times New Roman"/>
        </w:rPr>
        <w:t xml:space="preserve"> Only </w:t>
      </w:r>
      <w:r w:rsidR="00DA33C5" w:rsidRPr="00B96F22">
        <w:rPr>
          <w:rFonts w:ascii="Times New Roman" w:hAnsi="Times New Roman" w:cs="Times New Roman"/>
        </w:rPr>
        <w:t>four</w:t>
      </w:r>
      <w:r w:rsidR="003044BA" w:rsidRPr="00B96F22">
        <w:rPr>
          <w:rFonts w:ascii="Times New Roman" w:hAnsi="Times New Roman" w:cs="Times New Roman"/>
        </w:rPr>
        <w:t xml:space="preserve"> subdivisions</w:t>
      </w:r>
      <w:r w:rsidR="00E149D4" w:rsidRPr="00B96F22">
        <w:rPr>
          <w:rFonts w:ascii="Times New Roman" w:hAnsi="Times New Roman" w:cs="Times New Roman"/>
        </w:rPr>
        <w:t xml:space="preserve"> in section 504.20</w:t>
      </w:r>
      <w:r w:rsidR="003044BA" w:rsidRPr="00B96F22">
        <w:rPr>
          <w:rFonts w:ascii="Times New Roman" w:hAnsi="Times New Roman" w:cs="Times New Roman"/>
        </w:rPr>
        <w:t xml:space="preserve"> </w:t>
      </w:r>
      <w:r w:rsidR="00DA33C5" w:rsidRPr="00B96F22">
        <w:rPr>
          <w:rFonts w:ascii="Times New Roman" w:hAnsi="Times New Roman" w:cs="Times New Roman"/>
        </w:rPr>
        <w:t>discuss</w:t>
      </w:r>
      <w:r w:rsidR="003044BA" w:rsidRPr="00B96F22">
        <w:rPr>
          <w:rFonts w:ascii="Times New Roman" w:hAnsi="Times New Roman" w:cs="Times New Roman"/>
        </w:rPr>
        <w:t xml:space="preserve"> “retention … of a deposit”</w:t>
      </w:r>
      <w:r w:rsidR="004733CF" w:rsidRPr="00B96F22">
        <w:rPr>
          <w:rFonts w:ascii="Times New Roman" w:hAnsi="Times New Roman" w:cs="Times New Roman"/>
        </w:rPr>
        <w:t xml:space="preserve"> -- </w:t>
      </w:r>
      <w:r w:rsidR="003044BA" w:rsidRPr="00B96F22">
        <w:rPr>
          <w:rFonts w:ascii="Times New Roman" w:hAnsi="Times New Roman" w:cs="Times New Roman"/>
        </w:rPr>
        <w:t>subdivisions 3,4,5, and 6.</w:t>
      </w:r>
    </w:p>
    <w:p w14:paraId="2BE5650E" w14:textId="6A994D21" w:rsidR="003044BA" w:rsidRPr="00B96F22" w:rsidRDefault="003044BA" w:rsidP="001B7D20">
      <w:pPr>
        <w:suppressLineNumbers/>
        <w:rPr>
          <w:rFonts w:ascii="Times New Roman" w:hAnsi="Times New Roman" w:cs="Times New Roman"/>
        </w:rPr>
      </w:pPr>
      <w:r w:rsidRPr="00B96F22">
        <w:rPr>
          <w:rFonts w:ascii="Times New Roman" w:hAnsi="Times New Roman" w:cs="Times New Roman"/>
        </w:rPr>
        <w:t>Subdivision 3 only involves tenants and their landlords and says nothing about successors in interest. Subdivision 4 creates a “doubling penalty”</w:t>
      </w:r>
      <w:r w:rsidR="00F30C02" w:rsidRPr="00B96F22">
        <w:rPr>
          <w:rStyle w:val="FootnoteReference"/>
          <w:rFonts w:ascii="Times New Roman" w:hAnsi="Times New Roman" w:cs="Times New Roman"/>
        </w:rPr>
        <w:t xml:space="preserve"> </w:t>
      </w:r>
      <w:r w:rsidR="00F30C02" w:rsidRPr="00B96F22">
        <w:rPr>
          <w:rStyle w:val="FootnoteReference"/>
          <w:rFonts w:ascii="Times New Roman" w:hAnsi="Times New Roman" w:cs="Times New Roman"/>
        </w:rPr>
        <w:footnoteReference w:id="8"/>
      </w:r>
      <w:r w:rsidRPr="00B96F22">
        <w:rPr>
          <w:rFonts w:ascii="Times New Roman" w:hAnsi="Times New Roman" w:cs="Times New Roman"/>
        </w:rPr>
        <w:t xml:space="preserve"> for certain misdeeds but only affords tenants the right</w:t>
      </w:r>
      <w:r w:rsidR="00F30C02" w:rsidRPr="00B96F22">
        <w:rPr>
          <w:rFonts w:ascii="Times New Roman" w:hAnsi="Times New Roman" w:cs="Times New Roman"/>
        </w:rPr>
        <w:t xml:space="preserve"> to</w:t>
      </w:r>
      <w:r w:rsidRPr="00B96F22">
        <w:rPr>
          <w:rFonts w:ascii="Times New Roman" w:hAnsi="Times New Roman" w:cs="Times New Roman"/>
        </w:rPr>
        <w:t xml:space="preserve"> the doubling penalty.</w:t>
      </w:r>
    </w:p>
    <w:p w14:paraId="0BBEA638" w14:textId="035DAC7C" w:rsidR="00DA33C5" w:rsidRPr="00B96F22" w:rsidRDefault="00DA33C5" w:rsidP="001B7D20">
      <w:pPr>
        <w:suppressLineNumbers/>
        <w:rPr>
          <w:rFonts w:ascii="Times New Roman" w:hAnsi="Times New Roman" w:cs="Times New Roman"/>
        </w:rPr>
      </w:pPr>
      <w:r w:rsidRPr="00B96F22">
        <w:rPr>
          <w:rFonts w:ascii="Times New Roman" w:hAnsi="Times New Roman" w:cs="Times New Roman"/>
        </w:rPr>
        <w:t>This leaves subdivisions 5 and 6 as subdivisions that might afford successors a bad-faith claim based on “bad faith retention by a landlord of a deposit”. Subdivision 5 states:</w:t>
      </w:r>
    </w:p>
    <w:p w14:paraId="509ACDC0" w14:textId="026BFF45" w:rsidR="00DA33C5" w:rsidRPr="00B96F22" w:rsidRDefault="00DA33C5" w:rsidP="001B7D20">
      <w:pPr>
        <w:suppressLineNumbers/>
        <w:ind w:left="720"/>
        <w:rPr>
          <w:rFonts w:cstheme="minorHAnsi"/>
        </w:rPr>
      </w:pPr>
      <w:r w:rsidRPr="00B96F22">
        <w:rPr>
          <w:rFonts w:cstheme="minorHAnsi"/>
        </w:rPr>
        <w:t xml:space="preserve">Subd. 5.  Upon termination of the landlord's interest in the premises, whether by sale, assignment, death, appointment of receiver or otherwise, the landlord or the landlord's agent shall, within 60 days of termination of the interest or when the successor in interest is required to return or otherwise account for the deposit to the tenant, whichever occurs first, do one of the following acts, either of which shall relieve the landlord or agent of further liability with respect to such deposit: </w:t>
      </w:r>
    </w:p>
    <w:p w14:paraId="0CDA935B" w14:textId="54E3E007" w:rsidR="00DA33C5" w:rsidRPr="00B96F22" w:rsidRDefault="00DA33C5" w:rsidP="001B7D20">
      <w:pPr>
        <w:suppressLineNumbers/>
        <w:ind w:left="1440"/>
        <w:rPr>
          <w:rFonts w:cstheme="minorHAnsi"/>
        </w:rPr>
      </w:pPr>
      <w:r w:rsidRPr="00B96F22">
        <w:rPr>
          <w:rFonts w:cstheme="minorHAnsi"/>
        </w:rPr>
        <w:t xml:space="preserve">(a) transfer such deposit, or any remainder after any lawful deductions made under subdivision 3, with interest thereon as provided in subdivision 2, to the </w:t>
      </w:r>
      <w:r w:rsidRPr="00B96F22">
        <w:rPr>
          <w:rFonts w:cstheme="minorHAnsi"/>
        </w:rPr>
        <w:lastRenderedPageBreak/>
        <w:t xml:space="preserve">landlord's successor in interest and thereafter notify the tenant of such transfer and of the transferee's name and address; or </w:t>
      </w:r>
    </w:p>
    <w:p w14:paraId="2640EAF5" w14:textId="77777777" w:rsidR="00DA33C5" w:rsidRPr="00B96F22" w:rsidRDefault="00DA33C5" w:rsidP="001B7D20">
      <w:pPr>
        <w:suppressLineNumbers/>
        <w:ind w:left="1440"/>
        <w:rPr>
          <w:rFonts w:cstheme="minorHAnsi"/>
        </w:rPr>
      </w:pPr>
      <w:r w:rsidRPr="00B96F22">
        <w:rPr>
          <w:rFonts w:cstheme="minorHAnsi"/>
        </w:rPr>
        <w:t xml:space="preserve"> (b) return such deposit, or any remainder after any lawful deductions made under subdivision 3, with interest thereon as provided in subdivision 2, to the tenant.</w:t>
      </w:r>
    </w:p>
    <w:p w14:paraId="3DD2F470" w14:textId="4A91D562" w:rsidR="00DA33C5" w:rsidRPr="00B96F22" w:rsidRDefault="007A0AED" w:rsidP="001B7D20">
      <w:pPr>
        <w:suppressLineNumbers/>
        <w:rPr>
          <w:rFonts w:ascii="Times New Roman" w:hAnsi="Times New Roman" w:cs="Times New Roman"/>
        </w:rPr>
      </w:pPr>
      <w:r w:rsidRPr="00B96F22">
        <w:rPr>
          <w:rFonts w:ascii="Times New Roman" w:hAnsi="Times New Roman" w:cs="Times New Roman"/>
        </w:rPr>
        <w:t>Thus</w:t>
      </w:r>
      <w:r w:rsidR="00EE048E" w:rsidRPr="00B96F22">
        <w:rPr>
          <w:rFonts w:ascii="Times New Roman" w:hAnsi="Times New Roman" w:cs="Times New Roman"/>
        </w:rPr>
        <w:t xml:space="preserve"> s</w:t>
      </w:r>
      <w:r w:rsidR="00DA33C5" w:rsidRPr="00B96F22">
        <w:rPr>
          <w:rFonts w:ascii="Times New Roman" w:hAnsi="Times New Roman" w:cs="Times New Roman"/>
        </w:rPr>
        <w:t xml:space="preserve">ubdivision 5 </w:t>
      </w:r>
      <w:r w:rsidR="00EE048E" w:rsidRPr="00B96F22">
        <w:rPr>
          <w:rFonts w:ascii="Times New Roman" w:hAnsi="Times New Roman" w:cs="Times New Roman"/>
        </w:rPr>
        <w:t xml:space="preserve">requires the predecessor </w:t>
      </w:r>
      <w:r w:rsidR="00B870D8" w:rsidRPr="00B96F22">
        <w:rPr>
          <w:rFonts w:ascii="Times New Roman" w:hAnsi="Times New Roman" w:cs="Times New Roman"/>
        </w:rPr>
        <w:t>in i</w:t>
      </w:r>
      <w:r w:rsidR="00EE048E" w:rsidRPr="00B96F22">
        <w:rPr>
          <w:rFonts w:ascii="Times New Roman" w:hAnsi="Times New Roman" w:cs="Times New Roman"/>
        </w:rPr>
        <w:t>nterest (“landlord” i</w:t>
      </w:r>
      <w:r w:rsidRPr="00B96F22">
        <w:rPr>
          <w:rFonts w:ascii="Times New Roman" w:hAnsi="Times New Roman" w:cs="Times New Roman"/>
        </w:rPr>
        <w:t>n</w:t>
      </w:r>
      <w:r w:rsidR="00EE048E" w:rsidRPr="00B96F22">
        <w:rPr>
          <w:rFonts w:ascii="Times New Roman" w:hAnsi="Times New Roman" w:cs="Times New Roman"/>
        </w:rPr>
        <w:t xml:space="preserve"> subdivision</w:t>
      </w:r>
      <w:r w:rsidRPr="00B96F22">
        <w:rPr>
          <w:rFonts w:ascii="Times New Roman" w:hAnsi="Times New Roman" w:cs="Times New Roman"/>
        </w:rPr>
        <w:t xml:space="preserve"> 5</w:t>
      </w:r>
      <w:r w:rsidR="00EE048E" w:rsidRPr="00B96F22">
        <w:rPr>
          <w:rFonts w:ascii="Times New Roman" w:hAnsi="Times New Roman" w:cs="Times New Roman"/>
        </w:rPr>
        <w:t xml:space="preserve">) </w:t>
      </w:r>
      <w:r w:rsidR="00B870D8" w:rsidRPr="00B96F22">
        <w:rPr>
          <w:rFonts w:ascii="Times New Roman" w:hAnsi="Times New Roman" w:cs="Times New Roman"/>
        </w:rPr>
        <w:t>to turn over the deposit plus interest to each tenant or to the successor in interest within a certain time period. That period is the lesser of 60 days or when a tenant who moves out would be due the deposit (normally three weeks after moving out per subdivision 3). If it misses the deadline, the predecessor has retained the deposit in violation of this section.</w:t>
      </w:r>
    </w:p>
    <w:p w14:paraId="6C13E9D5" w14:textId="7CC6D42D" w:rsidR="00576DE9" w:rsidRPr="00B96F22" w:rsidRDefault="00576DE9" w:rsidP="001B7D20">
      <w:pPr>
        <w:suppressLineNumbers/>
        <w:rPr>
          <w:rFonts w:ascii="Times New Roman" w:hAnsi="Times New Roman" w:cs="Times New Roman"/>
        </w:rPr>
      </w:pPr>
      <w:r w:rsidRPr="00B96F22">
        <w:rPr>
          <w:rFonts w:ascii="Times New Roman" w:hAnsi="Times New Roman" w:cs="Times New Roman"/>
        </w:rPr>
        <w:t>Subdivision 6 shows why the successor cares whether the predecessor meets the deadline. It states</w:t>
      </w:r>
      <w:r w:rsidR="00AD143E" w:rsidRPr="00B96F22">
        <w:rPr>
          <w:rFonts w:ascii="Times New Roman" w:hAnsi="Times New Roman" w:cs="Times New Roman"/>
        </w:rPr>
        <w:t>:</w:t>
      </w:r>
    </w:p>
    <w:p w14:paraId="3CDA42D4" w14:textId="36E049B0" w:rsidR="00576DE9" w:rsidRPr="00B96F22" w:rsidRDefault="00576DE9" w:rsidP="001B7D20">
      <w:pPr>
        <w:suppressLineNumbers/>
        <w:ind w:left="720"/>
        <w:rPr>
          <w:rFonts w:ascii="Times New Roman" w:hAnsi="Times New Roman" w:cs="Times New Roman"/>
        </w:rPr>
      </w:pPr>
      <w:r w:rsidRPr="00B96F22">
        <w:rPr>
          <w:rFonts w:cstheme="minorHAnsi"/>
        </w:rPr>
        <w:t>Subd. 6.  Upon termination of the landlord's interest in the premises, whether by sale, assignment, death, appointment of receiver or otherwise, the landlord's successor in interest shall have all of the rights and obligations of the landlord with respect to such deposit, except, that if tenant does not object to the stated amount within 20 days after written notice to tenant of the amount of deposit being transferred or assumed, the obligation of the landlord's successor to return such deposit shall be limited to the amount contained in such notice.  Such notice shall contain a stamped envelope addressed to landlord's successor and may be given by mail or by personal service</w:t>
      </w:r>
      <w:r w:rsidRPr="00B96F22">
        <w:rPr>
          <w:rFonts w:ascii="Times New Roman" w:hAnsi="Times New Roman" w:cs="Times New Roman"/>
        </w:rPr>
        <w:t xml:space="preserve">. </w:t>
      </w:r>
    </w:p>
    <w:p w14:paraId="0ED2AD2C" w14:textId="24D24D56" w:rsidR="00576DE9" w:rsidRPr="00B96F22" w:rsidRDefault="00576DE9" w:rsidP="001B7D20">
      <w:pPr>
        <w:suppressLineNumbers/>
        <w:rPr>
          <w:rFonts w:ascii="Times New Roman" w:hAnsi="Times New Roman" w:cs="Times New Roman"/>
        </w:rPr>
      </w:pPr>
      <w:r w:rsidRPr="00B96F22">
        <w:rPr>
          <w:rFonts w:ascii="Times New Roman" w:hAnsi="Times New Roman" w:cs="Times New Roman"/>
        </w:rPr>
        <w:t>Under subdivision 6, when a tenant moves out</w:t>
      </w:r>
      <w:r w:rsidR="005B332D" w:rsidRPr="00B96F22">
        <w:rPr>
          <w:rFonts w:ascii="Times New Roman" w:hAnsi="Times New Roman" w:cs="Times New Roman"/>
        </w:rPr>
        <w:t xml:space="preserve"> at the end of </w:t>
      </w:r>
      <w:r w:rsidR="00CF070B">
        <w:rPr>
          <w:rFonts w:ascii="Times New Roman" w:hAnsi="Times New Roman" w:cs="Times New Roman"/>
        </w:rPr>
        <w:t>her</w:t>
      </w:r>
      <w:r w:rsidR="005B332D" w:rsidRPr="00B96F22">
        <w:rPr>
          <w:rFonts w:ascii="Times New Roman" w:hAnsi="Times New Roman" w:cs="Times New Roman"/>
        </w:rPr>
        <w:t xml:space="preserve"> tenancy</w:t>
      </w:r>
      <w:r w:rsidRPr="00B96F22">
        <w:rPr>
          <w:rFonts w:ascii="Times New Roman" w:hAnsi="Times New Roman" w:cs="Times New Roman"/>
        </w:rPr>
        <w:t xml:space="preserve"> and gives </w:t>
      </w:r>
      <w:r w:rsidR="001054EE" w:rsidRPr="00B96F22">
        <w:rPr>
          <w:rFonts w:ascii="Times New Roman" w:hAnsi="Times New Roman" w:cs="Times New Roman"/>
        </w:rPr>
        <w:t>her</w:t>
      </w:r>
      <w:r w:rsidRPr="00B96F22">
        <w:rPr>
          <w:rFonts w:ascii="Times New Roman" w:hAnsi="Times New Roman" w:cs="Times New Roman"/>
        </w:rPr>
        <w:t xml:space="preserve"> mailing address, </w:t>
      </w:r>
      <w:r w:rsidR="00724B45" w:rsidRPr="00B96F22">
        <w:rPr>
          <w:rFonts w:ascii="Times New Roman" w:hAnsi="Times New Roman" w:cs="Times New Roman"/>
        </w:rPr>
        <w:t>the successor “shall have all of the rights and obligations of the landlord with respect to such deposit” – i.e. he must pay the tenant the deposit plus interest even if he never got it in the first place. The only exception</w:t>
      </w:r>
      <w:r w:rsidR="00923677">
        <w:rPr>
          <w:rFonts w:ascii="Times New Roman" w:hAnsi="Times New Roman" w:cs="Times New Roman"/>
        </w:rPr>
        <w:t>s</w:t>
      </w:r>
      <w:r w:rsidR="00724B45" w:rsidRPr="00B96F22">
        <w:rPr>
          <w:rFonts w:ascii="Times New Roman" w:hAnsi="Times New Roman" w:cs="Times New Roman"/>
        </w:rPr>
        <w:t xml:space="preserve"> to this rule </w:t>
      </w:r>
      <w:r w:rsidR="00923677">
        <w:rPr>
          <w:rFonts w:ascii="Times New Roman" w:hAnsi="Times New Roman" w:cs="Times New Roman"/>
        </w:rPr>
        <w:t>are</w:t>
      </w:r>
      <w:r w:rsidR="00724B45" w:rsidRPr="00B96F22">
        <w:rPr>
          <w:rFonts w:ascii="Times New Roman" w:hAnsi="Times New Roman" w:cs="Times New Roman"/>
        </w:rPr>
        <w:t xml:space="preserve"> if the predecessor has transferred the deposit + interest to the tenant or the successor per subdivision 5</w:t>
      </w:r>
      <w:r w:rsidR="005E50D6" w:rsidRPr="00B96F22">
        <w:rPr>
          <w:rFonts w:ascii="Times New Roman" w:hAnsi="Times New Roman" w:cs="Times New Roman"/>
        </w:rPr>
        <w:t>. I</w:t>
      </w:r>
      <w:r w:rsidR="00AD143E" w:rsidRPr="00B96F22">
        <w:rPr>
          <w:rFonts w:ascii="Times New Roman" w:hAnsi="Times New Roman" w:cs="Times New Roman"/>
        </w:rPr>
        <w:t xml:space="preserve">f </w:t>
      </w:r>
      <w:r w:rsidR="00724B45" w:rsidRPr="00B96F22">
        <w:rPr>
          <w:rFonts w:ascii="Times New Roman" w:hAnsi="Times New Roman" w:cs="Times New Roman"/>
        </w:rPr>
        <w:t>the predecessor paid the tenant, the tenant has no more claim for the deposit</w:t>
      </w:r>
      <w:r w:rsidR="005E50D6" w:rsidRPr="00B96F22">
        <w:rPr>
          <w:rFonts w:ascii="Times New Roman" w:hAnsi="Times New Roman" w:cs="Times New Roman"/>
        </w:rPr>
        <w:t>; if</w:t>
      </w:r>
      <w:r w:rsidR="00724B45" w:rsidRPr="00B96F22">
        <w:rPr>
          <w:rFonts w:ascii="Times New Roman" w:hAnsi="Times New Roman" w:cs="Times New Roman"/>
        </w:rPr>
        <w:t xml:space="preserve"> the predecessor paid the successor, the successor can use this money to pay the tenant. </w:t>
      </w:r>
      <w:r w:rsidR="005E50D6" w:rsidRPr="00B96F22">
        <w:rPr>
          <w:rFonts w:ascii="Times New Roman" w:hAnsi="Times New Roman" w:cs="Times New Roman"/>
        </w:rPr>
        <w:t>Even f</w:t>
      </w:r>
      <w:r w:rsidR="00507E9A" w:rsidRPr="00B96F22">
        <w:rPr>
          <w:rFonts w:ascii="Times New Roman" w:hAnsi="Times New Roman" w:cs="Times New Roman"/>
        </w:rPr>
        <w:t>ailure by the predecessor to meet</w:t>
      </w:r>
      <w:r w:rsidR="00724B45" w:rsidRPr="00B96F22">
        <w:rPr>
          <w:rFonts w:ascii="Times New Roman" w:hAnsi="Times New Roman" w:cs="Times New Roman"/>
        </w:rPr>
        <w:t xml:space="preserve"> the subdivision-5 deadline matter</w:t>
      </w:r>
      <w:r w:rsidR="00507E9A" w:rsidRPr="00B96F22">
        <w:rPr>
          <w:rFonts w:ascii="Times New Roman" w:hAnsi="Times New Roman" w:cs="Times New Roman"/>
        </w:rPr>
        <w:t>s to the successor</w:t>
      </w:r>
      <w:r w:rsidR="005E50D6" w:rsidRPr="00B96F22">
        <w:rPr>
          <w:rFonts w:ascii="Times New Roman" w:hAnsi="Times New Roman" w:cs="Times New Roman"/>
        </w:rPr>
        <w:t xml:space="preserve"> because by the time</w:t>
      </w:r>
      <w:r w:rsidR="00724B45" w:rsidRPr="00B96F22">
        <w:rPr>
          <w:rFonts w:ascii="Times New Roman" w:hAnsi="Times New Roman" w:cs="Times New Roman"/>
        </w:rPr>
        <w:t xml:space="preserve"> the predecessor eventually makes payments, the successor will have reach</w:t>
      </w:r>
      <w:r w:rsidR="005E50D6" w:rsidRPr="00B96F22">
        <w:rPr>
          <w:rFonts w:ascii="Times New Roman" w:hAnsi="Times New Roman" w:cs="Times New Roman"/>
        </w:rPr>
        <w:t>ed</w:t>
      </w:r>
      <w:r w:rsidR="00724B45" w:rsidRPr="00B96F22">
        <w:rPr>
          <w:rFonts w:ascii="Times New Roman" w:hAnsi="Times New Roman" w:cs="Times New Roman"/>
        </w:rPr>
        <w:t xml:space="preserve"> into his own pocket pay </w:t>
      </w:r>
      <w:r w:rsidR="005E50D6" w:rsidRPr="00B96F22">
        <w:rPr>
          <w:rFonts w:ascii="Times New Roman" w:hAnsi="Times New Roman" w:cs="Times New Roman"/>
        </w:rPr>
        <w:t xml:space="preserve">some departing </w:t>
      </w:r>
      <w:r w:rsidR="00724B45" w:rsidRPr="00B96F22">
        <w:rPr>
          <w:rFonts w:ascii="Times New Roman" w:hAnsi="Times New Roman" w:cs="Times New Roman"/>
        </w:rPr>
        <w:t>tenant</w:t>
      </w:r>
      <w:r w:rsidR="005E50D6" w:rsidRPr="00B96F22">
        <w:rPr>
          <w:rFonts w:ascii="Times New Roman" w:hAnsi="Times New Roman" w:cs="Times New Roman"/>
        </w:rPr>
        <w:t>s and incurred associated costs</w:t>
      </w:r>
      <w:r w:rsidR="00724B45" w:rsidRPr="00B96F22">
        <w:rPr>
          <w:rFonts w:ascii="Times New Roman" w:hAnsi="Times New Roman" w:cs="Times New Roman"/>
        </w:rPr>
        <w:t>.</w:t>
      </w:r>
    </w:p>
    <w:p w14:paraId="12DB849E" w14:textId="32ED8F92" w:rsidR="003E698B" w:rsidRPr="00B96F22" w:rsidRDefault="00CF070B" w:rsidP="001B7D20">
      <w:pPr>
        <w:suppressLineNumbers/>
        <w:rPr>
          <w:rFonts w:ascii="Times New Roman" w:hAnsi="Times New Roman" w:cs="Times New Roman"/>
        </w:rPr>
      </w:pPr>
      <w:r>
        <w:rPr>
          <w:rFonts w:ascii="Times New Roman" w:hAnsi="Times New Roman" w:cs="Times New Roman"/>
        </w:rPr>
        <w:t>T</w:t>
      </w:r>
      <w:r w:rsidR="003E698B" w:rsidRPr="00B96F22">
        <w:rPr>
          <w:rFonts w:ascii="Times New Roman" w:hAnsi="Times New Roman" w:cs="Times New Roman"/>
        </w:rPr>
        <w:t>he successor cares a lot more about subdivision 5 than a tenant. In a sense, the tenant doesn’t care if the predecessor obeys subdivision 5. She might even be better off if it doesn’t</w:t>
      </w:r>
      <w:r w:rsidR="00F15F69" w:rsidRPr="00B96F22">
        <w:rPr>
          <w:rFonts w:ascii="Times New Roman" w:hAnsi="Times New Roman" w:cs="Times New Roman"/>
        </w:rPr>
        <w:t>. U</w:t>
      </w:r>
      <w:r w:rsidR="003E698B" w:rsidRPr="00B96F22">
        <w:rPr>
          <w:rFonts w:ascii="Times New Roman" w:hAnsi="Times New Roman" w:cs="Times New Roman"/>
        </w:rPr>
        <w:t xml:space="preserve">nder subdivision 6, when she moves </w:t>
      </w:r>
      <w:proofErr w:type="gramStart"/>
      <w:r w:rsidR="003E698B" w:rsidRPr="00B96F22">
        <w:rPr>
          <w:rFonts w:ascii="Times New Roman" w:hAnsi="Times New Roman" w:cs="Times New Roman"/>
        </w:rPr>
        <w:t>out</w:t>
      </w:r>
      <w:proofErr w:type="gramEnd"/>
      <w:r w:rsidR="005B332D" w:rsidRPr="00B96F22">
        <w:rPr>
          <w:rFonts w:ascii="Times New Roman" w:hAnsi="Times New Roman" w:cs="Times New Roman"/>
        </w:rPr>
        <w:t xml:space="preserve"> </w:t>
      </w:r>
      <w:r w:rsidR="003E698B" w:rsidRPr="00B96F22">
        <w:rPr>
          <w:rFonts w:ascii="Times New Roman" w:hAnsi="Times New Roman" w:cs="Times New Roman"/>
        </w:rPr>
        <w:t>she has two pockets to collect from – the innocent</w:t>
      </w:r>
      <w:r w:rsidR="00F15F69" w:rsidRPr="00B96F22">
        <w:rPr>
          <w:rFonts w:ascii="Times New Roman" w:hAnsi="Times New Roman" w:cs="Times New Roman"/>
        </w:rPr>
        <w:t xml:space="preserve"> </w:t>
      </w:r>
      <w:r w:rsidR="003E698B" w:rsidRPr="00B96F22">
        <w:rPr>
          <w:rFonts w:ascii="Times New Roman" w:hAnsi="Times New Roman" w:cs="Times New Roman"/>
        </w:rPr>
        <w:t xml:space="preserve">successor </w:t>
      </w:r>
      <w:r w:rsidR="00F15F69" w:rsidRPr="00B96F22">
        <w:rPr>
          <w:rFonts w:ascii="Times New Roman" w:hAnsi="Times New Roman" w:cs="Times New Roman"/>
          <w:u w:val="single"/>
        </w:rPr>
        <w:t>and</w:t>
      </w:r>
      <w:r w:rsidR="003E698B" w:rsidRPr="00B96F22">
        <w:rPr>
          <w:rFonts w:ascii="Times New Roman" w:hAnsi="Times New Roman" w:cs="Times New Roman"/>
        </w:rPr>
        <w:t xml:space="preserve"> the guilty predecessor.</w:t>
      </w:r>
    </w:p>
    <w:p w14:paraId="0E7C9382" w14:textId="09FD7157" w:rsidR="00576DE9" w:rsidRPr="00B96F22" w:rsidRDefault="00B12310" w:rsidP="001B7D20">
      <w:pPr>
        <w:suppressLineNumbers/>
        <w:rPr>
          <w:rFonts w:ascii="Times New Roman" w:hAnsi="Times New Roman" w:cs="Times New Roman"/>
        </w:rPr>
      </w:pPr>
      <w:r w:rsidRPr="00B96F22">
        <w:rPr>
          <w:rFonts w:ascii="Times New Roman" w:hAnsi="Times New Roman" w:cs="Times New Roman"/>
        </w:rPr>
        <w:t>Therefore, retention of a deposit (+ interest) by a predecessor in violation of subdivision 5 harms the successor. This clearly gives the successor a claim for the deposit</w:t>
      </w:r>
      <w:r w:rsidR="00F15F69" w:rsidRPr="00B96F22">
        <w:rPr>
          <w:rFonts w:ascii="Times New Roman" w:hAnsi="Times New Roman" w:cs="Times New Roman"/>
        </w:rPr>
        <w:t>s held by the predecessor</w:t>
      </w:r>
      <w:r w:rsidRPr="00B96F22">
        <w:rPr>
          <w:rFonts w:ascii="Times New Roman" w:hAnsi="Times New Roman" w:cs="Times New Roman"/>
        </w:rPr>
        <w:t xml:space="preserve">. </w:t>
      </w:r>
      <w:r w:rsidRPr="00B96F22">
        <w:rPr>
          <w:rFonts w:ascii="Times New Roman" w:hAnsi="Times New Roman" w:cs="Times New Roman"/>
        </w:rPr>
        <w:lastRenderedPageBreak/>
        <w:t xml:space="preserve">Otherwise, the duty to obey the retention/refund rule would be meaningless. And, if the retention was in bad faith, then </w:t>
      </w:r>
      <w:r w:rsidR="00F15F69" w:rsidRPr="00B96F22">
        <w:rPr>
          <w:rFonts w:ascii="Times New Roman" w:hAnsi="Times New Roman" w:cs="Times New Roman"/>
        </w:rPr>
        <w:t>per</w:t>
      </w:r>
      <w:r w:rsidRPr="00B96F22">
        <w:rPr>
          <w:rFonts w:ascii="Times New Roman" w:hAnsi="Times New Roman" w:cs="Times New Roman"/>
        </w:rPr>
        <w:t xml:space="preserve"> subdivision 7 the successor has a claim for up to $200 for each deposit.</w:t>
      </w:r>
      <w:r w:rsidR="00CF070B">
        <w:rPr>
          <w:rStyle w:val="FootnoteReference"/>
          <w:rFonts w:ascii="Times New Roman" w:hAnsi="Times New Roman" w:cs="Times New Roman"/>
        </w:rPr>
        <w:footnoteReference w:id="9"/>
      </w:r>
    </w:p>
    <w:p w14:paraId="3D1000CD" w14:textId="29FB8A5F" w:rsidR="00CF070B" w:rsidRPr="00B96F22" w:rsidRDefault="00DE1085" w:rsidP="001B7D20">
      <w:pPr>
        <w:suppressLineNumbers/>
        <w:rPr>
          <w:rFonts w:ascii="Times New Roman" w:hAnsi="Times New Roman" w:cs="Times New Roman"/>
        </w:rPr>
      </w:pPr>
      <w:r w:rsidRPr="00B96F22">
        <w:rPr>
          <w:rFonts w:ascii="Times New Roman" w:hAnsi="Times New Roman" w:cs="Times New Roman"/>
        </w:rPr>
        <w:t xml:space="preserve">The language of subdivision 7 provides a secondary indication that the successor has a claim for the bad-faith $200. Note that the claim is for up to “$200 for </w:t>
      </w:r>
      <w:r w:rsidRPr="00B96F22">
        <w:rPr>
          <w:rFonts w:ascii="Times New Roman" w:hAnsi="Times New Roman" w:cs="Times New Roman"/>
          <w:u w:val="single"/>
        </w:rPr>
        <w:t>each</w:t>
      </w:r>
      <w:r w:rsidRPr="00B96F22">
        <w:rPr>
          <w:rFonts w:ascii="Times New Roman" w:hAnsi="Times New Roman" w:cs="Times New Roman"/>
        </w:rPr>
        <w:t xml:space="preserve"> deposit”, not “$200 for </w:t>
      </w:r>
      <w:r w:rsidRPr="00B96F22">
        <w:rPr>
          <w:rFonts w:ascii="Times New Roman" w:hAnsi="Times New Roman" w:cs="Times New Roman"/>
          <w:u w:val="single"/>
        </w:rPr>
        <w:t>the</w:t>
      </w:r>
      <w:r w:rsidRPr="00B96F22">
        <w:rPr>
          <w:rFonts w:ascii="Times New Roman" w:hAnsi="Times New Roman" w:cs="Times New Roman"/>
        </w:rPr>
        <w:t xml:space="preserve"> deposit”. Generally, a tenant has just one deposit. It is a predecessor who </w:t>
      </w:r>
      <w:r w:rsidR="00A23FDE" w:rsidRPr="00B96F22">
        <w:rPr>
          <w:rFonts w:ascii="Times New Roman" w:hAnsi="Times New Roman" w:cs="Times New Roman"/>
        </w:rPr>
        <w:t xml:space="preserve">usually </w:t>
      </w:r>
      <w:r w:rsidRPr="00B96F22">
        <w:rPr>
          <w:rFonts w:ascii="Times New Roman" w:hAnsi="Times New Roman" w:cs="Times New Roman"/>
        </w:rPr>
        <w:t>has multiple deposits.</w:t>
      </w:r>
    </w:p>
    <w:p w14:paraId="5D3AA6AF" w14:textId="4F189C9C" w:rsidR="00C2614E" w:rsidRPr="00B96F22" w:rsidRDefault="00923677" w:rsidP="001B7D20">
      <w:pPr>
        <w:suppressLineNumbers/>
        <w:rPr>
          <w:rFonts w:ascii="Times New Roman" w:hAnsi="Times New Roman" w:cs="Times New Roman"/>
          <w:u w:val="single"/>
        </w:rPr>
      </w:pPr>
      <w:r>
        <w:rPr>
          <w:rFonts w:ascii="Times New Roman" w:hAnsi="Times New Roman" w:cs="Times New Roman"/>
          <w:u w:val="single"/>
        </w:rPr>
        <w:t>B. T</w:t>
      </w:r>
      <w:r w:rsidR="00C2614E" w:rsidRPr="00B96F22">
        <w:rPr>
          <w:rFonts w:ascii="Times New Roman" w:hAnsi="Times New Roman" w:cs="Times New Roman"/>
          <w:u w:val="single"/>
        </w:rPr>
        <w:t>he legislative history of Minn. Stat. §504.20 (now Minn. Stat. §504B.178)</w:t>
      </w:r>
    </w:p>
    <w:p w14:paraId="2957E357" w14:textId="1E95B3DA" w:rsidR="00AF76CB" w:rsidRDefault="00457F37" w:rsidP="001B7D20">
      <w:pPr>
        <w:suppressLineNumbers/>
        <w:rPr>
          <w:rFonts w:ascii="Times New Roman" w:hAnsi="Times New Roman" w:cs="Times New Roman"/>
        </w:rPr>
      </w:pPr>
      <w:r w:rsidRPr="00B96F22">
        <w:rPr>
          <w:rFonts w:ascii="Times New Roman" w:hAnsi="Times New Roman" w:cs="Times New Roman"/>
        </w:rPr>
        <w:t xml:space="preserve">The legislative history of Minn. Stat. §504.20 from </w:t>
      </w:r>
      <w:r w:rsidR="009C1730">
        <w:rPr>
          <w:rFonts w:ascii="Times New Roman" w:hAnsi="Times New Roman" w:cs="Times New Roman"/>
        </w:rPr>
        <w:t xml:space="preserve">the </w:t>
      </w:r>
      <w:r w:rsidR="007A0B1E">
        <w:rPr>
          <w:rFonts w:ascii="Times New Roman" w:hAnsi="Times New Roman" w:cs="Times New Roman"/>
        </w:rPr>
        <w:t>77th legislative session</w:t>
      </w:r>
      <w:r w:rsidRPr="00B96F22">
        <w:rPr>
          <w:rFonts w:ascii="Times New Roman" w:hAnsi="Times New Roman" w:cs="Times New Roman"/>
        </w:rPr>
        <w:t xml:space="preserve"> provides strong evidence </w:t>
      </w:r>
      <w:r w:rsidR="00C2614E" w:rsidRPr="00B96F22">
        <w:rPr>
          <w:rFonts w:ascii="Times New Roman" w:hAnsi="Times New Roman" w:cs="Times New Roman"/>
        </w:rPr>
        <w:t xml:space="preserve">supporting </w:t>
      </w:r>
      <w:r w:rsidRPr="00B96F22">
        <w:rPr>
          <w:rFonts w:ascii="Times New Roman" w:hAnsi="Times New Roman" w:cs="Times New Roman"/>
        </w:rPr>
        <w:t>the plain-language analysis above.</w:t>
      </w:r>
      <w:r w:rsidR="007A0B1E">
        <w:rPr>
          <w:rFonts w:ascii="Times New Roman" w:hAnsi="Times New Roman" w:cs="Times New Roman"/>
        </w:rPr>
        <w:t xml:space="preserve"> That </w:t>
      </w:r>
      <w:r w:rsidR="001205C8" w:rsidRPr="00B96F22">
        <w:rPr>
          <w:rFonts w:ascii="Times New Roman" w:hAnsi="Times New Roman" w:cs="Times New Roman"/>
        </w:rPr>
        <w:t xml:space="preserve">legislature passed and the governor signed a large housing bill that was enrolled as </w:t>
      </w:r>
      <w:hyperlink r:id="rId9" w:history="1">
        <w:r w:rsidR="00AF76CB" w:rsidRPr="00B96F22">
          <w:rPr>
            <w:rStyle w:val="Hyperlink"/>
            <w:rFonts w:ascii="Times New Roman" w:hAnsi="Times New Roman" w:cs="Times New Roman"/>
          </w:rPr>
          <w:t>1992 Minn. Laws c  376</w:t>
        </w:r>
      </w:hyperlink>
      <w:r w:rsidR="00AF76CB" w:rsidRPr="00B96F22">
        <w:rPr>
          <w:rFonts w:ascii="Times New Roman" w:hAnsi="Times New Roman" w:cs="Times New Roman"/>
        </w:rPr>
        <w:t xml:space="preserve">. </w:t>
      </w:r>
      <w:r w:rsidR="001205C8" w:rsidRPr="00B96F22">
        <w:rPr>
          <w:rFonts w:ascii="Times New Roman" w:hAnsi="Times New Roman" w:cs="Times New Roman"/>
        </w:rPr>
        <w:t>It amend</w:t>
      </w:r>
      <w:r w:rsidR="00AF76CB" w:rsidRPr="00B96F22">
        <w:rPr>
          <w:rFonts w:ascii="Times New Roman" w:hAnsi="Times New Roman" w:cs="Times New Roman"/>
        </w:rPr>
        <w:t>ed subdivisions</w:t>
      </w:r>
      <w:r w:rsidR="0026058B" w:rsidRPr="00B96F22">
        <w:rPr>
          <w:rFonts w:ascii="Times New Roman" w:hAnsi="Times New Roman" w:cs="Times New Roman"/>
        </w:rPr>
        <w:t xml:space="preserve"> 3,4,5 and 7</w:t>
      </w:r>
      <w:r w:rsidR="00AF76CB" w:rsidRPr="00B96F22">
        <w:rPr>
          <w:rFonts w:ascii="Times New Roman" w:hAnsi="Times New Roman" w:cs="Times New Roman"/>
        </w:rPr>
        <w:t xml:space="preserve"> in </w:t>
      </w:r>
      <w:r w:rsidR="001205C8" w:rsidRPr="00B96F22">
        <w:rPr>
          <w:rFonts w:ascii="Times New Roman" w:hAnsi="Times New Roman" w:cs="Times New Roman"/>
        </w:rPr>
        <w:t>the prior version of section 504.2</w:t>
      </w:r>
      <w:r w:rsidR="007A0B1E">
        <w:rPr>
          <w:rFonts w:ascii="Times New Roman" w:hAnsi="Times New Roman" w:cs="Times New Roman"/>
        </w:rPr>
        <w:t>0. As set out above (footnote 6 and surrounding text), the 1992 law on security deposits remains intact today.</w:t>
      </w:r>
    </w:p>
    <w:p w14:paraId="4968B2D5" w14:textId="028C392A" w:rsidR="00AD1A3A" w:rsidRPr="00ED2D9C" w:rsidRDefault="00ED2D9C" w:rsidP="00ED2D9C">
      <w:pPr>
        <w:suppressLineNumbers/>
        <w:ind w:firstLine="720"/>
        <w:rPr>
          <w:rFonts w:ascii="Times New Roman" w:hAnsi="Times New Roman" w:cs="Times New Roman"/>
          <w:u w:val="single"/>
        </w:rPr>
      </w:pPr>
      <w:r>
        <w:rPr>
          <w:rFonts w:ascii="Times New Roman" w:hAnsi="Times New Roman" w:cs="Times New Roman"/>
          <w:u w:val="single"/>
        </w:rPr>
        <w:t>1. T</w:t>
      </w:r>
      <w:r w:rsidR="00AD1A3A" w:rsidRPr="00ED2D9C">
        <w:rPr>
          <w:rFonts w:ascii="Times New Roman" w:hAnsi="Times New Roman" w:cs="Times New Roman"/>
          <w:u w:val="single"/>
        </w:rPr>
        <w:t>wo groups advocated separately for different changes to Minn. Stat. §504.20</w:t>
      </w:r>
    </w:p>
    <w:p w14:paraId="0A9DE68B" w14:textId="4609B8C9" w:rsidR="008F07FF" w:rsidRDefault="008F07FF" w:rsidP="001B7D20">
      <w:pPr>
        <w:suppressLineNumbers/>
        <w:rPr>
          <w:rFonts w:ascii="Times New Roman" w:hAnsi="Times New Roman" w:cs="Times New Roman"/>
        </w:rPr>
      </w:pPr>
      <w:r w:rsidRPr="00B96F22">
        <w:rPr>
          <w:rFonts w:ascii="Times New Roman" w:hAnsi="Times New Roman" w:cs="Times New Roman"/>
        </w:rPr>
        <w:t>The detail</w:t>
      </w:r>
      <w:r w:rsidR="004A2A47">
        <w:rPr>
          <w:rFonts w:ascii="Times New Roman" w:hAnsi="Times New Roman" w:cs="Times New Roman"/>
        </w:rPr>
        <w:t xml:space="preserve">ed history of 1992 Minn. Laws </w:t>
      </w:r>
      <w:proofErr w:type="spellStart"/>
      <w:r w:rsidR="004A2A47">
        <w:rPr>
          <w:rFonts w:ascii="Times New Roman" w:hAnsi="Times New Roman" w:cs="Times New Roman"/>
        </w:rPr>
        <w:t>ch.</w:t>
      </w:r>
      <w:proofErr w:type="spellEnd"/>
      <w:r w:rsidR="004A2A47">
        <w:rPr>
          <w:rFonts w:ascii="Times New Roman" w:hAnsi="Times New Roman" w:cs="Times New Roman"/>
        </w:rPr>
        <w:t xml:space="preserve"> 376 </w:t>
      </w:r>
      <w:r w:rsidRPr="00B96F22">
        <w:rPr>
          <w:rFonts w:ascii="Times New Roman" w:hAnsi="Times New Roman" w:cs="Times New Roman"/>
        </w:rPr>
        <w:t>is set out</w:t>
      </w:r>
      <w:r w:rsidR="00EC059B">
        <w:rPr>
          <w:rFonts w:ascii="Times New Roman" w:hAnsi="Times New Roman" w:cs="Times New Roman"/>
        </w:rPr>
        <w:t xml:space="preserve"> in </w:t>
      </w:r>
      <w:hyperlink r:id="rId10" w:history="1">
        <w:r w:rsidR="00EC059B" w:rsidRPr="00ED6801">
          <w:rPr>
            <w:rStyle w:val="Hyperlink"/>
            <w:rFonts w:ascii="Times New Roman" w:hAnsi="Times New Roman" w:cs="Times New Roman"/>
            <w:bCs/>
          </w:rPr>
          <w:t>Appendix LH 1992-376</w:t>
        </w:r>
      </w:hyperlink>
      <w:r w:rsidRPr="00B96F22">
        <w:rPr>
          <w:rFonts w:ascii="Times New Roman" w:hAnsi="Times New Roman" w:cs="Times New Roman"/>
        </w:rPr>
        <w:t>. Th</w:t>
      </w:r>
      <w:r w:rsidR="00C209B2" w:rsidRPr="00B96F22">
        <w:rPr>
          <w:rFonts w:ascii="Times New Roman" w:hAnsi="Times New Roman" w:cs="Times New Roman"/>
        </w:rPr>
        <w:t xml:space="preserve">e amendments to </w:t>
      </w:r>
      <w:r w:rsidR="004A2A47">
        <w:rPr>
          <w:rFonts w:ascii="Times New Roman" w:hAnsi="Times New Roman" w:cs="Times New Roman"/>
        </w:rPr>
        <w:t xml:space="preserve">subdivisions </w:t>
      </w:r>
      <w:r w:rsidR="004A2A47" w:rsidRPr="00B96F22">
        <w:rPr>
          <w:rFonts w:ascii="Times New Roman" w:hAnsi="Times New Roman" w:cs="Times New Roman"/>
        </w:rPr>
        <w:t xml:space="preserve">3,4,5 and 7 </w:t>
      </w:r>
      <w:r w:rsidRPr="00B96F22">
        <w:rPr>
          <w:rFonts w:ascii="Times New Roman" w:hAnsi="Times New Roman" w:cs="Times New Roman"/>
        </w:rPr>
        <w:t>resulted from the confluence of two lobbying groups</w:t>
      </w:r>
      <w:r w:rsidR="00A80866" w:rsidRPr="00B96F22">
        <w:rPr>
          <w:rFonts w:ascii="Times New Roman" w:hAnsi="Times New Roman" w:cs="Times New Roman"/>
        </w:rPr>
        <w:t xml:space="preserve"> – tenant advocates and successor advocates. The original bill</w:t>
      </w:r>
      <w:r w:rsidR="00C209B2" w:rsidRPr="00B96F22">
        <w:rPr>
          <w:rFonts w:ascii="Times New Roman" w:hAnsi="Times New Roman" w:cs="Times New Roman"/>
        </w:rPr>
        <w:t>s in each chamber</w:t>
      </w:r>
      <w:r w:rsidR="00A80866" w:rsidRPr="00B96F22">
        <w:rPr>
          <w:rFonts w:ascii="Times New Roman" w:hAnsi="Times New Roman" w:cs="Times New Roman"/>
        </w:rPr>
        <w:t xml:space="preserve"> included </w:t>
      </w:r>
      <w:r w:rsidR="0026058B" w:rsidRPr="00B96F22">
        <w:rPr>
          <w:rFonts w:ascii="Times New Roman" w:hAnsi="Times New Roman" w:cs="Times New Roman"/>
        </w:rPr>
        <w:t xml:space="preserve">language </w:t>
      </w:r>
      <w:r w:rsidR="00A80866" w:rsidRPr="00B96F22">
        <w:rPr>
          <w:rFonts w:ascii="Times New Roman" w:hAnsi="Times New Roman" w:cs="Times New Roman"/>
        </w:rPr>
        <w:t xml:space="preserve">in Article 1 that interested the former </w:t>
      </w:r>
      <w:r w:rsidR="00DE60E3" w:rsidRPr="00B96F22">
        <w:rPr>
          <w:rFonts w:ascii="Times New Roman" w:hAnsi="Times New Roman" w:cs="Times New Roman"/>
        </w:rPr>
        <w:t>group</w:t>
      </w:r>
      <w:r w:rsidR="00A80866" w:rsidRPr="00B96F22">
        <w:rPr>
          <w:rFonts w:ascii="Times New Roman" w:hAnsi="Times New Roman" w:cs="Times New Roman"/>
        </w:rPr>
        <w:t xml:space="preserve"> and</w:t>
      </w:r>
      <w:r w:rsidR="0026058B" w:rsidRPr="00B96F22">
        <w:rPr>
          <w:rFonts w:ascii="Times New Roman" w:hAnsi="Times New Roman" w:cs="Times New Roman"/>
        </w:rPr>
        <w:t xml:space="preserve"> language</w:t>
      </w:r>
      <w:r w:rsidR="00A80866" w:rsidRPr="00B96F22">
        <w:rPr>
          <w:rFonts w:ascii="Times New Roman" w:hAnsi="Times New Roman" w:cs="Times New Roman"/>
        </w:rPr>
        <w:t xml:space="preserve"> in Article 4 that interested the </w:t>
      </w:r>
      <w:r w:rsidR="00C209B2" w:rsidRPr="00B96F22">
        <w:rPr>
          <w:rFonts w:ascii="Times New Roman" w:hAnsi="Times New Roman" w:cs="Times New Roman"/>
        </w:rPr>
        <w:t>latter</w:t>
      </w:r>
      <w:r w:rsidR="00A80866" w:rsidRPr="00B96F22">
        <w:rPr>
          <w:rFonts w:ascii="Times New Roman" w:hAnsi="Times New Roman" w:cs="Times New Roman"/>
        </w:rPr>
        <w:t xml:space="preserve"> group</w:t>
      </w:r>
      <w:r w:rsidR="00AD1A3A">
        <w:rPr>
          <w:rFonts w:ascii="Times New Roman" w:hAnsi="Times New Roman" w:cs="Times New Roman"/>
        </w:rPr>
        <w:t>.</w:t>
      </w:r>
      <w:r w:rsidR="008E0531">
        <w:rPr>
          <w:rStyle w:val="FootnoteReference"/>
          <w:rFonts w:ascii="Times New Roman" w:hAnsi="Times New Roman" w:cs="Times New Roman"/>
        </w:rPr>
        <w:footnoteReference w:id="10"/>
      </w:r>
    </w:p>
    <w:p w14:paraId="583A56BD" w14:textId="32BBC823" w:rsidR="00B80C8A" w:rsidRPr="00AD1A3A" w:rsidRDefault="00AC037F" w:rsidP="00B80C8A">
      <w:pPr>
        <w:suppressLineNumbers/>
        <w:ind w:left="720"/>
        <w:rPr>
          <w:rFonts w:ascii="Times New Roman" w:hAnsi="Times New Roman" w:cs="Times New Roman"/>
          <w:u w:val="single"/>
        </w:rPr>
      </w:pPr>
      <w:r>
        <w:rPr>
          <w:rFonts w:ascii="Times New Roman" w:hAnsi="Times New Roman" w:cs="Times New Roman"/>
          <w:u w:val="single"/>
        </w:rPr>
        <w:t>2. P</w:t>
      </w:r>
      <w:r w:rsidR="00B80C8A" w:rsidRPr="00AD1A3A">
        <w:rPr>
          <w:rFonts w:ascii="Times New Roman" w:hAnsi="Times New Roman" w:cs="Times New Roman"/>
          <w:u w:val="single"/>
        </w:rPr>
        <w:t>ropos</w:t>
      </w:r>
      <w:r w:rsidR="00B80C8A">
        <w:rPr>
          <w:rFonts w:ascii="Times New Roman" w:hAnsi="Times New Roman" w:cs="Times New Roman"/>
          <w:u w:val="single"/>
        </w:rPr>
        <w:t xml:space="preserve">ed amendments by tenant </w:t>
      </w:r>
      <w:r w:rsidR="00B80C8A" w:rsidRPr="00AD1A3A">
        <w:rPr>
          <w:rFonts w:ascii="Times New Roman" w:hAnsi="Times New Roman" w:cs="Times New Roman"/>
          <w:u w:val="single"/>
        </w:rPr>
        <w:t>advocate</w:t>
      </w:r>
      <w:r w:rsidR="00B80C8A">
        <w:rPr>
          <w:rFonts w:ascii="Times New Roman" w:hAnsi="Times New Roman" w:cs="Times New Roman"/>
          <w:u w:val="single"/>
        </w:rPr>
        <w:t>s (in Article 1 of the original bill</w:t>
      </w:r>
      <w:r w:rsidR="00B80C8A" w:rsidRPr="00AD1A3A">
        <w:rPr>
          <w:rFonts w:ascii="Times New Roman" w:hAnsi="Times New Roman" w:cs="Times New Roman"/>
          <w:u w:val="single"/>
        </w:rPr>
        <w:t>s</w:t>
      </w:r>
      <w:r w:rsidR="00B80C8A">
        <w:rPr>
          <w:rFonts w:ascii="Times New Roman" w:hAnsi="Times New Roman" w:cs="Times New Roman"/>
          <w:u w:val="single"/>
        </w:rPr>
        <w:t>)</w:t>
      </w:r>
    </w:p>
    <w:p w14:paraId="0B57480C" w14:textId="148DF051" w:rsidR="0026058B" w:rsidRPr="00B96F22" w:rsidRDefault="008F07FF" w:rsidP="001B7D20">
      <w:pPr>
        <w:suppressLineNumbers/>
        <w:rPr>
          <w:rFonts w:ascii="Times New Roman" w:hAnsi="Times New Roman" w:cs="Times New Roman"/>
          <w:color w:val="EE0000"/>
        </w:rPr>
      </w:pPr>
      <w:r w:rsidRPr="00B96F22">
        <w:rPr>
          <w:rFonts w:ascii="Times New Roman" w:hAnsi="Times New Roman" w:cs="Times New Roman"/>
        </w:rPr>
        <w:t xml:space="preserve">Tenant advocates </w:t>
      </w:r>
      <w:r w:rsidR="00A80866" w:rsidRPr="00B96F22">
        <w:rPr>
          <w:rFonts w:ascii="Times New Roman" w:hAnsi="Times New Roman" w:cs="Times New Roman"/>
        </w:rPr>
        <w:t xml:space="preserve">just </w:t>
      </w:r>
      <w:r w:rsidRPr="00B96F22">
        <w:rPr>
          <w:rFonts w:ascii="Times New Roman" w:hAnsi="Times New Roman" w:cs="Times New Roman"/>
        </w:rPr>
        <w:t xml:space="preserve">wanted the time for return of the deposit to tenants to be shortened from three weeks to five days if the tenancy was ended by condemnation. As explained in testimony by Paul Onka, a legal-aid lobbyist, and Senator Larry Pogemiller, </w:t>
      </w:r>
      <w:r w:rsidR="00347896">
        <w:rPr>
          <w:rFonts w:ascii="Times New Roman" w:hAnsi="Times New Roman" w:cs="Times New Roman"/>
        </w:rPr>
        <w:t xml:space="preserve">plus </w:t>
      </w:r>
      <w:r w:rsidR="00AD1A3A">
        <w:rPr>
          <w:rFonts w:ascii="Times New Roman" w:hAnsi="Times New Roman" w:cs="Times New Roman"/>
        </w:rPr>
        <w:t xml:space="preserve">a bill summary by Senate counsel, </w:t>
      </w:r>
      <w:r w:rsidRPr="00B96F22">
        <w:rPr>
          <w:rFonts w:ascii="Times New Roman" w:hAnsi="Times New Roman" w:cs="Times New Roman"/>
        </w:rPr>
        <w:t>the idea was that a condemnation created a situation where the tenant needed the deposit money quickly to use at her next apartment.</w:t>
      </w:r>
      <w:r w:rsidRPr="00B96F22">
        <w:rPr>
          <w:rStyle w:val="FootnoteReference"/>
          <w:rFonts w:ascii="Times New Roman" w:hAnsi="Times New Roman" w:cs="Times New Roman"/>
        </w:rPr>
        <w:footnoteReference w:id="11"/>
      </w:r>
      <w:r w:rsidR="0026058B" w:rsidRPr="00B96F22">
        <w:rPr>
          <w:rFonts w:ascii="Times New Roman" w:hAnsi="Times New Roman" w:cs="Times New Roman"/>
        </w:rPr>
        <w:t xml:space="preserve"> They proposed amend</w:t>
      </w:r>
      <w:r w:rsidR="00FF5951" w:rsidRPr="00B96F22">
        <w:rPr>
          <w:rFonts w:ascii="Times New Roman" w:hAnsi="Times New Roman" w:cs="Times New Roman"/>
        </w:rPr>
        <w:t>ing</w:t>
      </w:r>
      <w:r w:rsidR="0026058B" w:rsidRPr="00B96F22">
        <w:rPr>
          <w:rFonts w:ascii="Times New Roman" w:hAnsi="Times New Roman" w:cs="Times New Roman"/>
        </w:rPr>
        <w:t xml:space="preserve"> subdi</w:t>
      </w:r>
      <w:r w:rsidR="0026058B" w:rsidRPr="00B96F22">
        <w:rPr>
          <w:rFonts w:ascii="Times New Roman" w:hAnsi="Times New Roman" w:cs="Times New Roman"/>
          <w:color w:val="000000" w:themeColor="text1"/>
        </w:rPr>
        <w:t xml:space="preserve">visions 3 and 4 as </w:t>
      </w:r>
      <w:r w:rsidR="0026058B" w:rsidRPr="00B96F22">
        <w:rPr>
          <w:rFonts w:ascii="Times New Roman" w:hAnsi="Times New Roman" w:cs="Times New Roman"/>
          <w:color w:val="000000" w:themeColor="text1"/>
        </w:rPr>
        <w:lastRenderedPageBreak/>
        <w:t>follows (underline shows new language and strikeout shows deleted language)</w:t>
      </w:r>
      <w:r w:rsidR="008B6C7B" w:rsidRPr="00B96F22">
        <w:rPr>
          <w:rFonts w:ascii="Times New Roman" w:hAnsi="Times New Roman" w:cs="Times New Roman"/>
          <w:color w:val="000000" w:themeColor="text1"/>
        </w:rPr>
        <w:t xml:space="preserve"> and </w:t>
      </w:r>
      <w:r w:rsidR="001054EE" w:rsidRPr="00B96F22">
        <w:rPr>
          <w:rFonts w:ascii="Times New Roman" w:hAnsi="Times New Roman" w:cs="Times New Roman"/>
          <w:color w:val="000000" w:themeColor="text1"/>
        </w:rPr>
        <w:t>the following</w:t>
      </w:r>
      <w:r w:rsidR="008B6C7B" w:rsidRPr="00B96F22">
        <w:rPr>
          <w:rFonts w:ascii="Times New Roman" w:hAnsi="Times New Roman" w:cs="Times New Roman"/>
          <w:color w:val="000000" w:themeColor="text1"/>
        </w:rPr>
        <w:t xml:space="preserve"> language was included in Article 1 of the bills as introduced</w:t>
      </w:r>
      <w:r w:rsidR="0026058B" w:rsidRPr="00B96F22">
        <w:rPr>
          <w:rFonts w:ascii="Times New Roman" w:hAnsi="Times New Roman" w:cs="Times New Roman"/>
          <w:color w:val="000000" w:themeColor="text1"/>
        </w:rPr>
        <w:t>:</w:t>
      </w:r>
    </w:p>
    <w:p w14:paraId="54AFEA62" w14:textId="159BF30B" w:rsidR="00C172DD" w:rsidRPr="00B96F22" w:rsidRDefault="00A568F7" w:rsidP="001B7D20">
      <w:pPr>
        <w:suppressLineNumbers/>
        <w:rPr>
          <w:rFonts w:cstheme="minorHAnsi"/>
          <w:color w:val="EE0000"/>
        </w:rPr>
      </w:pPr>
      <w:r w:rsidRPr="00B96F22">
        <w:rPr>
          <w:rFonts w:cstheme="minorHAnsi"/>
          <w:color w:val="EE0000"/>
        </w:rPr>
        <w:t xml:space="preserve">    </w:t>
      </w:r>
      <w:r w:rsidR="0026058B" w:rsidRPr="00B96F22">
        <w:rPr>
          <w:rFonts w:cstheme="minorHAnsi"/>
          <w:color w:val="EE0000"/>
        </w:rPr>
        <w:t xml:space="preserve">[The beginning of subdivision 3 </w:t>
      </w:r>
      <w:r w:rsidR="001054EE" w:rsidRPr="00B96F22">
        <w:rPr>
          <w:rFonts w:cstheme="minorHAnsi"/>
          <w:color w:val="EE0000"/>
        </w:rPr>
        <w:t xml:space="preserve">is amended </w:t>
      </w:r>
      <w:r w:rsidR="0026058B" w:rsidRPr="00B96F22">
        <w:rPr>
          <w:rFonts w:cstheme="minorHAnsi"/>
          <w:color w:val="EE0000"/>
        </w:rPr>
        <w:t>to read</w:t>
      </w:r>
      <w:r w:rsidR="005A5312" w:rsidRPr="00B96F22">
        <w:rPr>
          <w:rFonts w:cstheme="minorHAnsi"/>
          <w:color w:val="EE0000"/>
        </w:rPr>
        <w:t>]</w:t>
      </w:r>
    </w:p>
    <w:p w14:paraId="62494414" w14:textId="5E548D31" w:rsidR="008F07FF" w:rsidRPr="00B96F22" w:rsidRDefault="0026058B" w:rsidP="001B7D20">
      <w:pPr>
        <w:suppressLineNumbers/>
        <w:ind w:left="720"/>
        <w:rPr>
          <w:rFonts w:cstheme="minorHAnsi"/>
        </w:rPr>
      </w:pPr>
      <w:r w:rsidRPr="00B96F22">
        <w:rPr>
          <w:rFonts w:cstheme="minorHAnsi"/>
        </w:rPr>
        <w:t xml:space="preserve">Subd. 3. </w:t>
      </w:r>
      <w:r w:rsidRPr="00B96F22">
        <w:rPr>
          <w:rFonts w:cstheme="minorHAnsi"/>
          <w:u w:val="single"/>
        </w:rPr>
        <w:t>(a)</w:t>
      </w:r>
      <w:r w:rsidRPr="00B96F22">
        <w:rPr>
          <w:rFonts w:cstheme="minorHAnsi"/>
        </w:rPr>
        <w:t xml:space="preserve"> Every landlord </w:t>
      </w:r>
      <w:proofErr w:type="gramStart"/>
      <w:r w:rsidRPr="00B96F22">
        <w:rPr>
          <w:rFonts w:cstheme="minorHAnsi"/>
        </w:rPr>
        <w:t>shall</w:t>
      </w:r>
      <w:r w:rsidRPr="00B96F22">
        <w:rPr>
          <w:rFonts w:cstheme="minorHAnsi"/>
          <w:strike/>
        </w:rPr>
        <w:t>,</w:t>
      </w:r>
      <w:r w:rsidRPr="00B96F22">
        <w:rPr>
          <w:rFonts w:cstheme="minorHAnsi"/>
          <w:u w:val="single"/>
        </w:rPr>
        <w:t>:</w:t>
      </w:r>
      <w:proofErr w:type="gramEnd"/>
      <w:r w:rsidRPr="00B96F22">
        <w:rPr>
          <w:rFonts w:cstheme="minorHAnsi"/>
        </w:rPr>
        <w:t xml:space="preserve">  </w:t>
      </w:r>
      <w:r w:rsidRPr="00B96F22">
        <w:rPr>
          <w:rFonts w:cstheme="minorHAnsi"/>
          <w:u w:val="single"/>
        </w:rPr>
        <w:t>(1)</w:t>
      </w:r>
      <w:r w:rsidRPr="00B96F22">
        <w:rPr>
          <w:rFonts w:cstheme="minorHAnsi"/>
        </w:rPr>
        <w:t xml:space="preserve"> within three weeks after termination of the tenancy</w:t>
      </w:r>
      <w:r w:rsidRPr="00B96F22">
        <w:rPr>
          <w:rFonts w:cstheme="minorHAnsi"/>
          <w:u w:val="single"/>
        </w:rPr>
        <w:t>; or</w:t>
      </w:r>
      <w:r w:rsidRPr="00B96F22">
        <w:rPr>
          <w:rFonts w:cstheme="minorHAnsi"/>
        </w:rPr>
        <w:t xml:space="preserve"> </w:t>
      </w:r>
      <w:r w:rsidRPr="00B96F22">
        <w:rPr>
          <w:rFonts w:cstheme="minorHAnsi"/>
          <w:u w:val="single"/>
        </w:rPr>
        <w:t>(2) within five days of the date when the tenant leaves the</w:t>
      </w:r>
      <w:r w:rsidRPr="00B96F22">
        <w:rPr>
          <w:rFonts w:cstheme="minorHAnsi"/>
        </w:rPr>
        <w:t xml:space="preserve"> </w:t>
      </w:r>
      <w:r w:rsidRPr="00B96F22">
        <w:rPr>
          <w:rFonts w:cstheme="minorHAnsi"/>
          <w:u w:val="single"/>
        </w:rPr>
        <w:t>building or dwelling due to the legal condemnation of the</w:t>
      </w:r>
      <w:r w:rsidRPr="00B96F22">
        <w:rPr>
          <w:rFonts w:cstheme="minorHAnsi"/>
        </w:rPr>
        <w:t xml:space="preserve"> </w:t>
      </w:r>
      <w:r w:rsidRPr="00B96F22">
        <w:rPr>
          <w:rFonts w:cstheme="minorHAnsi"/>
          <w:u w:val="single"/>
        </w:rPr>
        <w:t>building or dwelling in which the tenant lives for reasons not</w:t>
      </w:r>
      <w:r w:rsidRPr="00B96F22">
        <w:rPr>
          <w:rFonts w:cstheme="minorHAnsi"/>
        </w:rPr>
        <w:t xml:space="preserve"> </w:t>
      </w:r>
      <w:r w:rsidRPr="00B96F22">
        <w:rPr>
          <w:rFonts w:cstheme="minorHAnsi"/>
          <w:u w:val="single"/>
        </w:rPr>
        <w:t>due to willful, malicious, or irresponsible conduct of the</w:t>
      </w:r>
      <w:r w:rsidRPr="00B96F22">
        <w:rPr>
          <w:rFonts w:cstheme="minorHAnsi"/>
        </w:rPr>
        <w:t xml:space="preserve"> </w:t>
      </w:r>
      <w:r w:rsidRPr="00B96F22">
        <w:rPr>
          <w:rFonts w:cstheme="minorHAnsi"/>
          <w:u w:val="single"/>
        </w:rPr>
        <w:t>tenant</w:t>
      </w:r>
      <w:r w:rsidRPr="00B96F22">
        <w:rPr>
          <w:rFonts w:cstheme="minorHAnsi"/>
        </w:rPr>
        <w:t xml:space="preserve"> …</w:t>
      </w:r>
      <w:r w:rsidR="00BC7AF9">
        <w:rPr>
          <w:rStyle w:val="FootnoteReference"/>
          <w:rFonts w:cstheme="minorHAnsi"/>
        </w:rPr>
        <w:footnoteReference w:id="12"/>
      </w:r>
    </w:p>
    <w:p w14:paraId="0509E8D6" w14:textId="32CF5129" w:rsidR="00A568F7" w:rsidRPr="00B96F22" w:rsidRDefault="00BE0FAE" w:rsidP="001B7D20">
      <w:pPr>
        <w:suppressLineNumbers/>
        <w:rPr>
          <w:rFonts w:cstheme="minorHAnsi"/>
          <w:color w:val="EE0000"/>
        </w:rPr>
      </w:pPr>
      <w:r w:rsidRPr="00B96F22">
        <w:rPr>
          <w:rFonts w:cstheme="minorHAnsi"/>
          <w:color w:val="00B050"/>
          <w:lang w:val="en-CA"/>
        </w:rPr>
        <w:fldChar w:fldCharType="begin"/>
      </w:r>
      <w:r w:rsidRPr="00B96F22">
        <w:rPr>
          <w:rFonts w:cstheme="minorHAnsi"/>
          <w:color w:val="00B050"/>
          <w:lang w:val="en-CA"/>
        </w:rPr>
        <w:instrText xml:space="preserve"> SEQ CHAPTER \h \r 1</w:instrText>
      </w:r>
      <w:r w:rsidRPr="00B96F22">
        <w:rPr>
          <w:rFonts w:cstheme="minorHAnsi"/>
          <w:color w:val="00B050"/>
        </w:rPr>
        <w:fldChar w:fldCharType="end"/>
      </w:r>
      <w:r w:rsidR="009B181C" w:rsidRPr="00B96F22">
        <w:rPr>
          <w:rFonts w:ascii="Segoe UI Symbol" w:hAnsi="Segoe UI Symbol" w:cs="Segoe UI Symbol"/>
          <w:color w:val="00B050"/>
        </w:rPr>
        <w:t xml:space="preserve">   </w:t>
      </w:r>
      <w:r w:rsidR="00A568F7" w:rsidRPr="00B96F22">
        <w:rPr>
          <w:rFonts w:cstheme="minorHAnsi"/>
          <w:color w:val="EE0000"/>
        </w:rPr>
        <w:t xml:space="preserve">[Subdivision </w:t>
      </w:r>
      <w:r w:rsidR="00453990" w:rsidRPr="00B96F22">
        <w:rPr>
          <w:rFonts w:cstheme="minorHAnsi"/>
          <w:color w:val="EE0000"/>
        </w:rPr>
        <w:t>4</w:t>
      </w:r>
      <w:r w:rsidR="00A568F7" w:rsidRPr="00B96F22">
        <w:rPr>
          <w:rFonts w:cstheme="minorHAnsi"/>
          <w:color w:val="EE0000"/>
        </w:rPr>
        <w:t xml:space="preserve"> </w:t>
      </w:r>
      <w:r w:rsidR="001054EE" w:rsidRPr="00B96F22">
        <w:rPr>
          <w:rFonts w:cstheme="minorHAnsi"/>
          <w:color w:val="EE0000"/>
        </w:rPr>
        <w:t xml:space="preserve">is amended </w:t>
      </w:r>
      <w:r w:rsidR="00A568F7" w:rsidRPr="00B96F22">
        <w:rPr>
          <w:rFonts w:cstheme="minorHAnsi"/>
          <w:color w:val="EE0000"/>
        </w:rPr>
        <w:t>to read]</w:t>
      </w:r>
      <w:r w:rsidR="005C0A4B" w:rsidRPr="00B96F22">
        <w:rPr>
          <w:rFonts w:cstheme="minorHAnsi"/>
          <w:color w:val="EE0000"/>
        </w:rPr>
        <w:t xml:space="preserve"> </w:t>
      </w:r>
      <w:r w:rsidR="009B181C" w:rsidRPr="00B96F22">
        <w:rPr>
          <w:rFonts w:ascii="Segoe UI Symbol" w:hAnsi="Segoe UI Symbol" w:cs="Segoe UI Symbol"/>
          <w:color w:val="00B050"/>
        </w:rPr>
        <w:t>★</w:t>
      </w:r>
    </w:p>
    <w:p w14:paraId="7E91522C" w14:textId="234BB482" w:rsidR="00A568F7" w:rsidRDefault="00A568F7" w:rsidP="001B7D20">
      <w:pPr>
        <w:suppressLineNumbers/>
        <w:ind w:left="720"/>
        <w:rPr>
          <w:rFonts w:cstheme="minorHAnsi"/>
        </w:rPr>
      </w:pPr>
      <w:r w:rsidRPr="00B96F22">
        <w:rPr>
          <w:rFonts w:cstheme="minorHAnsi"/>
          <w:lang w:val="en-CA"/>
        </w:rPr>
        <w:fldChar w:fldCharType="begin"/>
      </w:r>
      <w:r w:rsidRPr="00B96F22">
        <w:rPr>
          <w:rFonts w:cstheme="minorHAnsi"/>
          <w:lang w:val="en-CA"/>
        </w:rPr>
        <w:instrText xml:space="preserve"> SEQ CHAPTER \h \r 1</w:instrText>
      </w:r>
      <w:r w:rsidRPr="00B96F22">
        <w:rPr>
          <w:rFonts w:cstheme="minorHAnsi"/>
        </w:rPr>
        <w:fldChar w:fldCharType="end"/>
      </w:r>
      <w:r w:rsidRPr="00B96F22">
        <w:rPr>
          <w:rFonts w:cstheme="minorHAnsi"/>
        </w:rPr>
        <w:t xml:space="preserve">Subd. 4. Any landlord who fails to provide a written statement within three weeks of termination of the tenancy </w:t>
      </w:r>
      <w:r w:rsidRPr="00B96F22">
        <w:rPr>
          <w:rFonts w:cstheme="minorHAnsi"/>
          <w:u w:val="single"/>
        </w:rPr>
        <w:t>or within five days of the date when the tenant leaves the building or dwelling due to the legal condemnation of the building or dwelling in which the tenant lives for reasons not due to willful, malicious, or irresponsible conduct of the tenant,</w:t>
      </w:r>
      <w:r w:rsidRPr="00B96F22">
        <w:rPr>
          <w:rFonts w:cstheme="minorHAnsi"/>
        </w:rPr>
        <w:t xml:space="preserve"> and </w:t>
      </w:r>
      <w:r w:rsidR="00BC7AF9">
        <w:rPr>
          <w:rFonts w:cstheme="minorHAnsi"/>
        </w:rPr>
        <w:t>[</w:t>
      </w:r>
      <w:r w:rsidR="00BC7AF9" w:rsidRPr="009E3D74">
        <w:rPr>
          <w:rFonts w:cstheme="minorHAnsi"/>
          <w:u w:val="single"/>
        </w:rPr>
        <w:t>after</w:t>
      </w:r>
      <w:r w:rsidR="00BC7AF9">
        <w:rPr>
          <w:rFonts w:cstheme="minorHAnsi"/>
        </w:rPr>
        <w:t>]</w:t>
      </w:r>
      <w:r w:rsidR="00BC7AF9">
        <w:rPr>
          <w:rStyle w:val="FootnoteReference"/>
          <w:rFonts w:cstheme="minorHAnsi"/>
        </w:rPr>
        <w:footnoteReference w:id="13"/>
      </w:r>
      <w:r w:rsidR="00BC7AF9">
        <w:rPr>
          <w:rFonts w:cstheme="minorHAnsi"/>
        </w:rPr>
        <w:t xml:space="preserve"> </w:t>
      </w:r>
      <w:r w:rsidRPr="00B96F22">
        <w:rPr>
          <w:rFonts w:cstheme="minorHAnsi"/>
        </w:rPr>
        <w:t>receipt of the tenant's mailing address or delivery instructions, as required in subdivision 3, shall be liable to the tenant for damages in an amount equal to the portion of the deposit withheld by the landlord and interest thereon as provided in subdivision 2, as a penalty, in addition to the portion of the deposit wrongfully withheld by the landlord and interest thereon.</w:t>
      </w:r>
      <w:r w:rsidR="00BC7AF9">
        <w:rPr>
          <w:rStyle w:val="FootnoteReference"/>
          <w:rFonts w:cstheme="minorHAnsi"/>
        </w:rPr>
        <w:footnoteReference w:id="14"/>
      </w:r>
    </w:p>
    <w:p w14:paraId="597E6DC5" w14:textId="030A157C" w:rsidR="00B04CC2" w:rsidRPr="00AD1A3A" w:rsidRDefault="00F30B2C" w:rsidP="00B04CC2">
      <w:pPr>
        <w:suppressLineNumbers/>
        <w:ind w:left="720"/>
        <w:rPr>
          <w:rFonts w:ascii="Times New Roman" w:hAnsi="Times New Roman" w:cs="Times New Roman"/>
          <w:u w:val="single"/>
        </w:rPr>
      </w:pPr>
      <w:r>
        <w:rPr>
          <w:rFonts w:ascii="Times New Roman" w:hAnsi="Times New Roman" w:cs="Times New Roman"/>
          <w:u w:val="single"/>
        </w:rPr>
        <w:t xml:space="preserve">3. </w:t>
      </w:r>
      <w:r w:rsidR="00B04CC2">
        <w:rPr>
          <w:rFonts w:ascii="Times New Roman" w:hAnsi="Times New Roman" w:cs="Times New Roman"/>
          <w:u w:val="single"/>
        </w:rPr>
        <w:t>P</w:t>
      </w:r>
      <w:r w:rsidR="00B04CC2" w:rsidRPr="00AD1A3A">
        <w:rPr>
          <w:rFonts w:ascii="Times New Roman" w:hAnsi="Times New Roman" w:cs="Times New Roman"/>
          <w:u w:val="single"/>
        </w:rPr>
        <w:t>ropos</w:t>
      </w:r>
      <w:r w:rsidR="00B80C8A">
        <w:rPr>
          <w:rFonts w:ascii="Times New Roman" w:hAnsi="Times New Roman" w:cs="Times New Roman"/>
          <w:u w:val="single"/>
        </w:rPr>
        <w:t>ed amendments</w:t>
      </w:r>
      <w:r w:rsidR="00B04CC2">
        <w:rPr>
          <w:rFonts w:ascii="Times New Roman" w:hAnsi="Times New Roman" w:cs="Times New Roman"/>
          <w:u w:val="single"/>
        </w:rPr>
        <w:t xml:space="preserve"> by successor</w:t>
      </w:r>
      <w:r w:rsidR="00B04CC2" w:rsidRPr="00AD1A3A">
        <w:rPr>
          <w:rFonts w:ascii="Times New Roman" w:hAnsi="Times New Roman" w:cs="Times New Roman"/>
          <w:u w:val="single"/>
        </w:rPr>
        <w:t xml:space="preserve"> advocate</w:t>
      </w:r>
      <w:r w:rsidR="00B80C8A">
        <w:rPr>
          <w:rFonts w:ascii="Times New Roman" w:hAnsi="Times New Roman" w:cs="Times New Roman"/>
          <w:u w:val="single"/>
        </w:rPr>
        <w:t>s (</w:t>
      </w:r>
      <w:r w:rsidR="00B04CC2">
        <w:rPr>
          <w:rFonts w:ascii="Times New Roman" w:hAnsi="Times New Roman" w:cs="Times New Roman"/>
          <w:u w:val="single"/>
        </w:rPr>
        <w:t>in Article 4 of the original bill</w:t>
      </w:r>
      <w:r w:rsidR="00B04CC2" w:rsidRPr="00AD1A3A">
        <w:rPr>
          <w:rFonts w:ascii="Times New Roman" w:hAnsi="Times New Roman" w:cs="Times New Roman"/>
          <w:u w:val="single"/>
        </w:rPr>
        <w:t>s</w:t>
      </w:r>
      <w:r w:rsidR="00B80C8A">
        <w:rPr>
          <w:rFonts w:ascii="Times New Roman" w:hAnsi="Times New Roman" w:cs="Times New Roman"/>
          <w:u w:val="single"/>
        </w:rPr>
        <w:t>)</w:t>
      </w:r>
    </w:p>
    <w:p w14:paraId="4DA84A72" w14:textId="21E693E9" w:rsidR="00956123" w:rsidRPr="00B96F22" w:rsidRDefault="00A80866" w:rsidP="001B7D20">
      <w:pPr>
        <w:suppressLineNumbers/>
        <w:rPr>
          <w:rFonts w:ascii="Times New Roman" w:hAnsi="Times New Roman" w:cs="Times New Roman"/>
        </w:rPr>
      </w:pPr>
      <w:r w:rsidRPr="00B96F22">
        <w:rPr>
          <w:rFonts w:ascii="Times New Roman" w:hAnsi="Times New Roman" w:cs="Times New Roman"/>
        </w:rPr>
        <w:t>Advocates for successors in interest wanted protection from predecessors who held unto deposits indefinitely</w:t>
      </w:r>
      <w:r w:rsidR="00DE60E3" w:rsidRPr="00B96F22">
        <w:rPr>
          <w:rFonts w:ascii="Times New Roman" w:hAnsi="Times New Roman" w:cs="Times New Roman"/>
        </w:rPr>
        <w:t xml:space="preserve"> after ownership transferred to </w:t>
      </w:r>
      <w:r w:rsidR="001054EE" w:rsidRPr="00B96F22">
        <w:rPr>
          <w:rFonts w:ascii="Times New Roman" w:hAnsi="Times New Roman" w:cs="Times New Roman"/>
        </w:rPr>
        <w:t>a</w:t>
      </w:r>
      <w:r w:rsidR="00DE60E3" w:rsidRPr="00B96F22">
        <w:rPr>
          <w:rFonts w:ascii="Times New Roman" w:hAnsi="Times New Roman" w:cs="Times New Roman"/>
        </w:rPr>
        <w:t xml:space="preserve"> successor</w:t>
      </w:r>
      <w:r w:rsidRPr="00B96F22">
        <w:rPr>
          <w:rFonts w:ascii="Times New Roman" w:hAnsi="Times New Roman" w:cs="Times New Roman"/>
        </w:rPr>
        <w:t>.</w:t>
      </w:r>
      <w:r w:rsidR="00BE00D3">
        <w:rPr>
          <w:rFonts w:ascii="Times New Roman" w:hAnsi="Times New Roman" w:cs="Times New Roman"/>
        </w:rPr>
        <w:t xml:space="preserve"> This was especially a problem with involuntary transfers of ownership following a </w:t>
      </w:r>
      <w:r w:rsidR="00BE00D3" w:rsidRPr="00B96F22">
        <w:rPr>
          <w:rFonts w:ascii="Times New Roman" w:hAnsi="Times New Roman" w:cs="Times New Roman"/>
        </w:rPr>
        <w:t>mortgage</w:t>
      </w:r>
      <w:r w:rsidR="00BE00D3">
        <w:rPr>
          <w:rFonts w:ascii="Times New Roman" w:hAnsi="Times New Roman" w:cs="Times New Roman"/>
        </w:rPr>
        <w:t xml:space="preserve"> foreclosure,</w:t>
      </w:r>
      <w:r w:rsidR="00ED2D9C">
        <w:rPr>
          <w:rFonts w:ascii="Times New Roman" w:hAnsi="Times New Roman" w:cs="Times New Roman"/>
        </w:rPr>
        <w:t xml:space="preserve"> a</w:t>
      </w:r>
      <w:r w:rsidR="00BE00D3">
        <w:rPr>
          <w:rFonts w:ascii="Times New Roman" w:hAnsi="Times New Roman" w:cs="Times New Roman"/>
        </w:rPr>
        <w:t xml:space="preserve"> </w:t>
      </w:r>
      <w:r w:rsidR="00BE00D3" w:rsidRPr="00B96F22">
        <w:rPr>
          <w:rFonts w:ascii="Times New Roman" w:hAnsi="Times New Roman" w:cs="Times New Roman"/>
        </w:rPr>
        <w:t xml:space="preserve">contract-for-deed </w:t>
      </w:r>
      <w:r w:rsidR="00BE00D3">
        <w:rPr>
          <w:rFonts w:ascii="Times New Roman" w:hAnsi="Times New Roman" w:cs="Times New Roman"/>
        </w:rPr>
        <w:t xml:space="preserve">cancellation or </w:t>
      </w:r>
      <w:r w:rsidR="00A56DBA">
        <w:rPr>
          <w:rFonts w:ascii="Times New Roman" w:hAnsi="Times New Roman" w:cs="Times New Roman"/>
        </w:rPr>
        <w:t xml:space="preserve">a </w:t>
      </w:r>
      <w:r w:rsidR="00BE00D3">
        <w:rPr>
          <w:rFonts w:ascii="Times New Roman" w:hAnsi="Times New Roman" w:cs="Times New Roman"/>
        </w:rPr>
        <w:t xml:space="preserve">similar transfer. </w:t>
      </w:r>
      <w:r w:rsidRPr="00B96F22">
        <w:rPr>
          <w:rFonts w:ascii="Times New Roman" w:hAnsi="Times New Roman" w:cs="Times New Roman"/>
        </w:rPr>
        <w:t xml:space="preserve"> </w:t>
      </w:r>
      <w:r w:rsidR="00AB31EE" w:rsidRPr="00B96F22">
        <w:rPr>
          <w:rFonts w:ascii="Times New Roman" w:hAnsi="Times New Roman" w:cs="Times New Roman"/>
        </w:rPr>
        <w:t>John Herman, a lobbyist from the bar association, explained their ideas.</w:t>
      </w:r>
      <w:r w:rsidR="00DE60E3" w:rsidRPr="00B96F22">
        <w:rPr>
          <w:rStyle w:val="FootnoteReference"/>
          <w:rFonts w:ascii="Times New Roman" w:hAnsi="Times New Roman" w:cs="Times New Roman"/>
        </w:rPr>
        <w:footnoteReference w:id="15"/>
      </w:r>
      <w:r w:rsidR="002E7C4C">
        <w:rPr>
          <w:rFonts w:ascii="Times New Roman" w:hAnsi="Times New Roman" w:cs="Times New Roman"/>
        </w:rPr>
        <w:t xml:space="preserve"> The successors wanted three related amendments – one setting a time certain for </w:t>
      </w:r>
      <w:r w:rsidR="002E7C4C">
        <w:rPr>
          <w:rFonts w:ascii="Times New Roman" w:hAnsi="Times New Roman" w:cs="Times New Roman"/>
        </w:rPr>
        <w:lastRenderedPageBreak/>
        <w:t xml:space="preserve">predecessors to turn over deposits and two affording successors the right to sue for </w:t>
      </w:r>
      <w:r w:rsidR="00A56DBA">
        <w:rPr>
          <w:rFonts w:ascii="Times New Roman" w:hAnsi="Times New Roman" w:cs="Times New Roman"/>
        </w:rPr>
        <w:t>different</w:t>
      </w:r>
      <w:r w:rsidR="002E7C4C">
        <w:rPr>
          <w:rFonts w:ascii="Times New Roman" w:hAnsi="Times New Roman" w:cs="Times New Roman"/>
        </w:rPr>
        <w:t xml:space="preserve"> kinds of penalties if the predecessor missed the </w:t>
      </w:r>
      <w:r w:rsidR="00737309">
        <w:rPr>
          <w:rFonts w:ascii="Times New Roman" w:hAnsi="Times New Roman" w:cs="Times New Roman"/>
        </w:rPr>
        <w:t>deadline.</w:t>
      </w:r>
    </w:p>
    <w:p w14:paraId="433DF2CB" w14:textId="3E508046" w:rsidR="001054EE" w:rsidRPr="00B96F22" w:rsidRDefault="00737309" w:rsidP="001B7D20">
      <w:pPr>
        <w:suppressLineNumbers/>
        <w:rPr>
          <w:rFonts w:ascii="Times New Roman" w:hAnsi="Times New Roman" w:cs="Times New Roman"/>
          <w:color w:val="EE0000"/>
        </w:rPr>
      </w:pPr>
      <w:r>
        <w:rPr>
          <w:rFonts w:ascii="Times New Roman" w:hAnsi="Times New Roman" w:cs="Times New Roman"/>
        </w:rPr>
        <w:t>Regarding the first goal</w:t>
      </w:r>
      <w:r w:rsidR="00AB31EE" w:rsidRPr="00B96F22">
        <w:rPr>
          <w:rFonts w:ascii="Times New Roman" w:hAnsi="Times New Roman" w:cs="Times New Roman"/>
        </w:rPr>
        <w:t>, predecessors were holding deposits for many months</w:t>
      </w:r>
      <w:r w:rsidR="00FF5951" w:rsidRPr="00B96F22">
        <w:rPr>
          <w:rFonts w:ascii="Times New Roman" w:hAnsi="Times New Roman" w:cs="Times New Roman"/>
        </w:rPr>
        <w:t>. So</w:t>
      </w:r>
      <w:r w:rsidR="00AB31EE" w:rsidRPr="00B96F22">
        <w:rPr>
          <w:rFonts w:ascii="Times New Roman" w:hAnsi="Times New Roman" w:cs="Times New Roman"/>
        </w:rPr>
        <w:t>me judges were allowing this, deeming many months to be “a reasonable time”. The successors wanted a time certain and 60 days seemed fair.</w:t>
      </w:r>
      <w:r w:rsidR="00470812">
        <w:rPr>
          <w:rStyle w:val="FootnoteReference"/>
          <w:rFonts w:ascii="Times New Roman" w:hAnsi="Times New Roman" w:cs="Times New Roman"/>
        </w:rPr>
        <w:footnoteReference w:id="16"/>
      </w:r>
      <w:r w:rsidR="00AB31EE" w:rsidRPr="00B96F22">
        <w:rPr>
          <w:rFonts w:ascii="Times New Roman" w:hAnsi="Times New Roman" w:cs="Times New Roman"/>
        </w:rPr>
        <w:t xml:space="preserve"> </w:t>
      </w:r>
      <w:r w:rsidR="008B6C7B" w:rsidRPr="00B96F22">
        <w:rPr>
          <w:rFonts w:ascii="Times New Roman" w:hAnsi="Times New Roman" w:cs="Times New Roman"/>
        </w:rPr>
        <w:t>They proposed amend</w:t>
      </w:r>
      <w:r w:rsidR="00FF5951" w:rsidRPr="00B96F22">
        <w:rPr>
          <w:rFonts w:ascii="Times New Roman" w:hAnsi="Times New Roman" w:cs="Times New Roman"/>
        </w:rPr>
        <w:t>ing</w:t>
      </w:r>
      <w:r w:rsidR="008B6C7B" w:rsidRPr="00B96F22">
        <w:rPr>
          <w:rFonts w:ascii="Times New Roman" w:hAnsi="Times New Roman" w:cs="Times New Roman"/>
        </w:rPr>
        <w:t xml:space="preserve"> subdi</w:t>
      </w:r>
      <w:r w:rsidR="008B6C7B" w:rsidRPr="00B96F22">
        <w:rPr>
          <w:rFonts w:ascii="Times New Roman" w:hAnsi="Times New Roman" w:cs="Times New Roman"/>
          <w:color w:val="000000" w:themeColor="text1"/>
        </w:rPr>
        <w:t xml:space="preserve">vision 5 </w:t>
      </w:r>
      <w:r w:rsidR="001054EE" w:rsidRPr="00B96F22">
        <w:rPr>
          <w:rFonts w:ascii="Times New Roman" w:hAnsi="Times New Roman" w:cs="Times New Roman"/>
          <w:color w:val="000000" w:themeColor="text1"/>
        </w:rPr>
        <w:t>and the following language was included in Article 4 of the bills as introduced:</w:t>
      </w:r>
    </w:p>
    <w:p w14:paraId="629ACD2A" w14:textId="27DFCBEA" w:rsidR="008B6C7B" w:rsidRPr="00B96F22" w:rsidRDefault="008B6C7B" w:rsidP="001B7D20">
      <w:pPr>
        <w:suppressLineNumbers/>
        <w:rPr>
          <w:rFonts w:cstheme="minorHAnsi"/>
          <w:color w:val="EE0000"/>
        </w:rPr>
      </w:pPr>
      <w:r w:rsidRPr="00B96F22">
        <w:rPr>
          <w:rFonts w:cstheme="minorHAnsi"/>
          <w:color w:val="EE0000"/>
        </w:rPr>
        <w:t xml:space="preserve">    [The beginning of subdivision 5 </w:t>
      </w:r>
      <w:r w:rsidR="001054EE" w:rsidRPr="00B96F22">
        <w:rPr>
          <w:rFonts w:cstheme="minorHAnsi"/>
          <w:color w:val="EE0000"/>
        </w:rPr>
        <w:t xml:space="preserve">is amended </w:t>
      </w:r>
      <w:r w:rsidRPr="00B96F22">
        <w:rPr>
          <w:rFonts w:cstheme="minorHAnsi"/>
          <w:color w:val="EE0000"/>
        </w:rPr>
        <w:t>to read]</w:t>
      </w:r>
    </w:p>
    <w:p w14:paraId="11839584" w14:textId="50CC4CC5" w:rsidR="008B6C7B" w:rsidRPr="00B96F22" w:rsidRDefault="008B6C7B" w:rsidP="001B7D20">
      <w:pPr>
        <w:suppressLineNumbers/>
        <w:ind w:left="720"/>
      </w:pPr>
      <w:r w:rsidRPr="00B96F22">
        <w:t xml:space="preserve">Subd. 5.  Upon termination of the landlord's interest in the premises, whether by sale, assignment, death, appointment of receiver or otherwise, the landlord or the landlord's agent shall, within </w:t>
      </w:r>
      <w:r w:rsidRPr="00B96F22">
        <w:rPr>
          <w:strike/>
        </w:rPr>
        <w:t>a reasonable time</w:t>
      </w:r>
      <w:r w:rsidRPr="00B96F22">
        <w:t xml:space="preserve"> </w:t>
      </w:r>
      <w:r w:rsidRPr="00B96F22">
        <w:rPr>
          <w:u w:val="single"/>
        </w:rPr>
        <w:t>60 days of termination of the</w:t>
      </w:r>
      <w:r w:rsidRPr="00B96F22">
        <w:t xml:space="preserve"> </w:t>
      </w:r>
      <w:r w:rsidRPr="00B96F22">
        <w:rPr>
          <w:u w:val="single"/>
        </w:rPr>
        <w:t>interest or when the successor in interest is required to return</w:t>
      </w:r>
      <w:r w:rsidRPr="00B96F22">
        <w:t xml:space="preserve"> </w:t>
      </w:r>
      <w:r w:rsidRPr="00B96F22">
        <w:rPr>
          <w:u w:val="single"/>
        </w:rPr>
        <w:t>or otherwise account for the deposit to the tenant, whichever</w:t>
      </w:r>
      <w:r w:rsidRPr="00B96F22">
        <w:t xml:space="preserve"> </w:t>
      </w:r>
      <w:r w:rsidRPr="00B96F22">
        <w:rPr>
          <w:u w:val="single"/>
        </w:rPr>
        <w:t>occurs first</w:t>
      </w:r>
      <w:r w:rsidRPr="00B96F22">
        <w:t>, do one of the following acts, either of which shall relieve the landlord or agent of further liability with respect to such deposit:</w:t>
      </w:r>
      <w:r w:rsidR="0067146D" w:rsidRPr="0067146D">
        <w:rPr>
          <w:rStyle w:val="FootnoteReference"/>
          <w:rFonts w:cstheme="minorHAnsi"/>
        </w:rPr>
        <w:t xml:space="preserve"> </w:t>
      </w:r>
      <w:r w:rsidR="0067146D">
        <w:rPr>
          <w:rStyle w:val="FootnoteReference"/>
          <w:rFonts w:cstheme="minorHAnsi"/>
        </w:rPr>
        <w:footnoteReference w:id="17"/>
      </w:r>
    </w:p>
    <w:p w14:paraId="22F23D2E" w14:textId="22646945" w:rsidR="006D7937" w:rsidRDefault="00AB31EE" w:rsidP="001B7D20">
      <w:pPr>
        <w:suppressLineNumbers/>
        <w:rPr>
          <w:rFonts w:ascii="Times New Roman" w:hAnsi="Times New Roman" w:cs="Times New Roman"/>
        </w:rPr>
      </w:pPr>
      <w:r w:rsidRPr="00B96F22">
        <w:rPr>
          <w:rFonts w:ascii="Times New Roman" w:hAnsi="Times New Roman" w:cs="Times New Roman"/>
        </w:rPr>
        <w:t xml:space="preserve">Second, successors </w:t>
      </w:r>
      <w:r w:rsidR="00FF5951" w:rsidRPr="00B96F22">
        <w:rPr>
          <w:rFonts w:ascii="Times New Roman" w:hAnsi="Times New Roman" w:cs="Times New Roman"/>
        </w:rPr>
        <w:t>wanted</w:t>
      </w:r>
      <w:r w:rsidRPr="00B96F22">
        <w:rPr>
          <w:rFonts w:ascii="Times New Roman" w:hAnsi="Times New Roman" w:cs="Times New Roman"/>
        </w:rPr>
        <w:t xml:space="preserve"> hammers to get predecessors to obey the law. </w:t>
      </w:r>
      <w:r w:rsidR="00627805">
        <w:rPr>
          <w:rFonts w:ascii="Times New Roman" w:hAnsi="Times New Roman" w:cs="Times New Roman"/>
        </w:rPr>
        <w:t xml:space="preserve">Sections 1 and 3 of the </w:t>
      </w:r>
      <w:proofErr w:type="gramStart"/>
      <w:r w:rsidR="00627805">
        <w:rPr>
          <w:rFonts w:ascii="Times New Roman" w:hAnsi="Times New Roman" w:cs="Times New Roman"/>
        </w:rPr>
        <w:t>bill</w:t>
      </w:r>
      <w:proofErr w:type="gramEnd"/>
      <w:r w:rsidR="00627805">
        <w:rPr>
          <w:rFonts w:ascii="Times New Roman" w:hAnsi="Times New Roman" w:cs="Times New Roman"/>
        </w:rPr>
        <w:t>, amending subdivisions 4 and 7</w:t>
      </w:r>
      <w:r w:rsidR="009C1730">
        <w:rPr>
          <w:rFonts w:ascii="Times New Roman" w:hAnsi="Times New Roman" w:cs="Times New Roman"/>
        </w:rPr>
        <w:t xml:space="preserve">, </w:t>
      </w:r>
      <w:r w:rsidR="00627805">
        <w:rPr>
          <w:rFonts w:ascii="Times New Roman" w:hAnsi="Times New Roman" w:cs="Times New Roman"/>
        </w:rPr>
        <w:t>were meant to provide two</w:t>
      </w:r>
      <w:r w:rsidR="009C1730">
        <w:rPr>
          <w:rFonts w:ascii="Times New Roman" w:hAnsi="Times New Roman" w:cs="Times New Roman"/>
        </w:rPr>
        <w:t xml:space="preserve"> similar</w:t>
      </w:r>
      <w:r w:rsidR="00BC7AF9">
        <w:rPr>
          <w:rFonts w:ascii="Times New Roman" w:hAnsi="Times New Roman" w:cs="Times New Roman"/>
        </w:rPr>
        <w:t xml:space="preserve"> but separate</w:t>
      </w:r>
      <w:r w:rsidR="00627805">
        <w:rPr>
          <w:rFonts w:ascii="Times New Roman" w:hAnsi="Times New Roman" w:cs="Times New Roman"/>
        </w:rPr>
        <w:t xml:space="preserve"> hammers. </w:t>
      </w:r>
      <w:r w:rsidR="006D7937">
        <w:rPr>
          <w:rFonts w:ascii="Times New Roman" w:hAnsi="Times New Roman" w:cs="Times New Roman"/>
        </w:rPr>
        <w:t>Herman testified as follows:</w:t>
      </w:r>
    </w:p>
    <w:p w14:paraId="535FE4B2" w14:textId="5A91CC4F" w:rsidR="006D7937" w:rsidRDefault="006D7937" w:rsidP="006D7937">
      <w:pPr>
        <w:suppressLineNumbers/>
        <w:ind w:left="720"/>
        <w:rPr>
          <w:rFonts w:ascii="Times New Roman" w:hAnsi="Times New Roman" w:cs="Times New Roman"/>
        </w:rPr>
      </w:pPr>
      <w:r w:rsidRPr="008B7695">
        <w:rPr>
          <w:rFonts w:ascii="Times New Roman" w:hAnsi="Times New Roman" w:cs="Times New Roman"/>
          <w:color w:val="000000"/>
        </w:rPr>
        <w:t xml:space="preserve">The first section deals with the problem of when a landlord has lost the property back to a lender or to a contract for deed vendor but fails to give back to the new owner all of the security deposits of the tenants. </w:t>
      </w:r>
      <w:r w:rsidRPr="006D7937">
        <w:rPr>
          <w:rFonts w:ascii="Times New Roman" w:hAnsi="Times New Roman" w:cs="Times New Roman"/>
          <w:color w:val="000000"/>
          <w:u w:val="single"/>
        </w:rPr>
        <w:t>The way this section works now only the individual tenant can sue, and frequently individual tenants don't have enough money at risk to warrant going after the landlord</w:t>
      </w:r>
      <w:r w:rsidRPr="008B7695">
        <w:rPr>
          <w:rFonts w:ascii="Times New Roman" w:hAnsi="Times New Roman" w:cs="Times New Roman"/>
          <w:color w:val="000000"/>
        </w:rPr>
        <w:t xml:space="preserve"> who's holding on to maybe as many as 20 or 30 or 40 security deposits, but and is not paying them to the new owner. What </w:t>
      </w:r>
      <w:r w:rsidRPr="006D7937">
        <w:rPr>
          <w:rFonts w:ascii="Times New Roman" w:hAnsi="Times New Roman" w:cs="Times New Roman"/>
          <w:color w:val="000000"/>
          <w:u w:val="single"/>
        </w:rPr>
        <w:t xml:space="preserve">this section </w:t>
      </w:r>
      <w:r w:rsidR="00627805">
        <w:rPr>
          <w:rFonts w:ascii="Times New Roman" w:hAnsi="Times New Roman" w:cs="Times New Roman"/>
          <w:color w:val="000000"/>
          <w:u w:val="single"/>
        </w:rPr>
        <w:t xml:space="preserve"> </w:t>
      </w:r>
      <w:r w:rsidR="00627805">
        <w:rPr>
          <w:rFonts w:ascii="Times New Roman" w:hAnsi="Times New Roman" w:cs="Times New Roman"/>
          <w:color w:val="000000"/>
        </w:rPr>
        <w:t>[amending subdivision 4]</w:t>
      </w:r>
      <w:r w:rsidR="00627805" w:rsidRPr="008B7695">
        <w:rPr>
          <w:rFonts w:ascii="Times New Roman" w:hAnsi="Times New Roman" w:cs="Times New Roman"/>
          <w:color w:val="000000"/>
        </w:rPr>
        <w:t xml:space="preserve"> </w:t>
      </w:r>
      <w:r w:rsidRPr="00627805">
        <w:rPr>
          <w:rFonts w:ascii="Times New Roman" w:hAnsi="Times New Roman" w:cs="Times New Roman"/>
          <w:color w:val="000000"/>
          <w:u w:val="single"/>
        </w:rPr>
        <w:t>would do is it would allow a new owner</w:t>
      </w:r>
      <w:r w:rsidRPr="008B7695">
        <w:rPr>
          <w:rFonts w:ascii="Times New Roman" w:hAnsi="Times New Roman" w:cs="Times New Roman"/>
          <w:color w:val="000000"/>
        </w:rPr>
        <w:t xml:space="preserve"> who purchases a property, receives it back in foreclosure or gets it back in a contract cancellation </w:t>
      </w:r>
      <w:r w:rsidRPr="006D7937">
        <w:rPr>
          <w:rFonts w:ascii="Times New Roman" w:hAnsi="Times New Roman" w:cs="Times New Roman"/>
          <w:color w:val="000000"/>
          <w:u w:val="single"/>
        </w:rPr>
        <w:t>to sue for all the security deposits in one bundle</w:t>
      </w:r>
      <w:r w:rsidRPr="008B7695">
        <w:rPr>
          <w:rFonts w:ascii="Times New Roman" w:hAnsi="Times New Roman" w:cs="Times New Roman"/>
          <w:color w:val="000000"/>
        </w:rPr>
        <w:t xml:space="preserve">, </w:t>
      </w:r>
      <w:r w:rsidRPr="008B7695">
        <w:rPr>
          <w:rFonts w:ascii="Times New Roman" w:hAnsi="Times New Roman" w:cs="Times New Roman"/>
        </w:rPr>
        <w:t>w</w:t>
      </w:r>
      <w:r w:rsidRPr="008B7695">
        <w:rPr>
          <w:rFonts w:ascii="Times New Roman" w:hAnsi="Times New Roman" w:cs="Times New Roman"/>
          <w:color w:val="000000"/>
        </w:rPr>
        <w:t>hich would make it a worthwhile effort for a landlord to get the tenants money back as a way of being able to pass it on to the to the tenants in due course when it is the proper time. It prevents a windfall to a person who is currently able to avoid paying the money back because there's no good remedy</w:t>
      </w:r>
      <w:r w:rsidR="00B36A8C">
        <w:rPr>
          <w:rFonts w:ascii="Times New Roman" w:hAnsi="Times New Roman" w:cs="Times New Roman"/>
          <w:color w:val="000000"/>
        </w:rPr>
        <w:t>.</w:t>
      </w:r>
      <w:r w:rsidR="00737309">
        <w:rPr>
          <w:rFonts w:ascii="Times New Roman" w:hAnsi="Times New Roman" w:cs="Times New Roman"/>
          <w:color w:val="000000"/>
        </w:rPr>
        <w:t xml:space="preserve"> </w:t>
      </w:r>
      <w:r w:rsidR="00B36A8C">
        <w:rPr>
          <w:rFonts w:ascii="Times New Roman" w:hAnsi="Times New Roman" w:cs="Times New Roman"/>
        </w:rPr>
        <w:t>[emphasis added]</w:t>
      </w:r>
      <w:r w:rsidR="00737309">
        <w:rPr>
          <w:rStyle w:val="FootnoteReference"/>
          <w:rFonts w:ascii="Times New Roman" w:hAnsi="Times New Roman" w:cs="Times New Roman"/>
        </w:rPr>
        <w:footnoteReference w:id="18"/>
      </w:r>
    </w:p>
    <w:p w14:paraId="0C21B419" w14:textId="77777777" w:rsidR="00627805" w:rsidRDefault="00627805" w:rsidP="006D7937">
      <w:pPr>
        <w:suppressLineNumbers/>
        <w:rPr>
          <w:rFonts w:ascii="Times New Roman" w:hAnsi="Times New Roman" w:cs="Times New Roman"/>
        </w:rPr>
      </w:pPr>
      <w:r>
        <w:rPr>
          <w:rFonts w:ascii="Times New Roman" w:hAnsi="Times New Roman" w:cs="Times New Roman"/>
        </w:rPr>
        <w:lastRenderedPageBreak/>
        <w:t>and then a bit later as follows:</w:t>
      </w:r>
    </w:p>
    <w:p w14:paraId="2EA8A493" w14:textId="7D631037" w:rsidR="00627805" w:rsidRPr="009E76DF" w:rsidRDefault="00627805" w:rsidP="00627805">
      <w:pPr>
        <w:suppressLineNumbers/>
        <w:spacing w:line="240" w:lineRule="auto"/>
        <w:ind w:left="720"/>
        <w:rPr>
          <w:rFonts w:ascii="Times New Roman" w:hAnsi="Times New Roman" w:cs="Times New Roman"/>
          <w:color w:val="000000"/>
        </w:rPr>
      </w:pPr>
      <w:r w:rsidRPr="009E76DF">
        <w:rPr>
          <w:rFonts w:ascii="Times New Roman" w:hAnsi="Times New Roman" w:cs="Times New Roman"/>
          <w:color w:val="000000"/>
        </w:rPr>
        <w:t xml:space="preserve">What Section 3 [amending subdivision 7] does is it provides for a penalty of $200. It currently provides a penalty of up to $200 for a violation of the statute in terms of not paying the money over to the tenant or to the successor in interest. What this does is it </w:t>
      </w:r>
      <w:r w:rsidRPr="009E76DF">
        <w:rPr>
          <w:rFonts w:ascii="Times New Roman" w:hAnsi="Times New Roman" w:cs="Times New Roman"/>
          <w:color w:val="000000"/>
          <w:u w:val="single"/>
        </w:rPr>
        <w:t xml:space="preserve">provides that the $200 is for each deposit. </w:t>
      </w:r>
      <w:proofErr w:type="gramStart"/>
      <w:r w:rsidRPr="009E76DF">
        <w:rPr>
          <w:rFonts w:ascii="Times New Roman" w:hAnsi="Times New Roman" w:cs="Times New Roman"/>
          <w:color w:val="000000"/>
          <w:u w:val="single"/>
        </w:rPr>
        <w:t>So</w:t>
      </w:r>
      <w:proofErr w:type="gramEnd"/>
      <w:r w:rsidRPr="009E76DF">
        <w:rPr>
          <w:rFonts w:ascii="Times New Roman" w:hAnsi="Times New Roman" w:cs="Times New Roman"/>
          <w:color w:val="000000"/>
          <w:u w:val="single"/>
        </w:rPr>
        <w:t xml:space="preserve"> if he were to withhold a dozen deposits</w:t>
      </w:r>
      <w:r w:rsidRPr="009E76DF">
        <w:rPr>
          <w:rFonts w:ascii="Times New Roman" w:hAnsi="Times New Roman" w:cs="Times New Roman"/>
          <w:color w:val="000000"/>
        </w:rPr>
        <w:t>, it increases the amount of liability. It's a remedial change to try to encourage compliance with the statute</w:t>
      </w:r>
      <w:r w:rsidRPr="009E76DF">
        <w:rPr>
          <w:rStyle w:val="FootnoteReference"/>
          <w:rFonts w:ascii="Times New Roman" w:hAnsi="Times New Roman" w:cs="Times New Roman"/>
          <w:color w:val="000000"/>
        </w:rPr>
        <w:footnoteReference w:id="19"/>
      </w:r>
    </w:p>
    <w:p w14:paraId="57F85B95" w14:textId="06191AB1" w:rsidR="006D7937" w:rsidRPr="00B96F22" w:rsidRDefault="006D7937" w:rsidP="006D7937">
      <w:pPr>
        <w:suppressLineNumbers/>
        <w:rPr>
          <w:rFonts w:ascii="Times New Roman" w:hAnsi="Times New Roman" w:cs="Times New Roman"/>
          <w:color w:val="EE0000"/>
        </w:rPr>
      </w:pPr>
      <w:r w:rsidRPr="00B96F22">
        <w:rPr>
          <w:rFonts w:ascii="Times New Roman" w:hAnsi="Times New Roman" w:cs="Times New Roman"/>
        </w:rPr>
        <w:t>Therefore</w:t>
      </w:r>
      <w:r w:rsidR="00B36A8C">
        <w:rPr>
          <w:rFonts w:ascii="Times New Roman" w:hAnsi="Times New Roman" w:cs="Times New Roman"/>
        </w:rPr>
        <w:t>,</w:t>
      </w:r>
      <w:r>
        <w:rPr>
          <w:rFonts w:ascii="Times New Roman" w:hAnsi="Times New Roman" w:cs="Times New Roman"/>
        </w:rPr>
        <w:t xml:space="preserve"> </w:t>
      </w:r>
      <w:r w:rsidRPr="00B96F22">
        <w:rPr>
          <w:rFonts w:ascii="Times New Roman" w:hAnsi="Times New Roman" w:cs="Times New Roman"/>
          <w:color w:val="000000" w:themeColor="text1"/>
        </w:rPr>
        <w:t>the following language was included in Article 4 of the bills as introduced</w:t>
      </w:r>
      <w:r>
        <w:rPr>
          <w:rFonts w:ascii="Times New Roman" w:hAnsi="Times New Roman" w:cs="Times New Roman"/>
          <w:color w:val="000000" w:themeColor="text1"/>
        </w:rPr>
        <w:t>, allowing the successor to sue for the doubling penalty</w:t>
      </w:r>
      <w:r w:rsidR="00B36A8C">
        <w:rPr>
          <w:rFonts w:ascii="Times New Roman" w:hAnsi="Times New Roman" w:cs="Times New Roman"/>
          <w:color w:val="000000" w:themeColor="text1"/>
        </w:rPr>
        <w:t xml:space="preserve"> (first hammer)</w:t>
      </w:r>
      <w:r w:rsidRPr="00B96F22">
        <w:rPr>
          <w:rFonts w:ascii="Times New Roman" w:hAnsi="Times New Roman" w:cs="Times New Roman"/>
          <w:color w:val="000000" w:themeColor="text1"/>
        </w:rPr>
        <w:t>:</w:t>
      </w:r>
    </w:p>
    <w:p w14:paraId="6DDE3A45" w14:textId="77777777" w:rsidR="006D7937" w:rsidRPr="00B96F22" w:rsidRDefault="006D7937" w:rsidP="006D7937">
      <w:pPr>
        <w:suppressLineNumbers/>
        <w:rPr>
          <w:rFonts w:cstheme="minorHAnsi"/>
          <w:color w:val="EE0000"/>
        </w:rPr>
      </w:pPr>
      <w:r w:rsidRPr="00B96F22">
        <w:rPr>
          <w:rFonts w:cstheme="minorHAnsi"/>
          <w:color w:val="EE0000"/>
        </w:rPr>
        <w:t xml:space="preserve">    [Subdivision 4 is amended to read] </w:t>
      </w:r>
      <w:r w:rsidRPr="00B96F22">
        <w:rPr>
          <w:rFonts w:ascii="Segoe UI Symbol" w:hAnsi="Segoe UI Symbol" w:cs="Segoe UI Symbol"/>
          <w:color w:val="00B050"/>
        </w:rPr>
        <w:t>★★</w:t>
      </w:r>
    </w:p>
    <w:p w14:paraId="016E4C6D" w14:textId="03B89D1B" w:rsidR="006D7937" w:rsidRPr="00B96F22" w:rsidRDefault="006D7937" w:rsidP="006D7937">
      <w:pPr>
        <w:suppressLineNumbers/>
        <w:ind w:left="720"/>
        <w:rPr>
          <w:rFonts w:cstheme="minorHAnsi"/>
        </w:rPr>
      </w:pPr>
      <w:r w:rsidRPr="00B96F22">
        <w:rPr>
          <w:rFonts w:cstheme="minorHAnsi"/>
        </w:rPr>
        <w:t xml:space="preserve">Subd. 4. Any landlord who fails to provide a written statement within three weeks of termination of the tenancy and receipt of the tenant's mailing address or delivery instructions, as required in subdivision 3, </w:t>
      </w:r>
      <w:r w:rsidRPr="00B96F22">
        <w:rPr>
          <w:rFonts w:cstheme="minorHAnsi"/>
          <w:strike/>
        </w:rPr>
        <w:t>shall be</w:t>
      </w:r>
      <w:r w:rsidRPr="00B96F22">
        <w:rPr>
          <w:rFonts w:cstheme="minorHAnsi"/>
        </w:rPr>
        <w:t xml:space="preserve"> </w:t>
      </w:r>
      <w:r w:rsidRPr="00B96F22">
        <w:rPr>
          <w:rFonts w:cstheme="minorHAnsi"/>
          <w:u w:val="single"/>
        </w:rPr>
        <w:t>or fails to transfer or return a deposit as required under subdivision 5, is</w:t>
      </w:r>
      <w:r w:rsidRPr="00B96F22">
        <w:rPr>
          <w:rFonts w:cstheme="minorHAnsi"/>
        </w:rPr>
        <w:t xml:space="preserve"> liable to the tenant </w:t>
      </w:r>
      <w:r w:rsidRPr="00B96F22">
        <w:rPr>
          <w:rFonts w:cstheme="minorHAnsi"/>
          <w:u w:val="single"/>
        </w:rPr>
        <w:t>or the successor in interest</w:t>
      </w:r>
      <w:r w:rsidRPr="00B96F22">
        <w:rPr>
          <w:rFonts w:cstheme="minorHAnsi"/>
        </w:rPr>
        <w:t> for damages in an amount equal to the portion of the deposit withheld by the landlord and interest thereon as provided in subdivision 2, as a penalty. in addition to the portion of the deposit wrongfully withheld by the landlord and interest thereon.</w:t>
      </w:r>
      <w:r w:rsidR="00DD3D9F">
        <w:rPr>
          <w:rStyle w:val="FootnoteReference"/>
          <w:rFonts w:cstheme="minorHAnsi"/>
        </w:rPr>
        <w:footnoteReference w:id="20"/>
      </w:r>
    </w:p>
    <w:p w14:paraId="3C35A6DA" w14:textId="5B7CE051" w:rsidR="001054EE" w:rsidRPr="00B96F22" w:rsidRDefault="00A704D9" w:rsidP="006D7937">
      <w:pPr>
        <w:suppressLineNumbers/>
        <w:rPr>
          <w:rFonts w:ascii="Times New Roman" w:hAnsi="Times New Roman" w:cs="Times New Roman"/>
          <w:color w:val="EE0000"/>
        </w:rPr>
      </w:pPr>
      <w:r>
        <w:rPr>
          <w:rFonts w:ascii="Times New Roman" w:hAnsi="Times New Roman" w:cs="Times New Roman"/>
        </w:rPr>
        <w:t>And</w:t>
      </w:r>
      <w:r w:rsidR="001054EE" w:rsidRPr="00B96F22">
        <w:rPr>
          <w:rFonts w:ascii="Times New Roman" w:hAnsi="Times New Roman" w:cs="Times New Roman"/>
          <w:color w:val="000000" w:themeColor="text1"/>
        </w:rPr>
        <w:t xml:space="preserve"> the following language was</w:t>
      </w:r>
      <w:r w:rsidR="006B7230">
        <w:rPr>
          <w:rFonts w:ascii="Times New Roman" w:hAnsi="Times New Roman" w:cs="Times New Roman"/>
          <w:color w:val="000000" w:themeColor="text1"/>
        </w:rPr>
        <w:t xml:space="preserve"> also</w:t>
      </w:r>
      <w:r w:rsidR="001054EE" w:rsidRPr="00B96F22">
        <w:rPr>
          <w:rFonts w:ascii="Times New Roman" w:hAnsi="Times New Roman" w:cs="Times New Roman"/>
          <w:color w:val="000000" w:themeColor="text1"/>
        </w:rPr>
        <w:t xml:space="preserve"> included </w:t>
      </w:r>
      <w:r w:rsidR="006B7230">
        <w:rPr>
          <w:rFonts w:ascii="Times New Roman" w:hAnsi="Times New Roman" w:cs="Times New Roman"/>
          <w:color w:val="000000" w:themeColor="text1"/>
        </w:rPr>
        <w:t>in the bills</w:t>
      </w:r>
      <w:r w:rsidR="00627805">
        <w:rPr>
          <w:rFonts w:ascii="Times New Roman" w:hAnsi="Times New Roman" w:cs="Times New Roman"/>
          <w:color w:val="000000" w:themeColor="text1"/>
        </w:rPr>
        <w:t xml:space="preserve"> (second hammer)</w:t>
      </w:r>
      <w:r w:rsidR="001054EE" w:rsidRPr="00B96F22">
        <w:rPr>
          <w:rFonts w:ascii="Times New Roman" w:hAnsi="Times New Roman" w:cs="Times New Roman"/>
          <w:color w:val="000000" w:themeColor="text1"/>
        </w:rPr>
        <w:t>:</w:t>
      </w:r>
    </w:p>
    <w:p w14:paraId="1C622521" w14:textId="714EC6E5" w:rsidR="008B6C7B" w:rsidRPr="00B96F22" w:rsidRDefault="008B6C7B" w:rsidP="001B7D20">
      <w:pPr>
        <w:suppressLineNumbers/>
        <w:rPr>
          <w:rFonts w:cstheme="minorHAnsi"/>
          <w:color w:val="EE0000"/>
        </w:rPr>
      </w:pPr>
      <w:r w:rsidRPr="00B96F22">
        <w:rPr>
          <w:rFonts w:cstheme="minorHAnsi"/>
          <w:color w:val="EE0000"/>
        </w:rPr>
        <w:t xml:space="preserve">    [Subdivision 7 </w:t>
      </w:r>
      <w:r w:rsidR="001054EE" w:rsidRPr="00B96F22">
        <w:rPr>
          <w:rFonts w:cstheme="minorHAnsi"/>
          <w:color w:val="EE0000"/>
        </w:rPr>
        <w:t xml:space="preserve">is amended </w:t>
      </w:r>
      <w:r w:rsidRPr="00B96F22">
        <w:rPr>
          <w:rFonts w:cstheme="minorHAnsi"/>
          <w:color w:val="EE0000"/>
        </w:rPr>
        <w:t>to read]</w:t>
      </w:r>
    </w:p>
    <w:p w14:paraId="3443AB13" w14:textId="568CBF1E" w:rsidR="008B6C7B" w:rsidRPr="00B96F22" w:rsidRDefault="008B6C7B" w:rsidP="001B7D20">
      <w:pPr>
        <w:suppressLineNumbers/>
        <w:ind w:left="720"/>
      </w:pPr>
      <w:r w:rsidRPr="00B96F22">
        <w:t xml:space="preserve">Subd. 7.  The bad faith retention by a landlord of </w:t>
      </w:r>
      <w:proofErr w:type="gramStart"/>
      <w:r w:rsidRPr="00B96F22">
        <w:rPr>
          <w:strike/>
        </w:rPr>
        <w:t>the</w:t>
      </w:r>
      <w:r w:rsidRPr="00B96F22">
        <w:t xml:space="preserve"> </w:t>
      </w:r>
      <w:r w:rsidRPr="00B96F22">
        <w:rPr>
          <w:u w:val="single"/>
        </w:rPr>
        <w:t>a</w:t>
      </w:r>
      <w:proofErr w:type="gramEnd"/>
      <w:r w:rsidRPr="00B96F22">
        <w:rPr>
          <w:u w:val="single"/>
        </w:rPr>
        <w:t> </w:t>
      </w:r>
      <w:r w:rsidRPr="00B96F22">
        <w:t xml:space="preserve">deposit, the interest thereon, or any portion thereof, in violation of this section shall subject the landlord to punitive damages not to exceed $200 </w:t>
      </w:r>
      <w:r w:rsidRPr="00B96F22">
        <w:rPr>
          <w:u w:val="single"/>
        </w:rPr>
        <w:t>for each deposit</w:t>
      </w:r>
      <w:r w:rsidRPr="00B96F22">
        <w:t xml:space="preserve"> in addition to the damages provided in subdivision 4.  If the landlord has failed to comply with the provisions of subdivision 3 </w:t>
      </w:r>
      <w:r w:rsidRPr="00B96F22">
        <w:rPr>
          <w:u w:val="single"/>
        </w:rPr>
        <w:t>or 5</w:t>
      </w:r>
      <w:r w:rsidRPr="00B96F22">
        <w:t xml:space="preserve">, retention of </w:t>
      </w:r>
      <w:proofErr w:type="gramStart"/>
      <w:r w:rsidRPr="00B96F22">
        <w:rPr>
          <w:strike/>
        </w:rPr>
        <w:t>the</w:t>
      </w:r>
      <w:r w:rsidRPr="00B96F22">
        <w:t xml:space="preserve"> </w:t>
      </w:r>
      <w:r w:rsidRPr="00B96F22">
        <w:rPr>
          <w:u w:val="single"/>
        </w:rPr>
        <w:t>a</w:t>
      </w:r>
      <w:proofErr w:type="gramEnd"/>
      <w:r w:rsidRPr="00B96F22">
        <w:rPr>
          <w:u w:val="single"/>
        </w:rPr>
        <w:t> </w:t>
      </w:r>
      <w:r w:rsidRPr="00B96F22">
        <w:t>deposit shall be presumed to be in bad faith unless the landlord returns the deposit within two weeks after the commencement of any action for the recovery of the deposit.</w:t>
      </w:r>
      <w:r w:rsidR="00DD3D9F" w:rsidRPr="00DD3D9F">
        <w:rPr>
          <w:rStyle w:val="FootnoteReference"/>
          <w:rFonts w:cstheme="minorHAnsi"/>
        </w:rPr>
        <w:t xml:space="preserve"> </w:t>
      </w:r>
      <w:r w:rsidR="00DD3D9F">
        <w:rPr>
          <w:rStyle w:val="FootnoteReference"/>
          <w:rFonts w:cstheme="minorHAnsi"/>
        </w:rPr>
        <w:footnoteReference w:id="21"/>
      </w:r>
    </w:p>
    <w:p w14:paraId="3BBCE49C" w14:textId="3F759D6F" w:rsidR="00A80866" w:rsidRDefault="009B181C" w:rsidP="001B7D20">
      <w:pPr>
        <w:suppressLineNumbers/>
        <w:rPr>
          <w:rFonts w:ascii="Times New Roman" w:hAnsi="Times New Roman" w:cs="Times New Roman"/>
        </w:rPr>
      </w:pPr>
      <w:r w:rsidRPr="00B96F22">
        <w:rPr>
          <w:rFonts w:ascii="Times New Roman" w:hAnsi="Times New Roman" w:cs="Times New Roman"/>
        </w:rPr>
        <w:t>A</w:t>
      </w:r>
      <w:r w:rsidR="0062760B" w:rsidRPr="00B96F22">
        <w:rPr>
          <w:rFonts w:ascii="Times New Roman" w:hAnsi="Times New Roman" w:cs="Times New Roman"/>
        </w:rPr>
        <w:t>dding</w:t>
      </w:r>
      <w:r w:rsidR="00AB31EE" w:rsidRPr="00B96F22">
        <w:rPr>
          <w:rFonts w:ascii="Times New Roman" w:hAnsi="Times New Roman" w:cs="Times New Roman"/>
        </w:rPr>
        <w:t xml:space="preserve"> “for each deposit”</w:t>
      </w:r>
      <w:r w:rsidR="00ED2D9C">
        <w:rPr>
          <w:rFonts w:ascii="Times New Roman" w:hAnsi="Times New Roman" w:cs="Times New Roman"/>
        </w:rPr>
        <w:t xml:space="preserve"> and</w:t>
      </w:r>
      <w:r w:rsidR="00956123" w:rsidRPr="00B96F22">
        <w:rPr>
          <w:rFonts w:ascii="Times New Roman" w:hAnsi="Times New Roman" w:cs="Times New Roman"/>
        </w:rPr>
        <w:t xml:space="preserve"> chang</w:t>
      </w:r>
      <w:r w:rsidR="0062760B" w:rsidRPr="00B96F22">
        <w:rPr>
          <w:rFonts w:ascii="Times New Roman" w:hAnsi="Times New Roman" w:cs="Times New Roman"/>
        </w:rPr>
        <w:t>ing</w:t>
      </w:r>
      <w:r w:rsidR="00956123" w:rsidRPr="00B96F22">
        <w:rPr>
          <w:rFonts w:ascii="Times New Roman" w:hAnsi="Times New Roman" w:cs="Times New Roman"/>
        </w:rPr>
        <w:t xml:space="preserve"> “the deposit” to “a deposit”</w:t>
      </w:r>
      <w:r w:rsidR="0062760B" w:rsidRPr="00B96F22">
        <w:rPr>
          <w:rFonts w:ascii="Times New Roman" w:hAnsi="Times New Roman" w:cs="Times New Roman"/>
        </w:rPr>
        <w:t xml:space="preserve">, </w:t>
      </w:r>
      <w:r w:rsidRPr="00B96F22">
        <w:rPr>
          <w:rFonts w:ascii="Times New Roman" w:hAnsi="Times New Roman" w:cs="Times New Roman"/>
        </w:rPr>
        <w:t>in</w:t>
      </w:r>
      <w:r w:rsidR="00666228">
        <w:rPr>
          <w:rFonts w:ascii="Times New Roman" w:hAnsi="Times New Roman" w:cs="Times New Roman"/>
        </w:rPr>
        <w:t xml:space="preserve"> the first sentence of</w:t>
      </w:r>
      <w:r w:rsidRPr="00B96F22">
        <w:rPr>
          <w:rFonts w:ascii="Times New Roman" w:hAnsi="Times New Roman" w:cs="Times New Roman"/>
        </w:rPr>
        <w:t xml:space="preserve"> subdiv</w:t>
      </w:r>
      <w:r w:rsidR="0062760B" w:rsidRPr="00B96F22">
        <w:rPr>
          <w:rFonts w:ascii="Times New Roman" w:hAnsi="Times New Roman" w:cs="Times New Roman"/>
        </w:rPr>
        <w:t>i</w:t>
      </w:r>
      <w:r w:rsidRPr="00B96F22">
        <w:rPr>
          <w:rFonts w:ascii="Times New Roman" w:hAnsi="Times New Roman" w:cs="Times New Roman"/>
        </w:rPr>
        <w:t>sion 7</w:t>
      </w:r>
      <w:r w:rsidR="0062760B" w:rsidRPr="00B96F22">
        <w:rPr>
          <w:rFonts w:ascii="Times New Roman" w:hAnsi="Times New Roman" w:cs="Times New Roman"/>
        </w:rPr>
        <w:t xml:space="preserve"> would </w:t>
      </w:r>
      <w:r w:rsidR="00FF5951" w:rsidRPr="00B96F22">
        <w:rPr>
          <w:rFonts w:ascii="Times New Roman" w:hAnsi="Times New Roman" w:cs="Times New Roman"/>
        </w:rPr>
        <w:t>allow</w:t>
      </w:r>
      <w:r w:rsidR="00956123" w:rsidRPr="00B96F22">
        <w:rPr>
          <w:rFonts w:ascii="Times New Roman" w:hAnsi="Times New Roman" w:cs="Times New Roman"/>
        </w:rPr>
        <w:t xml:space="preserve"> the successor </w:t>
      </w:r>
      <w:r w:rsidR="00FF5951" w:rsidRPr="00B96F22">
        <w:rPr>
          <w:rFonts w:ascii="Times New Roman" w:hAnsi="Times New Roman" w:cs="Times New Roman"/>
        </w:rPr>
        <w:t>to</w:t>
      </w:r>
      <w:r w:rsidR="00956123" w:rsidRPr="00B96F22">
        <w:rPr>
          <w:rFonts w:ascii="Times New Roman" w:hAnsi="Times New Roman" w:cs="Times New Roman"/>
        </w:rPr>
        <w:t xml:space="preserve"> sue for up to $200 for each</w:t>
      </w:r>
      <w:r w:rsidR="00FF5951" w:rsidRPr="00B96F22">
        <w:rPr>
          <w:rFonts w:ascii="Times New Roman" w:hAnsi="Times New Roman" w:cs="Times New Roman"/>
        </w:rPr>
        <w:t xml:space="preserve"> deposit the predecessor </w:t>
      </w:r>
      <w:r w:rsidR="00FF5951" w:rsidRPr="00B96F22">
        <w:rPr>
          <w:rFonts w:ascii="Times New Roman" w:hAnsi="Times New Roman" w:cs="Times New Roman"/>
        </w:rPr>
        <w:lastRenderedPageBreak/>
        <w:t>retained in</w:t>
      </w:r>
      <w:r w:rsidR="00956123" w:rsidRPr="00B96F22">
        <w:rPr>
          <w:rFonts w:ascii="Times New Roman" w:hAnsi="Times New Roman" w:cs="Times New Roman"/>
        </w:rPr>
        <w:t xml:space="preserve"> bad-faith</w:t>
      </w:r>
      <w:r w:rsidR="00FF5951" w:rsidRPr="00B96F22">
        <w:rPr>
          <w:rFonts w:ascii="Times New Roman" w:hAnsi="Times New Roman" w:cs="Times New Roman"/>
        </w:rPr>
        <w:t xml:space="preserve"> in violation </w:t>
      </w:r>
      <w:r w:rsidR="00956123" w:rsidRPr="00B96F22">
        <w:rPr>
          <w:rFonts w:ascii="Times New Roman" w:hAnsi="Times New Roman" w:cs="Times New Roman"/>
        </w:rPr>
        <w:t>of subdivision 5</w:t>
      </w:r>
      <w:r w:rsidR="001D7BC1" w:rsidRPr="00B96F22">
        <w:rPr>
          <w:rFonts w:ascii="Times New Roman" w:hAnsi="Times New Roman" w:cs="Times New Roman"/>
        </w:rPr>
        <w:t>, not just for a single $200.</w:t>
      </w:r>
      <w:r w:rsidR="009C1730">
        <w:rPr>
          <w:rFonts w:ascii="Times New Roman" w:hAnsi="Times New Roman" w:cs="Times New Roman"/>
        </w:rPr>
        <w:t xml:space="preserve"> In Herman’s example, the successor could sue for “dozens of deposits” in one lawsuit under subdivision 7. </w:t>
      </w:r>
      <w:r w:rsidR="00666228">
        <w:rPr>
          <w:rFonts w:ascii="Times New Roman" w:hAnsi="Times New Roman" w:cs="Times New Roman"/>
        </w:rPr>
        <w:t>C</w:t>
      </w:r>
      <w:r w:rsidR="00666228" w:rsidRPr="00B96F22">
        <w:rPr>
          <w:rFonts w:ascii="Times New Roman" w:hAnsi="Times New Roman" w:cs="Times New Roman"/>
        </w:rPr>
        <w:t>hanging “subdivision 3” to “subdivision 3 or 5”</w:t>
      </w:r>
      <w:r w:rsidR="00666228">
        <w:rPr>
          <w:rFonts w:ascii="Times New Roman" w:hAnsi="Times New Roman" w:cs="Times New Roman"/>
        </w:rPr>
        <w:t xml:space="preserve"> and </w:t>
      </w:r>
      <w:r w:rsidR="00666228" w:rsidRPr="00B96F22">
        <w:rPr>
          <w:rFonts w:ascii="Times New Roman" w:hAnsi="Times New Roman" w:cs="Times New Roman"/>
        </w:rPr>
        <w:t>changing “the deposit” to “a deposit”</w:t>
      </w:r>
      <w:r w:rsidR="00666228">
        <w:rPr>
          <w:rFonts w:ascii="Times New Roman" w:hAnsi="Times New Roman" w:cs="Times New Roman"/>
        </w:rPr>
        <w:t xml:space="preserve"> in the second sentence ensured that the bad-faith presumption </w:t>
      </w:r>
      <w:r w:rsidR="0063485E">
        <w:rPr>
          <w:rFonts w:ascii="Times New Roman" w:hAnsi="Times New Roman" w:cs="Times New Roman"/>
        </w:rPr>
        <w:t>benefited</w:t>
      </w:r>
      <w:r w:rsidR="00666228">
        <w:rPr>
          <w:rFonts w:ascii="Times New Roman" w:hAnsi="Times New Roman" w:cs="Times New Roman"/>
        </w:rPr>
        <w:t xml:space="preserve"> successors as well as tenants.</w:t>
      </w:r>
    </w:p>
    <w:p w14:paraId="01A7A830" w14:textId="64C33F8C" w:rsidR="006B7230" w:rsidRPr="006B7230" w:rsidRDefault="006B7230" w:rsidP="001B7D20">
      <w:pPr>
        <w:suppressLineNumbers/>
        <w:rPr>
          <w:rFonts w:ascii="Times New Roman" w:hAnsi="Times New Roman" w:cs="Times New Roman"/>
          <w:u w:val="single"/>
        </w:rPr>
      </w:pPr>
      <w:r>
        <w:rPr>
          <w:rFonts w:ascii="Times New Roman" w:hAnsi="Times New Roman" w:cs="Times New Roman"/>
        </w:rPr>
        <w:tab/>
      </w:r>
      <w:r w:rsidR="00086FD7">
        <w:rPr>
          <w:rFonts w:ascii="Times New Roman" w:hAnsi="Times New Roman" w:cs="Times New Roman"/>
          <w:u w:val="single"/>
        </w:rPr>
        <w:t>4. P</w:t>
      </w:r>
      <w:r w:rsidRPr="006B7230">
        <w:rPr>
          <w:rFonts w:ascii="Times New Roman" w:hAnsi="Times New Roman" w:cs="Times New Roman"/>
          <w:u w:val="single"/>
        </w:rPr>
        <w:t>rogress of the amendments in 1991 (first half of legislative session)</w:t>
      </w:r>
    </w:p>
    <w:p w14:paraId="3071607A" w14:textId="2E0D9B89" w:rsidR="00DE7B55" w:rsidRDefault="009E3D74" w:rsidP="001B7D20">
      <w:pPr>
        <w:suppressLineNumbers/>
        <w:rPr>
          <w:rFonts w:ascii="Times New Roman" w:hAnsi="Times New Roman" w:cs="Times New Roman"/>
        </w:rPr>
      </w:pPr>
      <w:r>
        <w:rPr>
          <w:rFonts w:ascii="Times New Roman" w:hAnsi="Times New Roman" w:cs="Times New Roman"/>
        </w:rPr>
        <w:t xml:space="preserve">The large House and Senate bills had a variety of differences unrelated to security deposits and so </w:t>
      </w:r>
      <w:r w:rsidR="00BA217F">
        <w:rPr>
          <w:rFonts w:ascii="Times New Roman" w:hAnsi="Times New Roman" w:cs="Times New Roman"/>
        </w:rPr>
        <w:t xml:space="preserve">they </w:t>
      </w:r>
      <w:r>
        <w:rPr>
          <w:rFonts w:ascii="Times New Roman" w:hAnsi="Times New Roman" w:cs="Times New Roman"/>
        </w:rPr>
        <w:t xml:space="preserve">went to conference </w:t>
      </w:r>
      <w:r w:rsidR="00BA217F">
        <w:rPr>
          <w:rFonts w:ascii="Times New Roman" w:hAnsi="Times New Roman" w:cs="Times New Roman"/>
        </w:rPr>
        <w:t xml:space="preserve">committee </w:t>
      </w:r>
      <w:r>
        <w:rPr>
          <w:rFonts w:ascii="Times New Roman" w:hAnsi="Times New Roman" w:cs="Times New Roman"/>
        </w:rPr>
        <w:t xml:space="preserve">in May 1991. </w:t>
      </w:r>
      <w:r w:rsidR="00DE7B55" w:rsidRPr="00B96F22">
        <w:rPr>
          <w:rFonts w:ascii="Times New Roman" w:hAnsi="Times New Roman" w:cs="Times New Roman"/>
        </w:rPr>
        <w:t xml:space="preserve">All </w:t>
      </w:r>
      <w:r w:rsidR="00935BDA" w:rsidRPr="00B96F22">
        <w:rPr>
          <w:rFonts w:ascii="Times New Roman" w:hAnsi="Times New Roman" w:cs="Times New Roman"/>
        </w:rPr>
        <w:t xml:space="preserve">five of </w:t>
      </w:r>
      <w:r w:rsidR="00DE7B55" w:rsidRPr="00B96F22">
        <w:rPr>
          <w:rFonts w:ascii="Times New Roman" w:hAnsi="Times New Roman" w:cs="Times New Roman"/>
        </w:rPr>
        <w:t>above proposals in the original bill</w:t>
      </w:r>
      <w:r w:rsidR="005C0A4B" w:rsidRPr="00B96F22">
        <w:rPr>
          <w:rFonts w:ascii="Times New Roman" w:hAnsi="Times New Roman" w:cs="Times New Roman"/>
        </w:rPr>
        <w:t>s</w:t>
      </w:r>
      <w:r w:rsidR="00DE7B55" w:rsidRPr="00B96F22">
        <w:rPr>
          <w:rFonts w:ascii="Times New Roman" w:hAnsi="Times New Roman" w:cs="Times New Roman"/>
        </w:rPr>
        <w:t xml:space="preserve"> made it into the First Conference Report issued in May 1991.</w:t>
      </w:r>
      <w:r w:rsidR="009B181C" w:rsidRPr="00B96F22">
        <w:rPr>
          <w:rStyle w:val="FootnoteReference"/>
          <w:rFonts w:ascii="Times New Roman" w:hAnsi="Times New Roman" w:cs="Times New Roman"/>
        </w:rPr>
        <w:footnoteReference w:id="22"/>
      </w:r>
      <w:r w:rsidR="00DE7B55" w:rsidRPr="00B96F22">
        <w:rPr>
          <w:rFonts w:ascii="Times New Roman" w:hAnsi="Times New Roman" w:cs="Times New Roman"/>
        </w:rPr>
        <w:t xml:space="preserve"> This report included intact </w:t>
      </w:r>
      <w:r w:rsidR="009B181C" w:rsidRPr="00B96F22">
        <w:rPr>
          <w:rFonts w:ascii="Times New Roman" w:hAnsi="Times New Roman" w:cs="Times New Roman"/>
        </w:rPr>
        <w:t>the amendments to</w:t>
      </w:r>
      <w:r w:rsidR="005C0A4B" w:rsidRPr="00B96F22">
        <w:rPr>
          <w:rFonts w:ascii="Times New Roman" w:hAnsi="Times New Roman" w:cs="Times New Roman"/>
        </w:rPr>
        <w:t xml:space="preserve"> </w:t>
      </w:r>
      <w:r w:rsidR="00DE7B55" w:rsidRPr="00B96F22">
        <w:rPr>
          <w:rFonts w:ascii="Times New Roman" w:hAnsi="Times New Roman" w:cs="Times New Roman"/>
        </w:rPr>
        <w:t>subdivisions 3, 5 and 7</w:t>
      </w:r>
      <w:r w:rsidR="00332C61" w:rsidRPr="00B96F22">
        <w:rPr>
          <w:rFonts w:ascii="Times New Roman" w:hAnsi="Times New Roman" w:cs="Times New Roman"/>
        </w:rPr>
        <w:t xml:space="preserve">, </w:t>
      </w:r>
      <w:r w:rsidR="00DE7B55" w:rsidRPr="00B96F22">
        <w:rPr>
          <w:rFonts w:ascii="Times New Roman" w:hAnsi="Times New Roman" w:cs="Times New Roman"/>
        </w:rPr>
        <w:t xml:space="preserve">plus </w:t>
      </w:r>
      <w:r w:rsidR="005C0A4B" w:rsidRPr="00B96F22">
        <w:rPr>
          <w:rFonts w:ascii="Times New Roman" w:hAnsi="Times New Roman" w:cs="Times New Roman"/>
        </w:rPr>
        <w:t xml:space="preserve">both the </w:t>
      </w:r>
      <w:r w:rsidR="00DE7B55" w:rsidRPr="00B96F22">
        <w:rPr>
          <w:rFonts w:ascii="Times New Roman" w:hAnsi="Times New Roman" w:cs="Times New Roman"/>
        </w:rPr>
        <w:t>subdivision</w:t>
      </w:r>
      <w:r w:rsidR="00EC3724">
        <w:rPr>
          <w:rFonts w:ascii="Times New Roman" w:hAnsi="Times New Roman" w:cs="Times New Roman"/>
        </w:rPr>
        <w:t>-</w:t>
      </w:r>
      <w:r w:rsidR="00DE7B55" w:rsidRPr="00B96F22">
        <w:rPr>
          <w:rFonts w:ascii="Times New Roman" w:hAnsi="Times New Roman" w:cs="Times New Roman"/>
        </w:rPr>
        <w:t>4</w:t>
      </w:r>
      <w:r w:rsidR="00EC3724">
        <w:rPr>
          <w:rFonts w:ascii="Times New Roman" w:hAnsi="Times New Roman" w:cs="Times New Roman"/>
        </w:rPr>
        <w:t xml:space="preserve"> amendment</w:t>
      </w:r>
      <w:r w:rsidR="00DE7B55" w:rsidRPr="00B96F22">
        <w:rPr>
          <w:rFonts w:ascii="Times New Roman" w:hAnsi="Times New Roman" w:cs="Times New Roman"/>
        </w:rPr>
        <w:t xml:space="preserve"> proposed by the tenant lobbyists</w:t>
      </w:r>
      <w:r w:rsidR="005C0A4B" w:rsidRPr="00B96F22">
        <w:rPr>
          <w:rFonts w:ascii="Times New Roman" w:hAnsi="Times New Roman" w:cs="Times New Roman"/>
        </w:rPr>
        <w:t xml:space="preserve"> (marked </w:t>
      </w:r>
      <w:r w:rsidR="00BE0FAE" w:rsidRPr="00B96F22">
        <w:rPr>
          <w:rFonts w:ascii="Times New Roman" w:hAnsi="Times New Roman" w:cs="Times New Roman"/>
        </w:rPr>
        <w:t xml:space="preserve">with </w:t>
      </w:r>
      <w:r w:rsidR="009B181C" w:rsidRPr="00B96F22">
        <w:rPr>
          <w:rFonts w:ascii="Times New Roman" w:hAnsi="Times New Roman" w:cs="Times New Roman"/>
        </w:rPr>
        <w:t xml:space="preserve">one </w:t>
      </w:r>
      <w:r w:rsidR="00BE0FAE" w:rsidRPr="00B96F22">
        <w:rPr>
          <w:rFonts w:ascii="Times New Roman" w:hAnsi="Times New Roman" w:cs="Times New Roman"/>
        </w:rPr>
        <w:t xml:space="preserve">green star, </w:t>
      </w:r>
      <w:r w:rsidR="00BE0FAE" w:rsidRPr="00B96F22">
        <w:rPr>
          <w:rFonts w:ascii="Segoe UI Symbol" w:hAnsi="Segoe UI Symbol" w:cs="Segoe UI Symbol"/>
          <w:color w:val="00B050"/>
        </w:rPr>
        <w:t>★</w:t>
      </w:r>
      <w:r w:rsidR="00BE0FAE" w:rsidRPr="00B96F22">
        <w:rPr>
          <w:rFonts w:cstheme="minorHAnsi"/>
          <w:color w:val="00B050"/>
        </w:rPr>
        <w:t xml:space="preserve">, </w:t>
      </w:r>
      <w:r w:rsidR="005C0A4B" w:rsidRPr="00B96F22">
        <w:rPr>
          <w:rFonts w:ascii="Times New Roman" w:hAnsi="Times New Roman" w:cs="Times New Roman"/>
        </w:rPr>
        <w:t>above)</w:t>
      </w:r>
      <w:r w:rsidR="00DE7B55" w:rsidRPr="00B96F22">
        <w:rPr>
          <w:rFonts w:ascii="Times New Roman" w:hAnsi="Times New Roman" w:cs="Times New Roman"/>
        </w:rPr>
        <w:t xml:space="preserve"> </w:t>
      </w:r>
      <w:r w:rsidR="00ED2D9C" w:rsidRPr="006B7230">
        <w:rPr>
          <w:rFonts w:ascii="Times New Roman" w:hAnsi="Times New Roman" w:cs="Times New Roman"/>
          <w:u w:val="single"/>
        </w:rPr>
        <w:t>and</w:t>
      </w:r>
      <w:r w:rsidR="00ED2D9C" w:rsidRPr="00B96F22">
        <w:rPr>
          <w:rFonts w:ascii="Times New Roman" w:hAnsi="Times New Roman" w:cs="Times New Roman"/>
        </w:rPr>
        <w:t xml:space="preserve"> </w:t>
      </w:r>
      <w:r w:rsidR="00EC3724">
        <w:rPr>
          <w:rFonts w:ascii="Times New Roman" w:hAnsi="Times New Roman" w:cs="Times New Roman"/>
        </w:rPr>
        <w:t xml:space="preserve">the </w:t>
      </w:r>
      <w:r w:rsidR="00ED2D9C" w:rsidRPr="00B96F22">
        <w:rPr>
          <w:rFonts w:ascii="Times New Roman" w:hAnsi="Times New Roman" w:cs="Times New Roman"/>
        </w:rPr>
        <w:t>subdivision</w:t>
      </w:r>
      <w:r w:rsidR="00EC3724">
        <w:rPr>
          <w:rFonts w:ascii="Times New Roman" w:hAnsi="Times New Roman" w:cs="Times New Roman"/>
        </w:rPr>
        <w:t>-</w:t>
      </w:r>
      <w:r w:rsidR="00ED2D9C" w:rsidRPr="00B96F22">
        <w:rPr>
          <w:rFonts w:ascii="Times New Roman" w:hAnsi="Times New Roman" w:cs="Times New Roman"/>
        </w:rPr>
        <w:t>4</w:t>
      </w:r>
      <w:r w:rsidR="00EC3724">
        <w:rPr>
          <w:rFonts w:ascii="Times New Roman" w:hAnsi="Times New Roman" w:cs="Times New Roman"/>
        </w:rPr>
        <w:t xml:space="preserve"> amendment</w:t>
      </w:r>
      <w:r w:rsidR="00ED2D9C" w:rsidRPr="00B96F22">
        <w:rPr>
          <w:rFonts w:ascii="Times New Roman" w:hAnsi="Times New Roman" w:cs="Times New Roman"/>
        </w:rPr>
        <w:t xml:space="preserve"> proposed by the successors (marked with two green stars, </w:t>
      </w:r>
      <w:r w:rsidR="00ED2D9C" w:rsidRPr="00B96F22">
        <w:rPr>
          <w:rFonts w:ascii="Segoe UI Symbol" w:hAnsi="Segoe UI Symbol" w:cs="Segoe UI Symbol"/>
          <w:color w:val="00B050"/>
        </w:rPr>
        <w:t>★★</w:t>
      </w:r>
      <w:r w:rsidR="00ED2D9C" w:rsidRPr="00B96F22">
        <w:rPr>
          <w:rFonts w:cstheme="minorHAnsi"/>
          <w:color w:val="00B050"/>
        </w:rPr>
        <w:t>,</w:t>
      </w:r>
      <w:r w:rsidR="00ED2D9C">
        <w:rPr>
          <w:rFonts w:cstheme="minorHAnsi"/>
          <w:color w:val="00B050"/>
        </w:rPr>
        <w:t xml:space="preserve"> </w:t>
      </w:r>
      <w:r w:rsidR="00ED2D9C" w:rsidRPr="00B96F22">
        <w:rPr>
          <w:rFonts w:ascii="Times New Roman" w:hAnsi="Times New Roman" w:cs="Times New Roman"/>
        </w:rPr>
        <w:t>above)</w:t>
      </w:r>
    </w:p>
    <w:p w14:paraId="02367FAF" w14:textId="5AE2E9A7" w:rsidR="006B7230" w:rsidRPr="006B7230" w:rsidRDefault="006B7230" w:rsidP="001B7D20">
      <w:pPr>
        <w:suppressLineNumbers/>
        <w:rPr>
          <w:rFonts w:ascii="Times New Roman" w:hAnsi="Times New Roman" w:cs="Times New Roman"/>
          <w:u w:val="single"/>
        </w:rPr>
      </w:pPr>
      <w:r>
        <w:rPr>
          <w:rFonts w:ascii="Times New Roman" w:hAnsi="Times New Roman" w:cs="Times New Roman"/>
        </w:rPr>
        <w:tab/>
      </w:r>
      <w:r w:rsidR="00086FD7">
        <w:rPr>
          <w:rFonts w:ascii="Times New Roman" w:hAnsi="Times New Roman" w:cs="Times New Roman"/>
          <w:u w:val="single"/>
        </w:rPr>
        <w:t>5. P</w:t>
      </w:r>
      <w:r w:rsidRPr="006B7230">
        <w:rPr>
          <w:rFonts w:ascii="Times New Roman" w:hAnsi="Times New Roman" w:cs="Times New Roman"/>
          <w:u w:val="single"/>
        </w:rPr>
        <w:t>rogress of the amendments in 199</w:t>
      </w:r>
      <w:r>
        <w:rPr>
          <w:rFonts w:ascii="Times New Roman" w:hAnsi="Times New Roman" w:cs="Times New Roman"/>
          <w:u w:val="single"/>
        </w:rPr>
        <w:t>2</w:t>
      </w:r>
      <w:r w:rsidRPr="006B7230">
        <w:rPr>
          <w:rFonts w:ascii="Times New Roman" w:hAnsi="Times New Roman" w:cs="Times New Roman"/>
          <w:u w:val="single"/>
        </w:rPr>
        <w:t xml:space="preserve"> (</w:t>
      </w:r>
      <w:r>
        <w:rPr>
          <w:rFonts w:ascii="Times New Roman" w:hAnsi="Times New Roman" w:cs="Times New Roman"/>
          <w:u w:val="single"/>
        </w:rPr>
        <w:t>second</w:t>
      </w:r>
      <w:r w:rsidRPr="006B7230">
        <w:rPr>
          <w:rFonts w:ascii="Times New Roman" w:hAnsi="Times New Roman" w:cs="Times New Roman"/>
          <w:u w:val="single"/>
        </w:rPr>
        <w:t xml:space="preserve"> half of legislative session)</w:t>
      </w:r>
    </w:p>
    <w:p w14:paraId="212694CD" w14:textId="49D70298" w:rsidR="001054EE" w:rsidRPr="00B96F22" w:rsidRDefault="00DE7B55" w:rsidP="001B7D20">
      <w:pPr>
        <w:suppressLineNumbers/>
        <w:rPr>
          <w:rFonts w:ascii="Times New Roman" w:hAnsi="Times New Roman" w:cs="Times New Roman"/>
        </w:rPr>
      </w:pPr>
      <w:r w:rsidRPr="00B96F22">
        <w:rPr>
          <w:rFonts w:ascii="Times New Roman" w:hAnsi="Times New Roman" w:cs="Times New Roman"/>
        </w:rPr>
        <w:t xml:space="preserve">The Senate did not </w:t>
      </w:r>
      <w:r w:rsidR="004154B7">
        <w:rPr>
          <w:rFonts w:ascii="Times New Roman" w:hAnsi="Times New Roman" w:cs="Times New Roman"/>
        </w:rPr>
        <w:t>approve</w:t>
      </w:r>
      <w:r w:rsidRPr="00B96F22">
        <w:rPr>
          <w:rFonts w:ascii="Times New Roman" w:hAnsi="Times New Roman" w:cs="Times New Roman"/>
        </w:rPr>
        <w:t xml:space="preserve"> the First Conference Report. </w:t>
      </w:r>
      <w:r w:rsidR="00332C61" w:rsidRPr="00B96F22">
        <w:rPr>
          <w:rFonts w:ascii="Times New Roman" w:hAnsi="Times New Roman" w:cs="Times New Roman"/>
        </w:rPr>
        <w:t>In March 1992,</w:t>
      </w:r>
      <w:r w:rsidRPr="00B96F22">
        <w:rPr>
          <w:rFonts w:ascii="Times New Roman" w:hAnsi="Times New Roman" w:cs="Times New Roman"/>
        </w:rPr>
        <w:t xml:space="preserve"> </w:t>
      </w:r>
      <w:r w:rsidR="003F5B04">
        <w:rPr>
          <w:rFonts w:ascii="Times New Roman" w:hAnsi="Times New Roman" w:cs="Times New Roman"/>
        </w:rPr>
        <w:t>the c</w:t>
      </w:r>
      <w:r w:rsidRPr="00B96F22">
        <w:rPr>
          <w:rFonts w:ascii="Times New Roman" w:hAnsi="Times New Roman" w:cs="Times New Roman"/>
        </w:rPr>
        <w:t>onferees met again</w:t>
      </w:r>
      <w:r w:rsidR="00332C61" w:rsidRPr="00B96F22">
        <w:rPr>
          <w:rFonts w:ascii="Times New Roman" w:hAnsi="Times New Roman" w:cs="Times New Roman"/>
        </w:rPr>
        <w:t xml:space="preserve"> </w:t>
      </w:r>
      <w:r w:rsidR="00720423" w:rsidRPr="00B96F22">
        <w:rPr>
          <w:rFonts w:ascii="Times New Roman" w:hAnsi="Times New Roman" w:cs="Times New Roman"/>
        </w:rPr>
        <w:t>and issued the Second Conference Report</w:t>
      </w:r>
      <w:r w:rsidRPr="00B96F22">
        <w:rPr>
          <w:rFonts w:ascii="Times New Roman" w:hAnsi="Times New Roman" w:cs="Times New Roman"/>
        </w:rPr>
        <w:t>.</w:t>
      </w:r>
      <w:r w:rsidR="009B181C" w:rsidRPr="00B96F22">
        <w:rPr>
          <w:rStyle w:val="FootnoteReference"/>
          <w:rFonts w:ascii="Times New Roman" w:hAnsi="Times New Roman" w:cs="Times New Roman"/>
        </w:rPr>
        <w:footnoteReference w:id="23"/>
      </w:r>
      <w:r w:rsidR="009B181C" w:rsidRPr="00B96F22">
        <w:rPr>
          <w:rFonts w:ascii="Times New Roman" w:hAnsi="Times New Roman" w:cs="Times New Roman"/>
        </w:rPr>
        <w:t xml:space="preserve"> </w:t>
      </w:r>
      <w:r w:rsidR="00720423" w:rsidRPr="00B96F22">
        <w:rPr>
          <w:rFonts w:ascii="Times New Roman" w:hAnsi="Times New Roman" w:cs="Times New Roman"/>
        </w:rPr>
        <w:t xml:space="preserve"> A fair number of changes were made to parts of the bill unrelated to landlord-tenant law, including moving most of Article 4 to Article 2. As to the section-504.20 amendments, three were kept intact</w:t>
      </w:r>
      <w:r w:rsidR="00E57AE6">
        <w:rPr>
          <w:rFonts w:ascii="Times New Roman" w:hAnsi="Times New Roman" w:cs="Times New Roman"/>
        </w:rPr>
        <w:t xml:space="preserve"> and placed</w:t>
      </w:r>
      <w:r w:rsidR="00720423" w:rsidRPr="00B96F22">
        <w:rPr>
          <w:rFonts w:ascii="Times New Roman" w:hAnsi="Times New Roman" w:cs="Times New Roman"/>
        </w:rPr>
        <w:t xml:space="preserve"> within Article 1 – the subdivision</w:t>
      </w:r>
      <w:r w:rsidR="001054EE" w:rsidRPr="00B96F22">
        <w:rPr>
          <w:rFonts w:ascii="Times New Roman" w:hAnsi="Times New Roman" w:cs="Times New Roman"/>
        </w:rPr>
        <w:t>-3</w:t>
      </w:r>
      <w:r w:rsidR="00720423" w:rsidRPr="00B96F22">
        <w:rPr>
          <w:rFonts w:ascii="Times New Roman" w:hAnsi="Times New Roman" w:cs="Times New Roman"/>
        </w:rPr>
        <w:t xml:space="preserve"> amendment (tenant proposal) </w:t>
      </w:r>
      <w:r w:rsidR="00C9477D">
        <w:rPr>
          <w:rFonts w:ascii="Times New Roman" w:hAnsi="Times New Roman" w:cs="Times New Roman"/>
        </w:rPr>
        <w:t>plus</w:t>
      </w:r>
      <w:r w:rsidR="00720423" w:rsidRPr="00B96F22">
        <w:rPr>
          <w:rFonts w:ascii="Times New Roman" w:hAnsi="Times New Roman" w:cs="Times New Roman"/>
        </w:rPr>
        <w:t xml:space="preserve"> the subdivision</w:t>
      </w:r>
      <w:r w:rsidR="001054EE" w:rsidRPr="00B96F22">
        <w:rPr>
          <w:rFonts w:ascii="Times New Roman" w:hAnsi="Times New Roman" w:cs="Times New Roman"/>
        </w:rPr>
        <w:t>-</w:t>
      </w:r>
      <w:r w:rsidR="00720423" w:rsidRPr="00B96F22">
        <w:rPr>
          <w:rFonts w:ascii="Times New Roman" w:hAnsi="Times New Roman" w:cs="Times New Roman"/>
        </w:rPr>
        <w:t xml:space="preserve">5 and </w:t>
      </w:r>
      <w:r w:rsidR="00C9477D">
        <w:rPr>
          <w:rFonts w:ascii="Times New Roman" w:hAnsi="Times New Roman" w:cs="Times New Roman"/>
        </w:rPr>
        <w:t>subdivision</w:t>
      </w:r>
      <w:r w:rsidR="001054EE" w:rsidRPr="00B96F22">
        <w:rPr>
          <w:rFonts w:ascii="Times New Roman" w:hAnsi="Times New Roman" w:cs="Times New Roman"/>
        </w:rPr>
        <w:t>-</w:t>
      </w:r>
      <w:r w:rsidR="00720423" w:rsidRPr="00B96F22">
        <w:rPr>
          <w:rFonts w:ascii="Times New Roman" w:hAnsi="Times New Roman" w:cs="Times New Roman"/>
        </w:rPr>
        <w:t xml:space="preserve">7 amendments (successors proposals). </w:t>
      </w:r>
    </w:p>
    <w:p w14:paraId="6385FFE2" w14:textId="17017CC0" w:rsidR="00332C61" w:rsidRDefault="00720423" w:rsidP="001B7D20">
      <w:pPr>
        <w:suppressLineNumbers/>
        <w:rPr>
          <w:rFonts w:ascii="Times New Roman" w:hAnsi="Times New Roman" w:cs="Times New Roman"/>
        </w:rPr>
      </w:pPr>
      <w:r w:rsidRPr="00B96F22">
        <w:rPr>
          <w:rFonts w:ascii="Times New Roman" w:hAnsi="Times New Roman" w:cs="Times New Roman"/>
        </w:rPr>
        <w:t>The conferees apparently finally realized that the final session law could not include two different subdivisions 4. They met “informally” and there is no record of their thinking except for the</w:t>
      </w:r>
      <w:r w:rsidR="00332C61" w:rsidRPr="00B96F22">
        <w:rPr>
          <w:rFonts w:ascii="Times New Roman" w:hAnsi="Times New Roman" w:cs="Times New Roman"/>
        </w:rPr>
        <w:t>ir minutes</w:t>
      </w:r>
      <w:r w:rsidR="003F5B04">
        <w:rPr>
          <w:rFonts w:ascii="Times New Roman" w:hAnsi="Times New Roman" w:cs="Times New Roman"/>
        </w:rPr>
        <w:t>, which stated a</w:t>
      </w:r>
      <w:r w:rsidRPr="00B96F22">
        <w:rPr>
          <w:rFonts w:ascii="Times New Roman" w:hAnsi="Times New Roman" w:cs="Times New Roman"/>
        </w:rPr>
        <w:t xml:space="preserve"> need avoid two different subdivisions 4.</w:t>
      </w:r>
      <w:r w:rsidR="009B181C" w:rsidRPr="00B96F22">
        <w:rPr>
          <w:rStyle w:val="FootnoteReference"/>
          <w:rFonts w:ascii="Times New Roman" w:hAnsi="Times New Roman" w:cs="Times New Roman"/>
        </w:rPr>
        <w:footnoteReference w:id="24"/>
      </w:r>
      <w:r w:rsidRPr="00B96F22">
        <w:rPr>
          <w:rFonts w:ascii="Times New Roman" w:hAnsi="Times New Roman" w:cs="Times New Roman"/>
        </w:rPr>
        <w:t xml:space="preserve"> I guess, but cannot prove</w:t>
      </w:r>
      <w:r w:rsidR="003F5B04">
        <w:rPr>
          <w:rFonts w:ascii="Times New Roman" w:hAnsi="Times New Roman" w:cs="Times New Roman"/>
        </w:rPr>
        <w:t xml:space="preserve">, </w:t>
      </w:r>
      <w:r w:rsidR="00332C61" w:rsidRPr="00B96F22">
        <w:rPr>
          <w:rFonts w:ascii="Times New Roman" w:hAnsi="Times New Roman" w:cs="Times New Roman"/>
        </w:rPr>
        <w:t>that</w:t>
      </w:r>
      <w:r w:rsidRPr="00B96F22">
        <w:rPr>
          <w:rFonts w:ascii="Times New Roman" w:hAnsi="Times New Roman" w:cs="Times New Roman"/>
        </w:rPr>
        <w:t xml:space="preserve"> faced with a large bill and not much time, the main authors </w:t>
      </w:r>
      <w:r w:rsidR="008E6D2C" w:rsidRPr="00B96F22">
        <w:rPr>
          <w:rFonts w:ascii="Times New Roman" w:hAnsi="Times New Roman" w:cs="Times New Roman"/>
        </w:rPr>
        <w:t xml:space="preserve">carelessly </w:t>
      </w:r>
      <w:r w:rsidRPr="00B96F22">
        <w:rPr>
          <w:rFonts w:ascii="Times New Roman" w:hAnsi="Times New Roman" w:cs="Times New Roman"/>
        </w:rPr>
        <w:t xml:space="preserve">cobbled together </w:t>
      </w:r>
      <w:r w:rsidR="008E6D2C" w:rsidRPr="00B96F22">
        <w:rPr>
          <w:rFonts w:ascii="Times New Roman" w:hAnsi="Times New Roman" w:cs="Times New Roman"/>
        </w:rPr>
        <w:t>a</w:t>
      </w:r>
      <w:r w:rsidRPr="00B96F22">
        <w:rPr>
          <w:rFonts w:ascii="Times New Roman" w:hAnsi="Times New Roman" w:cs="Times New Roman"/>
        </w:rPr>
        <w:t xml:space="preserve"> final version of subdivision 4</w:t>
      </w:r>
      <w:r w:rsidR="008E6D2C" w:rsidRPr="00B96F22">
        <w:rPr>
          <w:rFonts w:ascii="Times New Roman" w:hAnsi="Times New Roman" w:cs="Times New Roman"/>
        </w:rPr>
        <w:t>. Possibly this was the result of a careful compromise.</w:t>
      </w:r>
      <w:r w:rsidR="00286A38">
        <w:rPr>
          <w:rStyle w:val="FootnoteReference"/>
          <w:rFonts w:ascii="Times New Roman" w:hAnsi="Times New Roman" w:cs="Times New Roman"/>
        </w:rPr>
        <w:footnoteReference w:id="25"/>
      </w:r>
      <w:r w:rsidR="00AE2961">
        <w:rPr>
          <w:rFonts w:ascii="Times New Roman" w:hAnsi="Times New Roman" w:cs="Times New Roman"/>
        </w:rPr>
        <w:t xml:space="preserve"> </w:t>
      </w:r>
      <w:r w:rsidR="008E6D2C" w:rsidRPr="00B96F22">
        <w:rPr>
          <w:rFonts w:ascii="Times New Roman" w:hAnsi="Times New Roman" w:cs="Times New Roman"/>
        </w:rPr>
        <w:t>Regardless, their product was as follows</w:t>
      </w:r>
      <w:r w:rsidR="00332C61" w:rsidRPr="00B96F22">
        <w:rPr>
          <w:rFonts w:ascii="Times New Roman" w:hAnsi="Times New Roman" w:cs="Times New Roman"/>
        </w:rPr>
        <w:t>:</w:t>
      </w:r>
    </w:p>
    <w:p w14:paraId="762B34DE" w14:textId="77777777" w:rsidR="00C9477D" w:rsidRPr="00B96F22" w:rsidRDefault="00C9477D" w:rsidP="001B7D20">
      <w:pPr>
        <w:suppressLineNumbers/>
        <w:rPr>
          <w:rFonts w:ascii="Times New Roman" w:hAnsi="Times New Roman" w:cs="Times New Roman"/>
        </w:rPr>
      </w:pPr>
    </w:p>
    <w:p w14:paraId="213EE179" w14:textId="6F280F26" w:rsidR="00332C61" w:rsidRPr="00B96F22" w:rsidRDefault="00332C61" w:rsidP="001B7D20">
      <w:pPr>
        <w:suppressLineNumbers/>
        <w:rPr>
          <w:rFonts w:cstheme="minorHAnsi"/>
          <w:color w:val="EE0000"/>
        </w:rPr>
      </w:pPr>
      <w:r w:rsidRPr="00B96F22">
        <w:rPr>
          <w:rFonts w:cstheme="minorHAnsi"/>
          <w:color w:val="EE0000"/>
        </w:rPr>
        <w:lastRenderedPageBreak/>
        <w:t xml:space="preserve">    [Subdivision 4</w:t>
      </w:r>
      <w:r w:rsidR="001054EE" w:rsidRPr="00B96F22">
        <w:rPr>
          <w:rFonts w:cstheme="minorHAnsi"/>
          <w:color w:val="EE0000"/>
        </w:rPr>
        <w:t xml:space="preserve"> is amended</w:t>
      </w:r>
      <w:r w:rsidRPr="00B96F22">
        <w:rPr>
          <w:rFonts w:cstheme="minorHAnsi"/>
          <w:color w:val="EE0000"/>
        </w:rPr>
        <w:t xml:space="preserve"> to read in the Second Conference Report]</w:t>
      </w:r>
    </w:p>
    <w:p w14:paraId="3F38854A" w14:textId="44535C98" w:rsidR="00332C61" w:rsidRPr="00327387" w:rsidRDefault="00332C61" w:rsidP="001B7D20">
      <w:pPr>
        <w:suppressLineNumbers/>
        <w:ind w:left="720"/>
        <w:rPr>
          <w:rFonts w:cstheme="minorHAnsi"/>
        </w:rPr>
      </w:pPr>
      <w:r w:rsidRPr="00327387">
        <w:rPr>
          <w:rFonts w:cstheme="minorHAnsi"/>
        </w:rPr>
        <w:t>Subd. 4.  Any landlord who fails to</w:t>
      </w:r>
      <w:r w:rsidRPr="003F5B04">
        <w:rPr>
          <w:rFonts w:cstheme="minorHAnsi"/>
          <w:u w:val="single"/>
        </w:rPr>
        <w:t>: (1)</w:t>
      </w:r>
      <w:r w:rsidR="00E57AE6" w:rsidRPr="00327387">
        <w:rPr>
          <w:rFonts w:cstheme="minorHAnsi"/>
        </w:rPr>
        <w:t xml:space="preserve"> p</w:t>
      </w:r>
      <w:r w:rsidRPr="00327387">
        <w:rPr>
          <w:rFonts w:cstheme="minorHAnsi"/>
        </w:rPr>
        <w:t>rovide a written statement within three weeks of  termination of the tenancy;</w:t>
      </w:r>
      <w:r w:rsidR="00327387" w:rsidRPr="00327387">
        <w:rPr>
          <w:rFonts w:cstheme="minorHAnsi"/>
        </w:rPr>
        <w:t xml:space="preserve"> </w:t>
      </w:r>
      <w:r w:rsidR="00327387" w:rsidRPr="00327387">
        <w:rPr>
          <w:rFonts w:cstheme="minorHAnsi"/>
          <w:strike/>
        </w:rPr>
        <w:t>and</w:t>
      </w:r>
      <w:r w:rsidRPr="00327387">
        <w:rPr>
          <w:rFonts w:cstheme="minorHAnsi"/>
        </w:rPr>
        <w:t xml:space="preserve"> </w:t>
      </w:r>
      <w:r w:rsidRPr="00327387">
        <w:rPr>
          <w:rFonts w:cstheme="minorHAnsi"/>
          <w:u w:val="single"/>
        </w:rPr>
        <w:t>(2) provide a written statement within five days of the  date when the tenant leaves the building or dwelling due to the legal condemnation of the building or dwelling in which the tenant lives for reasons not due to willful, malicious, or irresponsible conduct of the tenant; or (3) transfer or return a deposit as required by subdivision 5,  after</w:t>
      </w:r>
      <w:r w:rsidRPr="00327387">
        <w:rPr>
          <w:rFonts w:cstheme="minorHAnsi"/>
        </w:rPr>
        <w:t xml:space="preserve"> receipt of the tenant's mailing address</w:t>
      </w:r>
      <w:r w:rsidR="00327387" w:rsidRPr="00327387">
        <w:rPr>
          <w:rFonts w:cstheme="minorHAnsi"/>
        </w:rPr>
        <w:t xml:space="preserve"> or delivery instructions, as required in subdivision 3, shall be liable to the tenant for damages in an amount equal to the portion of the deposit withheld by the landlord and interest thereon as provided in subdivision 2, as a penalty, in addition to the portion of the deposit wrongfully withheld by the landlord and interest thereon</w:t>
      </w:r>
      <w:r w:rsidR="00955339" w:rsidRPr="00327387">
        <w:rPr>
          <w:rFonts w:cstheme="minorHAnsi"/>
        </w:rPr>
        <w:t>.</w:t>
      </w:r>
      <w:r w:rsidR="00955339" w:rsidRPr="00327387">
        <w:rPr>
          <w:rStyle w:val="FootnoteReference"/>
          <w:rFonts w:cstheme="minorHAnsi"/>
        </w:rPr>
        <w:footnoteReference w:id="26"/>
      </w:r>
      <w:r w:rsidR="00955339" w:rsidRPr="00327387">
        <w:rPr>
          <w:rFonts w:cstheme="minorHAnsi"/>
        </w:rPr>
        <w:t xml:space="preserve">  </w:t>
      </w:r>
    </w:p>
    <w:p w14:paraId="23D39AFB" w14:textId="66590ACE" w:rsidR="008E6D2C" w:rsidRPr="00B96F22" w:rsidRDefault="00720423" w:rsidP="001B7D20">
      <w:pPr>
        <w:suppressLineNumbers/>
        <w:rPr>
          <w:rFonts w:ascii="Times New Roman" w:hAnsi="Times New Roman" w:cs="Times New Roman"/>
        </w:rPr>
      </w:pPr>
      <w:r w:rsidRPr="00B96F22">
        <w:rPr>
          <w:rFonts w:ascii="Times New Roman" w:hAnsi="Times New Roman" w:cs="Times New Roman"/>
        </w:rPr>
        <w:t>This merged version mostly used the tenant version of subdivision 4</w:t>
      </w:r>
      <w:r w:rsidR="00332C61" w:rsidRPr="00B96F22">
        <w:rPr>
          <w:rFonts w:ascii="Times New Roman" w:hAnsi="Times New Roman" w:cs="Times New Roman"/>
        </w:rPr>
        <w:t xml:space="preserve">. It added </w:t>
      </w:r>
      <w:r w:rsidRPr="00B96F22">
        <w:rPr>
          <w:rFonts w:ascii="Times New Roman" w:hAnsi="Times New Roman" w:cs="Times New Roman"/>
        </w:rPr>
        <w:t>the language about subdivision 5</w:t>
      </w:r>
      <w:r w:rsidR="00332C61" w:rsidRPr="00B96F22">
        <w:rPr>
          <w:rFonts w:ascii="Times New Roman" w:hAnsi="Times New Roman" w:cs="Times New Roman"/>
        </w:rPr>
        <w:t xml:space="preserve"> from the successors</w:t>
      </w:r>
      <w:r w:rsidR="00DF3882">
        <w:rPr>
          <w:rFonts w:ascii="Times New Roman" w:hAnsi="Times New Roman" w:cs="Times New Roman"/>
        </w:rPr>
        <w:t>’</w:t>
      </w:r>
      <w:r w:rsidR="00332C61" w:rsidRPr="00B96F22">
        <w:rPr>
          <w:rFonts w:ascii="Times New Roman" w:hAnsi="Times New Roman" w:cs="Times New Roman"/>
        </w:rPr>
        <w:t xml:space="preserve"> version</w:t>
      </w:r>
      <w:r w:rsidR="00DF3882">
        <w:rPr>
          <w:rFonts w:ascii="Times New Roman" w:hAnsi="Times New Roman" w:cs="Times New Roman"/>
        </w:rPr>
        <w:t xml:space="preserve"> (clause [3])</w:t>
      </w:r>
      <w:r w:rsidRPr="00B96F22">
        <w:rPr>
          <w:rFonts w:ascii="Times New Roman" w:hAnsi="Times New Roman" w:cs="Times New Roman"/>
        </w:rPr>
        <w:t xml:space="preserve"> but crucially dropp</w:t>
      </w:r>
      <w:r w:rsidR="00332C61" w:rsidRPr="00B96F22">
        <w:rPr>
          <w:rFonts w:ascii="Times New Roman" w:hAnsi="Times New Roman" w:cs="Times New Roman"/>
        </w:rPr>
        <w:t xml:space="preserve">ed </w:t>
      </w:r>
      <w:r w:rsidRPr="00B96F22">
        <w:rPr>
          <w:rFonts w:ascii="Times New Roman" w:hAnsi="Times New Roman" w:cs="Times New Roman"/>
        </w:rPr>
        <w:t xml:space="preserve">the “or the successor in interest” </w:t>
      </w:r>
      <w:r w:rsidR="001054EE" w:rsidRPr="00B96F22">
        <w:rPr>
          <w:rFonts w:ascii="Times New Roman" w:hAnsi="Times New Roman" w:cs="Times New Roman"/>
        </w:rPr>
        <w:t>phrase</w:t>
      </w:r>
      <w:r w:rsidRPr="00B96F22">
        <w:rPr>
          <w:rFonts w:ascii="Times New Roman" w:hAnsi="Times New Roman" w:cs="Times New Roman"/>
        </w:rPr>
        <w:t>.</w:t>
      </w:r>
    </w:p>
    <w:p w14:paraId="2F270D72" w14:textId="68AD0FFF" w:rsidR="002E6D90" w:rsidRDefault="00720423" w:rsidP="001B7D20">
      <w:pPr>
        <w:suppressLineNumbers/>
        <w:rPr>
          <w:rFonts w:ascii="Times New Roman" w:hAnsi="Times New Roman" w:cs="Times New Roman"/>
        </w:rPr>
      </w:pPr>
      <w:r w:rsidRPr="00B96F22">
        <w:rPr>
          <w:rFonts w:ascii="Times New Roman" w:hAnsi="Times New Roman" w:cs="Times New Roman"/>
        </w:rPr>
        <w:t xml:space="preserve">Both chambers passed the Second Conference Report, the governor signed it, and it became </w:t>
      </w:r>
      <w:hyperlink r:id="rId11" w:history="1">
        <w:r w:rsidR="00332C61" w:rsidRPr="00B96F22">
          <w:rPr>
            <w:rStyle w:val="Hyperlink"/>
            <w:rFonts w:ascii="Times New Roman" w:hAnsi="Times New Roman" w:cs="Times New Roman"/>
          </w:rPr>
          <w:t>1992 Minn. Laws c  376</w:t>
        </w:r>
      </w:hyperlink>
      <w:r w:rsidRPr="00B96F22">
        <w:rPr>
          <w:rFonts w:ascii="Times New Roman" w:hAnsi="Times New Roman" w:cs="Times New Roman"/>
        </w:rPr>
        <w:t>.</w:t>
      </w:r>
      <w:r w:rsidR="003319AA">
        <w:rPr>
          <w:rStyle w:val="FootnoteReference"/>
          <w:rFonts w:ascii="Times New Roman" w:hAnsi="Times New Roman" w:cs="Times New Roman"/>
        </w:rPr>
        <w:footnoteReference w:id="27"/>
      </w:r>
      <w:r w:rsidRPr="00B96F22">
        <w:rPr>
          <w:rFonts w:ascii="Times New Roman" w:hAnsi="Times New Roman" w:cs="Times New Roman"/>
        </w:rPr>
        <w:t xml:space="preserve"> </w:t>
      </w:r>
      <w:r w:rsidR="008E6D2C" w:rsidRPr="00B96F22">
        <w:rPr>
          <w:rFonts w:ascii="Times New Roman" w:hAnsi="Times New Roman" w:cs="Times New Roman"/>
        </w:rPr>
        <w:t xml:space="preserve">The security-deposit sections </w:t>
      </w:r>
      <w:r w:rsidR="007D1DC5" w:rsidRPr="00B96F22">
        <w:rPr>
          <w:rFonts w:ascii="Times New Roman" w:hAnsi="Times New Roman" w:cs="Times New Roman"/>
        </w:rPr>
        <w:t xml:space="preserve">are </w:t>
      </w:r>
      <w:r w:rsidR="008E6D2C" w:rsidRPr="00B96F22">
        <w:rPr>
          <w:rFonts w:ascii="Times New Roman" w:hAnsi="Times New Roman" w:cs="Times New Roman"/>
        </w:rPr>
        <w:t xml:space="preserve">at </w:t>
      </w:r>
      <w:hyperlink r:id="rId12" w:history="1">
        <w:r w:rsidR="008E6D2C" w:rsidRPr="00B96F22">
          <w:rPr>
            <w:rStyle w:val="Hyperlink"/>
            <w:rFonts w:ascii="Times New Roman" w:hAnsi="Times New Roman" w:cs="Times New Roman"/>
          </w:rPr>
          <w:t xml:space="preserve">1992 Minn. Laws </w:t>
        </w:r>
        <w:proofErr w:type="spellStart"/>
        <w:r w:rsidR="008E6D2C" w:rsidRPr="00B96F22">
          <w:rPr>
            <w:rStyle w:val="Hyperlink"/>
            <w:rFonts w:ascii="Times New Roman" w:hAnsi="Times New Roman" w:cs="Times New Roman"/>
          </w:rPr>
          <w:t>ch.</w:t>
        </w:r>
        <w:proofErr w:type="spellEnd"/>
        <w:r w:rsidR="008E6D2C" w:rsidRPr="00B96F22">
          <w:rPr>
            <w:rStyle w:val="Hyperlink"/>
            <w:rFonts w:ascii="Times New Roman" w:hAnsi="Times New Roman" w:cs="Times New Roman"/>
          </w:rPr>
          <w:t xml:space="preserve"> 376, art. 1, s.5-8</w:t>
        </w:r>
      </w:hyperlink>
      <w:r w:rsidR="008E6D2C" w:rsidRPr="00B96F22">
        <w:rPr>
          <w:rFonts w:ascii="Times New Roman" w:hAnsi="Times New Roman" w:cs="Times New Roman"/>
        </w:rPr>
        <w:t>.</w:t>
      </w:r>
    </w:p>
    <w:p w14:paraId="3E1DEDD1" w14:textId="586B8CA0" w:rsidR="006B7230" w:rsidRPr="006B7230" w:rsidRDefault="006B7230" w:rsidP="001B7D20">
      <w:pPr>
        <w:suppressLineNumbers/>
        <w:rPr>
          <w:rFonts w:ascii="Times New Roman" w:hAnsi="Times New Roman" w:cs="Times New Roman"/>
          <w:u w:val="single"/>
        </w:rPr>
      </w:pPr>
      <w:r w:rsidRPr="006B7230">
        <w:rPr>
          <w:rFonts w:ascii="Times New Roman" w:hAnsi="Times New Roman" w:cs="Times New Roman"/>
        </w:rPr>
        <w:tab/>
      </w:r>
      <w:r w:rsidRPr="006B7230">
        <w:rPr>
          <w:rFonts w:ascii="Times New Roman" w:hAnsi="Times New Roman" w:cs="Times New Roman"/>
          <w:u w:val="single"/>
        </w:rPr>
        <w:t>Summary of legislative history</w:t>
      </w:r>
    </w:p>
    <w:p w14:paraId="56ACBA3A" w14:textId="7003348C" w:rsidR="007D1DC5" w:rsidRPr="00B96F22" w:rsidRDefault="002E6D90" w:rsidP="001B7D20">
      <w:pPr>
        <w:suppressLineNumbers/>
        <w:rPr>
          <w:rFonts w:ascii="Times New Roman" w:hAnsi="Times New Roman" w:cs="Times New Roman"/>
        </w:rPr>
      </w:pPr>
      <w:r w:rsidRPr="00B96F22">
        <w:rPr>
          <w:rFonts w:ascii="Times New Roman" w:hAnsi="Times New Roman" w:cs="Times New Roman"/>
        </w:rPr>
        <w:t>In summary, a</w:t>
      </w:r>
      <w:r w:rsidR="00720423" w:rsidRPr="00B96F22">
        <w:rPr>
          <w:rFonts w:ascii="Times New Roman" w:hAnsi="Times New Roman" w:cs="Times New Roman"/>
        </w:rPr>
        <w:t xml:space="preserve">s to section 504.20, the </w:t>
      </w:r>
      <w:r w:rsidR="004E41FB" w:rsidRPr="00B96F22">
        <w:rPr>
          <w:rFonts w:ascii="Times New Roman" w:hAnsi="Times New Roman" w:cs="Times New Roman"/>
        </w:rPr>
        <w:t>successors got the change to “60 days” in subdivision 5</w:t>
      </w:r>
      <w:r w:rsidR="00C9477D">
        <w:rPr>
          <w:rFonts w:ascii="Times New Roman" w:hAnsi="Times New Roman" w:cs="Times New Roman"/>
        </w:rPr>
        <w:t xml:space="preserve"> and they</w:t>
      </w:r>
      <w:r w:rsidR="004E41FB" w:rsidRPr="00B96F22">
        <w:rPr>
          <w:rFonts w:ascii="Times New Roman" w:hAnsi="Times New Roman" w:cs="Times New Roman"/>
        </w:rPr>
        <w:t xml:space="preserve"> got the changes they wanted in subdivision 7, but they lost the doubling-penalty hammer they wanted in subdivision 4. </w:t>
      </w:r>
    </w:p>
    <w:p w14:paraId="5055FC88" w14:textId="0077299F" w:rsidR="00C9477D" w:rsidRPr="00E218F5" w:rsidRDefault="004E41FB" w:rsidP="00E218F5">
      <w:pPr>
        <w:suppressLineNumbers/>
        <w:rPr>
          <w:rFonts w:ascii="Times New Roman" w:hAnsi="Times New Roman" w:cs="Times New Roman"/>
        </w:rPr>
      </w:pPr>
      <w:r w:rsidRPr="00B96F22">
        <w:rPr>
          <w:rFonts w:ascii="Times New Roman" w:hAnsi="Times New Roman" w:cs="Times New Roman"/>
        </w:rPr>
        <w:t>The natural conclusion from this is that the legislature extended subdivision-7 bad faith penalties to successors</w:t>
      </w:r>
      <w:r w:rsidRPr="00B96F22">
        <w:rPr>
          <w:rStyle w:val="FootnoteReference"/>
          <w:rFonts w:ascii="Times New Roman" w:hAnsi="Times New Roman" w:cs="Times New Roman"/>
        </w:rPr>
        <w:footnoteReference w:id="28"/>
      </w:r>
      <w:r w:rsidRPr="00B96F22">
        <w:rPr>
          <w:rFonts w:ascii="Times New Roman" w:hAnsi="Times New Roman" w:cs="Times New Roman"/>
        </w:rPr>
        <w:t xml:space="preserve"> and extended those penalties </w:t>
      </w:r>
      <w:r w:rsidR="002E6D90" w:rsidRPr="00B96F22">
        <w:rPr>
          <w:rFonts w:ascii="Times New Roman" w:hAnsi="Times New Roman" w:cs="Times New Roman"/>
        </w:rPr>
        <w:t xml:space="preserve">from </w:t>
      </w:r>
      <w:r w:rsidR="00DF3882" w:rsidRPr="00BE1A4C">
        <w:rPr>
          <w:rFonts w:ascii="Times New Roman" w:hAnsi="Times New Roman" w:cs="Times New Roman"/>
        </w:rPr>
        <w:t>up to</w:t>
      </w:r>
      <w:r w:rsidR="002E6D90" w:rsidRPr="00B96F22">
        <w:rPr>
          <w:rFonts w:ascii="Times New Roman" w:hAnsi="Times New Roman" w:cs="Times New Roman"/>
        </w:rPr>
        <w:t xml:space="preserve"> $200 </w:t>
      </w:r>
      <w:r w:rsidRPr="00B96F22">
        <w:rPr>
          <w:rFonts w:ascii="Times New Roman" w:hAnsi="Times New Roman" w:cs="Times New Roman"/>
          <w:u w:val="single"/>
        </w:rPr>
        <w:t>per predecessor</w:t>
      </w:r>
      <w:r w:rsidR="002E6D90" w:rsidRPr="00B96F22">
        <w:rPr>
          <w:rFonts w:ascii="Times New Roman" w:hAnsi="Times New Roman" w:cs="Times New Roman"/>
        </w:rPr>
        <w:t xml:space="preserve"> to </w:t>
      </w:r>
      <w:r w:rsidR="00BE1A4C" w:rsidRPr="00BE1A4C">
        <w:rPr>
          <w:rFonts w:ascii="Times New Roman" w:hAnsi="Times New Roman" w:cs="Times New Roman"/>
        </w:rPr>
        <w:t>up to</w:t>
      </w:r>
      <w:r w:rsidR="00BE1A4C" w:rsidRPr="00B96F22">
        <w:rPr>
          <w:rFonts w:ascii="Times New Roman" w:hAnsi="Times New Roman" w:cs="Times New Roman"/>
        </w:rPr>
        <w:t xml:space="preserve"> </w:t>
      </w:r>
      <w:r w:rsidR="002E6D90" w:rsidRPr="00B96F22">
        <w:rPr>
          <w:rFonts w:ascii="Times New Roman" w:hAnsi="Times New Roman" w:cs="Times New Roman"/>
        </w:rPr>
        <w:t xml:space="preserve">$200 </w:t>
      </w:r>
      <w:r w:rsidR="002E6D90" w:rsidRPr="00B96F22">
        <w:rPr>
          <w:rFonts w:ascii="Times New Roman" w:hAnsi="Times New Roman" w:cs="Times New Roman"/>
          <w:u w:val="single"/>
        </w:rPr>
        <w:t>per deposit</w:t>
      </w:r>
      <w:r w:rsidR="002E6D90" w:rsidRPr="00B96F22">
        <w:rPr>
          <w:rFonts w:ascii="Times New Roman" w:hAnsi="Times New Roman" w:cs="Times New Roman"/>
        </w:rPr>
        <w:t>.</w:t>
      </w:r>
      <w:r w:rsidR="00B664C5" w:rsidRPr="00B96F22">
        <w:rPr>
          <w:rFonts w:ascii="Times New Roman" w:hAnsi="Times New Roman" w:cs="Times New Roman"/>
        </w:rPr>
        <w:t xml:space="preserve"> The plain-language analysis in </w:t>
      </w:r>
      <w:r w:rsidR="003F5B04">
        <w:rPr>
          <w:rFonts w:ascii="Times New Roman" w:hAnsi="Times New Roman" w:cs="Times New Roman"/>
        </w:rPr>
        <w:t>Part II.A</w:t>
      </w:r>
      <w:r w:rsidR="00B664C5" w:rsidRPr="00955339">
        <w:rPr>
          <w:rFonts w:ascii="Times New Roman" w:hAnsi="Times New Roman" w:cs="Times New Roman"/>
          <w:color w:val="EE0000"/>
        </w:rPr>
        <w:t xml:space="preserve"> </w:t>
      </w:r>
      <w:r w:rsidR="00B664C5" w:rsidRPr="00B96F22">
        <w:rPr>
          <w:rFonts w:ascii="Times New Roman" w:hAnsi="Times New Roman" w:cs="Times New Roman"/>
        </w:rPr>
        <w:t>is more than supported by legislative history.</w:t>
      </w:r>
      <w:r w:rsidR="00BE3441" w:rsidRPr="00B96F22">
        <w:rPr>
          <w:rFonts w:ascii="Times New Roman" w:hAnsi="Times New Roman" w:cs="Times New Roman"/>
        </w:rPr>
        <w:t xml:space="preserve"> The successor in interest has standing to </w:t>
      </w:r>
      <w:r w:rsidR="007D1DC5" w:rsidRPr="00B96F22">
        <w:rPr>
          <w:rFonts w:ascii="Times New Roman" w:hAnsi="Times New Roman" w:cs="Times New Roman"/>
        </w:rPr>
        <w:t>sue for</w:t>
      </w:r>
      <w:r w:rsidR="00BE3441" w:rsidRPr="00B96F22">
        <w:rPr>
          <w:rFonts w:ascii="Times New Roman" w:hAnsi="Times New Roman" w:cs="Times New Roman"/>
        </w:rPr>
        <w:t xml:space="preserve"> bad faith penalties under Minn. Stat.</w:t>
      </w:r>
      <w:r w:rsidR="007E5D3B">
        <w:rPr>
          <w:rFonts w:ascii="Times New Roman" w:hAnsi="Times New Roman" w:cs="Times New Roman"/>
        </w:rPr>
        <w:t xml:space="preserve"> §</w:t>
      </w:r>
      <w:r w:rsidR="00BE3441" w:rsidRPr="00B96F22">
        <w:rPr>
          <w:rFonts w:ascii="Times New Roman" w:hAnsi="Times New Roman" w:cs="Times New Roman"/>
        </w:rPr>
        <w:t xml:space="preserve">504.20, subd. 7 (1992) and thus under Minn. Stat. </w:t>
      </w:r>
      <w:r w:rsidR="007E5D3B">
        <w:rPr>
          <w:rFonts w:ascii="Times New Roman" w:hAnsi="Times New Roman" w:cs="Times New Roman"/>
        </w:rPr>
        <w:t>§</w:t>
      </w:r>
      <w:r w:rsidR="00BE3441" w:rsidRPr="00B96F22">
        <w:rPr>
          <w:rFonts w:ascii="Times New Roman" w:hAnsi="Times New Roman" w:cs="Times New Roman"/>
        </w:rPr>
        <w:t>504B.178, subd. 7 (2025</w:t>
      </w:r>
      <w:r w:rsidR="007D1DC5" w:rsidRPr="00B96F22">
        <w:rPr>
          <w:rFonts w:ascii="Times New Roman" w:hAnsi="Times New Roman" w:cs="Times New Roman"/>
        </w:rPr>
        <w:t>).</w:t>
      </w:r>
      <w:r w:rsidR="00C9477D">
        <w:rPr>
          <w:rFonts w:ascii="Times New Roman" w:hAnsi="Times New Roman" w:cs="Times New Roman"/>
          <w:b/>
          <w:bCs/>
        </w:rPr>
        <w:br w:type="page"/>
      </w:r>
    </w:p>
    <w:p w14:paraId="5C45B80E" w14:textId="6DEF136B" w:rsidR="00526011" w:rsidRPr="00EC059B" w:rsidRDefault="00C9477D" w:rsidP="001B7D20">
      <w:pPr>
        <w:suppressLineNumbers/>
        <w:rPr>
          <w:rFonts w:ascii="Times New Roman" w:hAnsi="Times New Roman" w:cs="Times New Roman"/>
          <w:b/>
          <w:bCs/>
        </w:rPr>
      </w:pPr>
      <w:r>
        <w:rPr>
          <w:rFonts w:ascii="Times New Roman" w:hAnsi="Times New Roman" w:cs="Times New Roman"/>
          <w:b/>
          <w:bCs/>
        </w:rPr>
        <w:lastRenderedPageBreak/>
        <w:t xml:space="preserve">III. </w:t>
      </w:r>
      <w:r w:rsidR="00526011" w:rsidRPr="00EC059B">
        <w:rPr>
          <w:rFonts w:ascii="Times New Roman" w:hAnsi="Times New Roman" w:cs="Times New Roman"/>
          <w:b/>
          <w:bCs/>
        </w:rPr>
        <w:t>THE COURT OF APPEALS</w:t>
      </w:r>
      <w:r w:rsidR="00EC059B">
        <w:rPr>
          <w:rFonts w:ascii="Times New Roman" w:hAnsi="Times New Roman" w:cs="Times New Roman"/>
          <w:b/>
          <w:bCs/>
        </w:rPr>
        <w:t>’</w:t>
      </w:r>
      <w:r w:rsidR="00526011" w:rsidRPr="00EC059B">
        <w:rPr>
          <w:rFonts w:ascii="Times New Roman" w:hAnsi="Times New Roman" w:cs="Times New Roman"/>
          <w:b/>
          <w:bCs/>
        </w:rPr>
        <w:t xml:space="preserve"> REASONING IN </w:t>
      </w:r>
      <w:r w:rsidR="00526011" w:rsidRPr="00C9477D">
        <w:rPr>
          <w:rFonts w:ascii="Times New Roman" w:hAnsi="Times New Roman" w:cs="Times New Roman"/>
          <w:b/>
          <w:bCs/>
          <w:i/>
          <w:iCs/>
        </w:rPr>
        <w:t>TOWNRIDGE V. SILVER CREST</w:t>
      </w:r>
      <w:r w:rsidR="00526011" w:rsidRPr="00EC059B">
        <w:rPr>
          <w:rFonts w:ascii="Times New Roman" w:hAnsi="Times New Roman" w:cs="Times New Roman"/>
          <w:b/>
          <w:bCs/>
        </w:rPr>
        <w:t xml:space="preserve"> WAS MISPLACED</w:t>
      </w:r>
    </w:p>
    <w:p w14:paraId="3F86C475" w14:textId="7E204876" w:rsidR="00B7139F" w:rsidRPr="00B96F22" w:rsidRDefault="00B7139F" w:rsidP="001B7D20">
      <w:pPr>
        <w:suppressLineNumbers/>
        <w:rPr>
          <w:rFonts w:ascii="Times New Roman" w:hAnsi="Times New Roman" w:cs="Times New Roman"/>
        </w:rPr>
      </w:pPr>
      <w:r w:rsidRPr="00B96F22">
        <w:rPr>
          <w:rFonts w:ascii="Times New Roman" w:hAnsi="Times New Roman" w:cs="Times New Roman"/>
        </w:rPr>
        <w:t xml:space="preserve">Why did the appellate court in </w:t>
      </w:r>
      <w:hyperlink r:id="rId13" w:tgtFrame="_blank" w:history="1">
        <w:r w:rsidRPr="00B96F22">
          <w:rPr>
            <w:rStyle w:val="Hyperlink"/>
            <w:rFonts w:ascii="Times New Roman" w:hAnsi="Times New Roman" w:cs="Times New Roman"/>
          </w:rPr>
          <w:t>Townridge Apts v Silver Crest Partnership, 1997 WL 769489, File No. C6-97-1002 (Minn. Ct. App. 12/16/1997) (nonprecedential)</w:t>
        </w:r>
      </w:hyperlink>
      <w:r w:rsidRPr="00B96F22">
        <w:rPr>
          <w:rFonts w:ascii="Times New Roman" w:hAnsi="Times New Roman" w:cs="Times New Roman"/>
        </w:rPr>
        <w:t xml:space="preserve"> decide otherwise? Here is what the court wrote:</w:t>
      </w:r>
    </w:p>
    <w:p w14:paraId="77024C69" w14:textId="77777777" w:rsidR="00B7139F" w:rsidRPr="00C9477D" w:rsidRDefault="00B7139F" w:rsidP="001B7D20">
      <w:pPr>
        <w:suppressLineNumbers/>
        <w:ind w:left="720"/>
        <w:rPr>
          <w:rFonts w:cstheme="minorHAnsi"/>
        </w:rPr>
      </w:pPr>
      <w:r w:rsidRPr="00C9477D">
        <w:rPr>
          <w:rFonts w:cstheme="minorHAnsi"/>
        </w:rPr>
        <w:t>A reading of the statute as a whole leads us to conclude that the provision allowing punitive damages was enacted to protect tenants rather than landlords who are their successors in interest. Minn. Stat. § 504.20, subd. 7, specifically refers to the punitive damages as being "in addition to the damages provided in subdivision 4." Under subdivision 4, a landlord is liable "to the tenant for damages." Minn. Stat. § 504.20, subd. 4 (1996).</w:t>
      </w:r>
    </w:p>
    <w:p w14:paraId="2E3A3CC6" w14:textId="77777777" w:rsidR="00B7139F" w:rsidRPr="00C9477D" w:rsidRDefault="00B7139F" w:rsidP="001B7D20">
      <w:pPr>
        <w:suppressLineNumbers/>
        <w:ind w:left="720"/>
        <w:rPr>
          <w:rFonts w:cstheme="minorHAnsi"/>
        </w:rPr>
      </w:pPr>
      <w:r w:rsidRPr="00C9477D">
        <w:rPr>
          <w:rFonts w:cstheme="minorHAnsi"/>
        </w:rPr>
        <w:t>Further, a basic presumption in ascertaining legislative intent leads us to conclude respondent is not entitled to an award of punitive damages. Because appellants violated the statute by returning the security deposits late, any aggrieved tenants could have sued for their deposits and included a request for punitive damages. Allowing respondent to recover punitive damages from appellants for the same deposits would be a result not reasonably intended by the legislature.</w:t>
      </w:r>
    </w:p>
    <w:p w14:paraId="606C9A52" w14:textId="5572292A" w:rsidR="00387C91" w:rsidRPr="00C9477D" w:rsidRDefault="00387C91" w:rsidP="001B7D20">
      <w:pPr>
        <w:suppressLineNumbers/>
        <w:ind w:left="720"/>
        <w:rPr>
          <w:rFonts w:cstheme="minorHAnsi"/>
        </w:rPr>
      </w:pPr>
      <w:r w:rsidRPr="00C9477D">
        <w:rPr>
          <w:rFonts w:cstheme="minorHAnsi"/>
        </w:rPr>
        <w:t>Because Minn. Stat. § 504.20 was enacted to protect tenants and punitive damages must be directed to the persons the statute was intended to protect, we reverse the district court's award of punitive damages to respondent under Minn. Stat. § 504.20, subd. 7.</w:t>
      </w:r>
    </w:p>
    <w:p w14:paraId="0B3A4FAD" w14:textId="77777777" w:rsidR="00B7139F" w:rsidRPr="00B96F22" w:rsidRDefault="00B7139F" w:rsidP="001B7D20">
      <w:pPr>
        <w:suppressLineNumbers/>
        <w:rPr>
          <w:rFonts w:ascii="Times New Roman" w:hAnsi="Times New Roman" w:cs="Times New Roman"/>
        </w:rPr>
      </w:pPr>
      <w:hyperlink r:id="rId14" w:history="1">
        <w:r w:rsidRPr="00B96F22">
          <w:rPr>
            <w:rStyle w:val="Hyperlink"/>
            <w:rFonts w:ascii="Times New Roman" w:hAnsi="Times New Roman" w:cs="Times New Roman"/>
          </w:rPr>
          <w:t>Id</w:t>
        </w:r>
      </w:hyperlink>
      <w:r w:rsidRPr="00B96F22">
        <w:rPr>
          <w:rFonts w:ascii="Times New Roman" w:hAnsi="Times New Roman" w:cs="Times New Roman"/>
        </w:rPr>
        <w:t xml:space="preserve">. at *3 (end of Part II). </w:t>
      </w:r>
    </w:p>
    <w:p w14:paraId="7AD95612" w14:textId="1BBA246F" w:rsidR="00C73893" w:rsidRPr="00B96F22" w:rsidRDefault="003F5B04" w:rsidP="001B7D20">
      <w:pPr>
        <w:suppressLineNumbers/>
        <w:rPr>
          <w:rFonts w:ascii="Times New Roman" w:hAnsi="Times New Roman" w:cs="Times New Roman"/>
        </w:rPr>
      </w:pPr>
      <w:r>
        <w:rPr>
          <w:rFonts w:ascii="Times New Roman" w:hAnsi="Times New Roman" w:cs="Times New Roman"/>
        </w:rPr>
        <w:t>The</w:t>
      </w:r>
      <w:r w:rsidR="00B7139F" w:rsidRPr="00B96F22">
        <w:rPr>
          <w:rFonts w:ascii="Times New Roman" w:hAnsi="Times New Roman" w:cs="Times New Roman"/>
        </w:rPr>
        <w:t xml:space="preserve"> </w:t>
      </w:r>
      <w:r w:rsidR="00B7139F" w:rsidRPr="00B96F22">
        <w:rPr>
          <w:rFonts w:ascii="Times New Roman" w:hAnsi="Times New Roman" w:cs="Times New Roman"/>
          <w:u w:val="single"/>
        </w:rPr>
        <w:t>Townridge</w:t>
      </w:r>
      <w:r w:rsidR="00B7139F" w:rsidRPr="00B96F22">
        <w:rPr>
          <w:rFonts w:ascii="Times New Roman" w:hAnsi="Times New Roman" w:cs="Times New Roman"/>
        </w:rPr>
        <w:t xml:space="preserve"> court was wrong about the import of the phrase "in addition to the damages provided in subdivision 4." </w:t>
      </w:r>
      <w:r w:rsidR="00B2467C" w:rsidRPr="00B96F22">
        <w:rPr>
          <w:rFonts w:ascii="Times New Roman" w:hAnsi="Times New Roman" w:cs="Times New Roman"/>
        </w:rPr>
        <w:t>Most</w:t>
      </w:r>
      <w:r w:rsidR="007B699A" w:rsidRPr="00B96F22">
        <w:rPr>
          <w:rFonts w:ascii="Times New Roman" w:hAnsi="Times New Roman" w:cs="Times New Roman"/>
        </w:rPr>
        <w:t xml:space="preserve"> important</w:t>
      </w:r>
      <w:r w:rsidR="00B2467C" w:rsidRPr="00B96F22">
        <w:rPr>
          <w:rFonts w:ascii="Times New Roman" w:hAnsi="Times New Roman" w:cs="Times New Roman"/>
        </w:rPr>
        <w:t>ly</w:t>
      </w:r>
      <w:r w:rsidR="007B699A" w:rsidRPr="00B96F22">
        <w:rPr>
          <w:rFonts w:ascii="Times New Roman" w:hAnsi="Times New Roman" w:cs="Times New Roman"/>
        </w:rPr>
        <w:t>, b</w:t>
      </w:r>
      <w:r w:rsidR="00B7139F" w:rsidRPr="00B96F22">
        <w:rPr>
          <w:rFonts w:ascii="Times New Roman" w:hAnsi="Times New Roman" w:cs="Times New Roman"/>
        </w:rPr>
        <w:t>ad-faith damages are usually awarded for reasons having nothing to do with subdivision 4. The most common reason for an award of subdivision-7, bad-faith punitive damages is the landlord’s deduction for false reasons (e.g., deducting for a broken oven that the landlord knew was not broken).</w:t>
      </w:r>
      <w:r w:rsidR="00C73893" w:rsidRPr="00B96F22">
        <w:rPr>
          <w:rStyle w:val="FootnoteReference"/>
          <w:rFonts w:ascii="Times New Roman" w:hAnsi="Times New Roman" w:cs="Times New Roman"/>
        </w:rPr>
        <w:footnoteReference w:id="29"/>
      </w:r>
      <w:r w:rsidR="00882E85" w:rsidRPr="00B96F22">
        <w:rPr>
          <w:rFonts w:ascii="Times New Roman" w:hAnsi="Times New Roman" w:cs="Times New Roman"/>
        </w:rPr>
        <w:t xml:space="preserve"> Under the </w:t>
      </w:r>
      <w:r w:rsidR="00882E85" w:rsidRPr="00B96F22">
        <w:rPr>
          <w:rFonts w:ascii="Times New Roman" w:hAnsi="Times New Roman" w:cs="Times New Roman"/>
          <w:u w:val="single"/>
        </w:rPr>
        <w:t>Townridge</w:t>
      </w:r>
      <w:r w:rsidR="00882E85" w:rsidRPr="00B96F22">
        <w:rPr>
          <w:rFonts w:ascii="Times New Roman" w:hAnsi="Times New Roman" w:cs="Times New Roman"/>
        </w:rPr>
        <w:t xml:space="preserve"> court’s reasoning a landlord who “accounts” for the deposit within three weeks and subtracts for obviously bogus reasons suffers no bad-faith penalty. That is an absurd reading of the statute. The phrase "in addition to the damages provided in subdivision 4” simply allows recovery for the bad-faith penalty whether or not the landlord is also punished for delay in accounting beyond three weeks.</w:t>
      </w:r>
    </w:p>
    <w:p w14:paraId="570F47DC" w14:textId="7F8B3264" w:rsidR="00B7139F" w:rsidRPr="00B96F22" w:rsidRDefault="00387C91" w:rsidP="001B7D20">
      <w:pPr>
        <w:suppressLineNumbers/>
        <w:rPr>
          <w:rFonts w:ascii="Times New Roman" w:hAnsi="Times New Roman" w:cs="Times New Roman"/>
        </w:rPr>
      </w:pPr>
      <w:r w:rsidRPr="00B96F22">
        <w:rPr>
          <w:rFonts w:ascii="Times New Roman" w:hAnsi="Times New Roman" w:cs="Times New Roman"/>
        </w:rPr>
        <w:t>Second, the</w:t>
      </w:r>
      <w:r w:rsidR="00B7139F" w:rsidRPr="00B96F22">
        <w:rPr>
          <w:rFonts w:ascii="Times New Roman" w:hAnsi="Times New Roman" w:cs="Times New Roman"/>
        </w:rPr>
        <w:t xml:space="preserve"> </w:t>
      </w:r>
      <w:r w:rsidR="00B7139F" w:rsidRPr="00B96F22">
        <w:rPr>
          <w:rFonts w:ascii="Times New Roman" w:hAnsi="Times New Roman" w:cs="Times New Roman"/>
          <w:u w:val="single"/>
        </w:rPr>
        <w:t>Townridge</w:t>
      </w:r>
      <w:r w:rsidR="00B7139F" w:rsidRPr="00B96F22">
        <w:rPr>
          <w:rFonts w:ascii="Times New Roman" w:hAnsi="Times New Roman" w:cs="Times New Roman"/>
        </w:rPr>
        <w:t xml:space="preserve"> court was also mistaken about the importance of the fact that “aggrieved tenants could have sued for their deposits and included a request for punitive damages.” That is </w:t>
      </w:r>
      <w:r w:rsidR="00B7139F" w:rsidRPr="00B96F22">
        <w:rPr>
          <w:rFonts w:ascii="Times New Roman" w:hAnsi="Times New Roman" w:cs="Times New Roman"/>
        </w:rPr>
        <w:lastRenderedPageBreak/>
        <w:t>not the problem Townridge faced. Its problem was that until Silver Crest turned over the deposits, Townridge had to reach into its own pocket for money to pay tenants instead of using the deposit money Silver Crest was unfairly withholding from Townridge.</w:t>
      </w:r>
    </w:p>
    <w:p w14:paraId="045348A1" w14:textId="512489F2" w:rsidR="00526011" w:rsidRPr="00B96F22" w:rsidRDefault="00387C91" w:rsidP="001B7D20">
      <w:pPr>
        <w:suppressLineNumbers/>
        <w:rPr>
          <w:rFonts w:ascii="Times New Roman" w:hAnsi="Times New Roman" w:cs="Times New Roman"/>
        </w:rPr>
      </w:pPr>
      <w:r w:rsidRPr="00B96F22">
        <w:rPr>
          <w:rFonts w:ascii="Times New Roman" w:hAnsi="Times New Roman" w:cs="Times New Roman"/>
        </w:rPr>
        <w:t>Third</w:t>
      </w:r>
      <w:r w:rsidR="00882E85" w:rsidRPr="00B96F22">
        <w:rPr>
          <w:rFonts w:ascii="Times New Roman" w:hAnsi="Times New Roman" w:cs="Times New Roman"/>
        </w:rPr>
        <w:t xml:space="preserve">, </w:t>
      </w:r>
      <w:r w:rsidRPr="00B96F22">
        <w:rPr>
          <w:rFonts w:ascii="Times New Roman" w:hAnsi="Times New Roman" w:cs="Times New Roman"/>
        </w:rPr>
        <w:t>a</w:t>
      </w:r>
      <w:r w:rsidR="00882E85" w:rsidRPr="00B96F22">
        <w:rPr>
          <w:rFonts w:ascii="Times New Roman" w:hAnsi="Times New Roman" w:cs="Times New Roman"/>
        </w:rPr>
        <w:t xml:space="preserve">llowing </w:t>
      </w:r>
      <w:r w:rsidRPr="00B96F22">
        <w:rPr>
          <w:rFonts w:ascii="Times New Roman" w:hAnsi="Times New Roman" w:cs="Times New Roman"/>
        </w:rPr>
        <w:t xml:space="preserve">both tenants and a successor </w:t>
      </w:r>
      <w:r w:rsidR="00882E85" w:rsidRPr="00B96F22">
        <w:rPr>
          <w:rFonts w:ascii="Times New Roman" w:hAnsi="Times New Roman" w:cs="Times New Roman"/>
        </w:rPr>
        <w:t xml:space="preserve">to recover punitive damages from </w:t>
      </w:r>
      <w:r w:rsidR="00C9477D">
        <w:rPr>
          <w:rFonts w:ascii="Times New Roman" w:hAnsi="Times New Roman" w:cs="Times New Roman"/>
        </w:rPr>
        <w:t>a</w:t>
      </w:r>
      <w:r w:rsidRPr="00B96F22">
        <w:rPr>
          <w:rFonts w:ascii="Times New Roman" w:hAnsi="Times New Roman" w:cs="Times New Roman"/>
        </w:rPr>
        <w:t xml:space="preserve"> predecessor who has violated the statute is perfectly reasonable</w:t>
      </w:r>
      <w:r w:rsidR="00882E85" w:rsidRPr="00B96F22">
        <w:rPr>
          <w:rFonts w:ascii="Times New Roman" w:hAnsi="Times New Roman" w:cs="Times New Roman"/>
        </w:rPr>
        <w:t>. If the predecessor violates the statute</w:t>
      </w:r>
      <w:r w:rsidRPr="00B96F22">
        <w:rPr>
          <w:rFonts w:ascii="Times New Roman" w:hAnsi="Times New Roman" w:cs="Times New Roman"/>
        </w:rPr>
        <w:t xml:space="preserve">, </w:t>
      </w:r>
      <w:r w:rsidR="00882E85" w:rsidRPr="00B96F22">
        <w:rPr>
          <w:rFonts w:ascii="Times New Roman" w:hAnsi="Times New Roman" w:cs="Times New Roman"/>
        </w:rPr>
        <w:t>why shouldn’t it be punished twice, once each by the person whose rights it violated?</w:t>
      </w:r>
      <w:r w:rsidR="00244969" w:rsidRPr="00B96F22">
        <w:rPr>
          <w:rFonts w:ascii="Times New Roman" w:hAnsi="Times New Roman" w:cs="Times New Roman"/>
        </w:rPr>
        <w:t xml:space="preserve"> </w:t>
      </w:r>
      <w:r w:rsidR="00882E85" w:rsidRPr="00B96F22">
        <w:rPr>
          <w:rFonts w:ascii="Times New Roman" w:hAnsi="Times New Roman" w:cs="Times New Roman"/>
        </w:rPr>
        <w:t>Moreover, subdivision 7 allows for a penalty “not to exceed $200 [now $500]” per deposit, not “$200</w:t>
      </w:r>
      <w:r w:rsidR="002827F5" w:rsidRPr="00B96F22">
        <w:rPr>
          <w:rFonts w:ascii="Times New Roman" w:hAnsi="Times New Roman" w:cs="Times New Roman"/>
        </w:rPr>
        <w:t xml:space="preserve"> [now $500]</w:t>
      </w:r>
      <w:r w:rsidR="00882E85" w:rsidRPr="00B96F22">
        <w:rPr>
          <w:rFonts w:ascii="Times New Roman" w:hAnsi="Times New Roman" w:cs="Times New Roman"/>
        </w:rPr>
        <w:t xml:space="preserve">” per deposit. A judge might well take into account multiple claimants and award either or </w:t>
      </w:r>
      <w:r w:rsidR="0004586A">
        <w:rPr>
          <w:rFonts w:ascii="Times New Roman" w:hAnsi="Times New Roman" w:cs="Times New Roman"/>
        </w:rPr>
        <w:t>both</w:t>
      </w:r>
      <w:r w:rsidR="00882E85" w:rsidRPr="00B96F22">
        <w:rPr>
          <w:rFonts w:ascii="Times New Roman" w:hAnsi="Times New Roman" w:cs="Times New Roman"/>
        </w:rPr>
        <w:t xml:space="preserve"> less than </w:t>
      </w:r>
      <w:r w:rsidR="002827F5" w:rsidRPr="00B96F22">
        <w:rPr>
          <w:rFonts w:ascii="Times New Roman" w:hAnsi="Times New Roman" w:cs="Times New Roman"/>
        </w:rPr>
        <w:t>the full $200 (now $500).</w:t>
      </w:r>
    </w:p>
    <w:p w14:paraId="2ECC86A8" w14:textId="44DB7FC5" w:rsidR="00387C91" w:rsidRPr="00B96F22" w:rsidRDefault="00387C91" w:rsidP="001B7D20">
      <w:pPr>
        <w:suppressLineNumbers/>
        <w:rPr>
          <w:rFonts w:ascii="Times New Roman" w:hAnsi="Times New Roman" w:cs="Times New Roman"/>
        </w:rPr>
      </w:pPr>
      <w:r w:rsidRPr="00B96F22">
        <w:rPr>
          <w:rFonts w:ascii="Times New Roman" w:hAnsi="Times New Roman" w:cs="Times New Roman"/>
        </w:rPr>
        <w:t>Finally, as the legislative history makes clear, part of the statute was enacted to protect successors. The statute is not just a tenant-protecting statute.</w:t>
      </w:r>
    </w:p>
    <w:p w14:paraId="062CF75C" w14:textId="01CCF4F7" w:rsidR="0021097D" w:rsidRDefault="00387C91" w:rsidP="001B7D20">
      <w:pPr>
        <w:suppressLineNumbers/>
        <w:rPr>
          <w:rFonts w:ascii="Times New Roman" w:hAnsi="Times New Roman" w:cs="Times New Roman"/>
        </w:rPr>
      </w:pPr>
      <w:r w:rsidRPr="00B96F22">
        <w:rPr>
          <w:rFonts w:ascii="Times New Roman" w:hAnsi="Times New Roman" w:cs="Times New Roman"/>
        </w:rPr>
        <w:t xml:space="preserve">In summary, the </w:t>
      </w:r>
      <w:r w:rsidRPr="00B96F22">
        <w:rPr>
          <w:rFonts w:ascii="Times New Roman" w:hAnsi="Times New Roman" w:cs="Times New Roman"/>
          <w:u w:val="single"/>
        </w:rPr>
        <w:t>Townridge</w:t>
      </w:r>
      <w:r w:rsidRPr="00B96F22">
        <w:rPr>
          <w:rFonts w:ascii="Times New Roman" w:hAnsi="Times New Roman" w:cs="Times New Roman"/>
        </w:rPr>
        <w:t xml:space="preserve"> case was wrongly decided and th</w:t>
      </w:r>
      <w:r w:rsidR="00984B70" w:rsidRPr="00B96F22">
        <w:rPr>
          <w:rFonts w:ascii="Times New Roman" w:hAnsi="Times New Roman" w:cs="Times New Roman"/>
        </w:rPr>
        <w:t>erefore</w:t>
      </w:r>
      <w:r w:rsidR="007C2C18" w:rsidRPr="00B96F22">
        <w:rPr>
          <w:rFonts w:ascii="Times New Roman" w:hAnsi="Times New Roman" w:cs="Times New Roman"/>
        </w:rPr>
        <w:t xml:space="preserve"> is</w:t>
      </w:r>
      <w:r w:rsidRPr="00B96F22">
        <w:rPr>
          <w:rFonts w:ascii="Times New Roman" w:hAnsi="Times New Roman" w:cs="Times New Roman"/>
        </w:rPr>
        <w:t xml:space="preserve"> not persuasive. As a nonprecedential</w:t>
      </w:r>
      <w:r w:rsidR="00984B70" w:rsidRPr="00B96F22">
        <w:rPr>
          <w:rFonts w:ascii="Times New Roman" w:hAnsi="Times New Roman" w:cs="Times New Roman"/>
        </w:rPr>
        <w:t xml:space="preserve"> </w:t>
      </w:r>
      <w:r w:rsidRPr="00B96F22">
        <w:rPr>
          <w:rFonts w:ascii="Times New Roman" w:hAnsi="Times New Roman" w:cs="Times New Roman"/>
        </w:rPr>
        <w:t>decision it should not be followed.</w:t>
      </w:r>
      <w:r w:rsidR="007C2C18" w:rsidRPr="00B96F22">
        <w:rPr>
          <w:rFonts w:ascii="Times New Roman" w:hAnsi="Times New Roman" w:cs="Times New Roman"/>
        </w:rPr>
        <w:t xml:space="preserve"> </w:t>
      </w:r>
      <w:hyperlink r:id="rId15" w:history="1">
        <w:r w:rsidR="007C2C18" w:rsidRPr="00B96F22">
          <w:rPr>
            <w:rStyle w:val="Hyperlink"/>
            <w:rFonts w:ascii="Times New Roman" w:hAnsi="Times New Roman" w:cs="Times New Roman"/>
            <w:i/>
            <w:iCs/>
          </w:rPr>
          <w:t>Dynamic Air, Inc. v. Bloch,</w:t>
        </w:r>
        <w:r w:rsidR="007C2C18" w:rsidRPr="00B96F22">
          <w:rPr>
            <w:rStyle w:val="Hyperlink"/>
            <w:rFonts w:ascii="Times New Roman" w:hAnsi="Times New Roman" w:cs="Times New Roman"/>
          </w:rPr>
          <w:t xml:space="preserve"> 502 N.W.2d 796, 800-01 (Minn. App. 1993)</w:t>
        </w:r>
      </w:hyperlink>
      <w:r w:rsidR="007C2C18" w:rsidRPr="00B96F22">
        <w:rPr>
          <w:rFonts w:ascii="Times New Roman" w:hAnsi="Times New Roman" w:cs="Times New Roman"/>
        </w:rPr>
        <w:t xml:space="preserve"> (“Unpublished [now called nonprecedential] opinions of the Court of Appeals are not precedential.… At best, these opinions can be of persuasive value.”)</w:t>
      </w:r>
      <w:r w:rsidR="00666228">
        <w:rPr>
          <w:rFonts w:ascii="Times New Roman" w:hAnsi="Times New Roman" w:cs="Times New Roman"/>
        </w:rPr>
        <w:t>.</w:t>
      </w:r>
    </w:p>
    <w:p w14:paraId="74003B01" w14:textId="2693FC3B" w:rsidR="00666228" w:rsidRPr="00B11809" w:rsidRDefault="00C9477D" w:rsidP="001B7D20">
      <w:pPr>
        <w:suppressLineNumbers/>
        <w:rPr>
          <w:rFonts w:ascii="Times New Roman" w:hAnsi="Times New Roman" w:cs="Times New Roman"/>
          <w:b/>
          <w:bCs/>
        </w:rPr>
      </w:pPr>
      <w:r>
        <w:rPr>
          <w:rFonts w:ascii="Times New Roman" w:hAnsi="Times New Roman" w:cs="Times New Roman"/>
          <w:b/>
          <w:bCs/>
        </w:rPr>
        <w:t xml:space="preserve">IV. </w:t>
      </w:r>
      <w:r w:rsidR="00666228" w:rsidRPr="00B11809">
        <w:rPr>
          <w:rFonts w:ascii="Times New Roman" w:hAnsi="Times New Roman" w:cs="Times New Roman"/>
          <w:b/>
          <w:bCs/>
        </w:rPr>
        <w:t>CONCLUSION</w:t>
      </w:r>
    </w:p>
    <w:p w14:paraId="6C5F731C" w14:textId="0E469F57" w:rsidR="00666228" w:rsidRDefault="00666228" w:rsidP="001B7D20">
      <w:pPr>
        <w:suppressLineNumbers/>
        <w:rPr>
          <w:rFonts w:ascii="Times New Roman" w:hAnsi="Times New Roman" w:cs="Times New Roman"/>
        </w:rPr>
      </w:pPr>
      <w:r>
        <w:rPr>
          <w:rFonts w:ascii="Times New Roman" w:hAnsi="Times New Roman" w:cs="Times New Roman"/>
        </w:rPr>
        <w:t xml:space="preserve">The plain language of </w:t>
      </w:r>
      <w:r w:rsidR="00B11809" w:rsidRPr="00B96F22">
        <w:rPr>
          <w:rFonts w:ascii="Times New Roman" w:hAnsi="Times New Roman" w:cs="Times New Roman"/>
        </w:rPr>
        <w:t>Minn. Stat. §50</w:t>
      </w:r>
      <w:r w:rsidR="00B11809">
        <w:rPr>
          <w:rFonts w:ascii="Times New Roman" w:hAnsi="Times New Roman" w:cs="Times New Roman"/>
        </w:rPr>
        <w:t>4B.178,</w:t>
      </w:r>
      <w:r w:rsidR="00B11809" w:rsidRPr="00B96F22">
        <w:rPr>
          <w:rFonts w:ascii="Times New Roman" w:hAnsi="Times New Roman" w:cs="Times New Roman"/>
        </w:rPr>
        <w:t xml:space="preserve"> subd. </w:t>
      </w:r>
      <w:r w:rsidR="00B11809">
        <w:rPr>
          <w:rFonts w:ascii="Times New Roman" w:hAnsi="Times New Roman" w:cs="Times New Roman"/>
        </w:rPr>
        <w:t>5 gives</w:t>
      </w:r>
      <w:r>
        <w:rPr>
          <w:rFonts w:ascii="Times New Roman" w:hAnsi="Times New Roman" w:cs="Times New Roman"/>
        </w:rPr>
        <w:t xml:space="preserve"> successors</w:t>
      </w:r>
      <w:r w:rsidR="00A93B2C">
        <w:rPr>
          <w:rFonts w:ascii="Times New Roman" w:hAnsi="Times New Roman" w:cs="Times New Roman"/>
        </w:rPr>
        <w:t xml:space="preserve"> in interest</w:t>
      </w:r>
      <w:r>
        <w:rPr>
          <w:rFonts w:ascii="Times New Roman" w:hAnsi="Times New Roman" w:cs="Times New Roman"/>
        </w:rPr>
        <w:t xml:space="preserve"> a claim</w:t>
      </w:r>
      <w:r w:rsidR="00B11809">
        <w:rPr>
          <w:rFonts w:ascii="Times New Roman" w:hAnsi="Times New Roman" w:cs="Times New Roman"/>
        </w:rPr>
        <w:t xml:space="preserve"> against predecessors in interest</w:t>
      </w:r>
      <w:r w:rsidR="00A93B2C">
        <w:rPr>
          <w:rFonts w:ascii="Times New Roman" w:hAnsi="Times New Roman" w:cs="Times New Roman"/>
        </w:rPr>
        <w:t xml:space="preserve"> </w:t>
      </w:r>
      <w:r w:rsidR="003D0754">
        <w:rPr>
          <w:rFonts w:ascii="Times New Roman" w:hAnsi="Times New Roman" w:cs="Times New Roman"/>
        </w:rPr>
        <w:t>when</w:t>
      </w:r>
      <w:r w:rsidR="00A93B2C">
        <w:rPr>
          <w:rFonts w:ascii="Times New Roman" w:hAnsi="Times New Roman" w:cs="Times New Roman"/>
        </w:rPr>
        <w:t xml:space="preserve"> a</w:t>
      </w:r>
      <w:r w:rsidR="00B11809">
        <w:rPr>
          <w:rFonts w:ascii="Times New Roman" w:hAnsi="Times New Roman" w:cs="Times New Roman"/>
        </w:rPr>
        <w:t xml:space="preserve"> predecessor retains deposits in violation of that subdivision. It follows that successors are proper claimants under </w:t>
      </w:r>
      <w:r w:rsidR="00B11809" w:rsidRPr="00B96F22">
        <w:rPr>
          <w:rFonts w:ascii="Times New Roman" w:hAnsi="Times New Roman" w:cs="Times New Roman"/>
        </w:rPr>
        <w:t>Minn. Stat. §50</w:t>
      </w:r>
      <w:r w:rsidR="00B11809">
        <w:rPr>
          <w:rFonts w:ascii="Times New Roman" w:hAnsi="Times New Roman" w:cs="Times New Roman"/>
        </w:rPr>
        <w:t>4B.178,</w:t>
      </w:r>
      <w:r w:rsidR="00B11809" w:rsidRPr="00B96F22">
        <w:rPr>
          <w:rFonts w:ascii="Times New Roman" w:hAnsi="Times New Roman" w:cs="Times New Roman"/>
        </w:rPr>
        <w:t xml:space="preserve"> subd. </w:t>
      </w:r>
      <w:r w:rsidR="00B11809">
        <w:rPr>
          <w:rFonts w:ascii="Times New Roman" w:hAnsi="Times New Roman" w:cs="Times New Roman"/>
        </w:rPr>
        <w:t>7 because subdivision 7 allows claimants under subdivision 5 (as well as other parts of section 504B.178)</w:t>
      </w:r>
      <w:r w:rsidR="00A93B2C">
        <w:rPr>
          <w:rFonts w:ascii="Times New Roman" w:hAnsi="Times New Roman" w:cs="Times New Roman"/>
        </w:rPr>
        <w:t xml:space="preserve"> </w:t>
      </w:r>
      <w:r w:rsidR="00B11809">
        <w:rPr>
          <w:rFonts w:ascii="Times New Roman" w:hAnsi="Times New Roman" w:cs="Times New Roman"/>
        </w:rPr>
        <w:t>to sue for bad-faith punitive damages</w:t>
      </w:r>
      <w:r w:rsidR="00A93B2C">
        <w:rPr>
          <w:rFonts w:ascii="Times New Roman" w:hAnsi="Times New Roman" w:cs="Times New Roman"/>
        </w:rPr>
        <w:t>.</w:t>
      </w:r>
    </w:p>
    <w:p w14:paraId="500A02AA" w14:textId="145DDBDA" w:rsidR="00B11809" w:rsidRDefault="00B11809" w:rsidP="001B7D20">
      <w:pPr>
        <w:suppressLineNumbers/>
        <w:rPr>
          <w:rFonts w:ascii="Times New Roman" w:hAnsi="Times New Roman" w:cs="Times New Roman"/>
        </w:rPr>
      </w:pPr>
      <w:r>
        <w:rPr>
          <w:rFonts w:ascii="Times New Roman" w:hAnsi="Times New Roman" w:cs="Times New Roman"/>
        </w:rPr>
        <w:t xml:space="preserve">The legislative history from the 77th legislative session confirms this conclusion. The 1992 amendments to subdivisions 5 and 7 promoted by successors were intended to achieve </w:t>
      </w:r>
      <w:r w:rsidR="00A93B2C">
        <w:rPr>
          <w:rFonts w:ascii="Times New Roman" w:hAnsi="Times New Roman" w:cs="Times New Roman"/>
        </w:rPr>
        <w:t>that goal</w:t>
      </w:r>
      <w:r>
        <w:rPr>
          <w:rFonts w:ascii="Times New Roman" w:hAnsi="Times New Roman" w:cs="Times New Roman"/>
        </w:rPr>
        <w:t xml:space="preserve"> and did achieve </w:t>
      </w:r>
      <w:r w:rsidR="00A93B2C">
        <w:rPr>
          <w:rFonts w:ascii="Times New Roman" w:hAnsi="Times New Roman" w:cs="Times New Roman"/>
        </w:rPr>
        <w:t>it</w:t>
      </w:r>
      <w:r>
        <w:rPr>
          <w:rFonts w:ascii="Times New Roman" w:hAnsi="Times New Roman" w:cs="Times New Roman"/>
        </w:rPr>
        <w:t>.</w:t>
      </w:r>
    </w:p>
    <w:p w14:paraId="50B8A2BA" w14:textId="6E06DBDC" w:rsidR="0021097D" w:rsidRDefault="005F017D" w:rsidP="006873B2">
      <w:pPr>
        <w:suppressLineNumbers/>
        <w:rPr>
          <w:rFonts w:ascii="Times New Roman" w:hAnsi="Times New Roman" w:cs="Times New Roman"/>
        </w:rPr>
      </w:pPr>
      <w:r>
        <w:rPr>
          <w:rFonts w:ascii="Times New Roman" w:hAnsi="Times New Roman" w:cs="Times New Roman"/>
        </w:rPr>
        <w:t xml:space="preserve">Therefore, </w:t>
      </w:r>
      <w:hyperlink r:id="rId16" w:tgtFrame="_blank" w:history="1">
        <w:r w:rsidRPr="00B9694C">
          <w:rPr>
            <w:rStyle w:val="Hyperlink"/>
            <w:rFonts w:ascii="Times New Roman" w:hAnsi="Times New Roman" w:cs="Times New Roman"/>
            <w:i/>
            <w:iCs/>
          </w:rPr>
          <w:t>Townridge Apts v Silver Crest Partnership</w:t>
        </w:r>
        <w:r w:rsidRPr="00FD1C7D">
          <w:rPr>
            <w:rStyle w:val="Hyperlink"/>
            <w:rFonts w:ascii="Times New Roman" w:hAnsi="Times New Roman" w:cs="Times New Roman"/>
          </w:rPr>
          <w:t>, File No. C6-97-1002 (Minn. Ct. App. 12/16/1997) (</w:t>
        </w:r>
        <w:r>
          <w:rPr>
            <w:rStyle w:val="Hyperlink"/>
            <w:rFonts w:ascii="Times New Roman" w:hAnsi="Times New Roman" w:cs="Times New Roman"/>
          </w:rPr>
          <w:t>nonprecedential</w:t>
        </w:r>
        <w:r w:rsidRPr="00FD1C7D">
          <w:rPr>
            <w:rStyle w:val="Hyperlink"/>
            <w:rFonts w:ascii="Times New Roman" w:hAnsi="Times New Roman" w:cs="Times New Roman"/>
          </w:rPr>
          <w:t>)</w:t>
        </w:r>
      </w:hyperlink>
      <w:r>
        <w:rPr>
          <w:rFonts w:ascii="Times New Roman" w:hAnsi="Times New Roman" w:cs="Times New Roman"/>
        </w:rPr>
        <w:t>, holding that successors had no standing under subdivision 7</w:t>
      </w:r>
      <w:r w:rsidR="00A93B2C">
        <w:rPr>
          <w:rFonts w:ascii="Times New Roman" w:hAnsi="Times New Roman" w:cs="Times New Roman"/>
        </w:rPr>
        <w:t>,</w:t>
      </w:r>
      <w:r>
        <w:rPr>
          <w:rFonts w:ascii="Times New Roman" w:hAnsi="Times New Roman" w:cs="Times New Roman"/>
        </w:rPr>
        <w:t xml:space="preserve"> was </w:t>
      </w:r>
      <w:r w:rsidR="00C33C17">
        <w:rPr>
          <w:rFonts w:ascii="Times New Roman" w:hAnsi="Times New Roman" w:cs="Times New Roman"/>
        </w:rPr>
        <w:t>wrongly decided.</w:t>
      </w:r>
      <w:r w:rsidR="0021097D">
        <w:rPr>
          <w:rFonts w:ascii="Times New Roman" w:hAnsi="Times New Roman" w:cs="Times New Roman"/>
        </w:rPr>
        <w:br w:type="page"/>
      </w:r>
    </w:p>
    <w:p w14:paraId="1F044735" w14:textId="022C7055" w:rsidR="00CC4BE9" w:rsidRPr="00CC4BE9" w:rsidRDefault="00CC4BE9" w:rsidP="001B7D20">
      <w:pPr>
        <w:suppressLineNumbers/>
        <w:jc w:val="center"/>
        <w:rPr>
          <w:rFonts w:ascii="Times New Roman" w:hAnsi="Times New Roman" w:cs="Times New Roman"/>
          <w:b/>
          <w:bCs/>
        </w:rPr>
      </w:pPr>
      <w:r w:rsidRPr="00CC4BE9">
        <w:rPr>
          <w:rFonts w:ascii="Times New Roman" w:hAnsi="Times New Roman" w:cs="Times New Roman"/>
          <w:b/>
          <w:bCs/>
        </w:rPr>
        <w:lastRenderedPageBreak/>
        <w:t>ENDNOTE 1</w:t>
      </w:r>
    </w:p>
    <w:p w14:paraId="4EEDA4D3" w14:textId="1B0D9A93" w:rsidR="00CC4BE9" w:rsidRPr="00CC4BE9" w:rsidRDefault="00CC4BE9" w:rsidP="001B7D20">
      <w:pPr>
        <w:suppressLineNumbers/>
        <w:jc w:val="center"/>
        <w:rPr>
          <w:rFonts w:ascii="Times New Roman" w:hAnsi="Times New Roman" w:cs="Times New Roman"/>
          <w:b/>
          <w:bCs/>
        </w:rPr>
      </w:pPr>
      <w:r w:rsidRPr="00CC4BE9">
        <w:rPr>
          <w:rFonts w:ascii="Times New Roman" w:hAnsi="Times New Roman" w:cs="Times New Roman"/>
          <w:b/>
          <w:bCs/>
        </w:rPr>
        <w:t>COMMITTEE TESTIMONY BY TENANT ADVOCATES</w:t>
      </w:r>
      <w:r w:rsidR="009040CD">
        <w:rPr>
          <w:rFonts w:ascii="Times New Roman" w:hAnsi="Times New Roman" w:cs="Times New Roman"/>
          <w:b/>
          <w:bCs/>
        </w:rPr>
        <w:t xml:space="preserve"> AND RELATED</w:t>
      </w:r>
      <w:r w:rsidR="00B9694C">
        <w:rPr>
          <w:rFonts w:ascii="Times New Roman" w:hAnsi="Times New Roman" w:cs="Times New Roman"/>
          <w:b/>
          <w:bCs/>
        </w:rPr>
        <w:t xml:space="preserve"> BILL SUMMARY BY</w:t>
      </w:r>
      <w:r w:rsidR="009040CD">
        <w:rPr>
          <w:rFonts w:ascii="Times New Roman" w:hAnsi="Times New Roman" w:cs="Times New Roman"/>
          <w:b/>
          <w:bCs/>
        </w:rPr>
        <w:t xml:space="preserve"> S</w:t>
      </w:r>
      <w:r w:rsidR="00B9694C">
        <w:rPr>
          <w:rFonts w:ascii="Times New Roman" w:hAnsi="Times New Roman" w:cs="Times New Roman"/>
          <w:b/>
          <w:bCs/>
        </w:rPr>
        <w:t>ENATE-S</w:t>
      </w:r>
      <w:r w:rsidR="009040CD">
        <w:rPr>
          <w:rFonts w:ascii="Times New Roman" w:hAnsi="Times New Roman" w:cs="Times New Roman"/>
          <w:b/>
          <w:bCs/>
        </w:rPr>
        <w:t>TAFF</w:t>
      </w:r>
      <w:r w:rsidR="00B9694C">
        <w:rPr>
          <w:rFonts w:ascii="Times New Roman" w:hAnsi="Times New Roman" w:cs="Times New Roman"/>
          <w:b/>
          <w:bCs/>
        </w:rPr>
        <w:t xml:space="preserve"> </w:t>
      </w:r>
      <w:r w:rsidR="009040CD">
        <w:rPr>
          <w:rFonts w:ascii="Times New Roman" w:hAnsi="Times New Roman" w:cs="Times New Roman"/>
          <w:b/>
          <w:bCs/>
        </w:rPr>
        <w:t xml:space="preserve">COUNSEL </w:t>
      </w:r>
    </w:p>
    <w:p w14:paraId="3F3704C5" w14:textId="43F1A548" w:rsidR="00CC4BE9" w:rsidRDefault="00CC4BE9" w:rsidP="001B7D20">
      <w:pPr>
        <w:suppressLineNumbers/>
        <w:rPr>
          <w:rFonts w:ascii="Times New Roman" w:hAnsi="Times New Roman" w:cs="Times New Roman"/>
        </w:rPr>
      </w:pPr>
      <w:r>
        <w:rPr>
          <w:rFonts w:ascii="Times New Roman" w:hAnsi="Times New Roman" w:cs="Times New Roman"/>
        </w:rPr>
        <w:t xml:space="preserve">As fully set out </w:t>
      </w:r>
      <w:r w:rsidR="00EC059B">
        <w:rPr>
          <w:rFonts w:ascii="Times New Roman" w:hAnsi="Times New Roman" w:cs="Times New Roman"/>
        </w:rPr>
        <w:t xml:space="preserve">in </w:t>
      </w:r>
      <w:hyperlink r:id="rId17" w:history="1">
        <w:r w:rsidR="00EC059B" w:rsidRPr="00ED6801">
          <w:rPr>
            <w:rStyle w:val="Hyperlink"/>
            <w:rFonts w:ascii="Times New Roman" w:hAnsi="Times New Roman" w:cs="Times New Roman"/>
            <w:bCs/>
          </w:rPr>
          <w:t>Appendix LH 1992-376</w:t>
        </w:r>
      </w:hyperlink>
      <w:r>
        <w:rPr>
          <w:rFonts w:ascii="Times New Roman" w:hAnsi="Times New Roman" w:cs="Times New Roman"/>
        </w:rPr>
        <w:t xml:space="preserve">, the final bill, SF </w:t>
      </w:r>
      <w:r w:rsidR="0037251D">
        <w:rPr>
          <w:rFonts w:ascii="Times New Roman" w:hAnsi="Times New Roman" w:cs="Times New Roman"/>
        </w:rPr>
        <w:t>720</w:t>
      </w:r>
      <w:r>
        <w:rPr>
          <w:rFonts w:ascii="Times New Roman" w:hAnsi="Times New Roman" w:cs="Times New Roman"/>
        </w:rPr>
        <w:t>, that became law, was a very large housing bill that incorporated other large housing bills, including HF 714 and SF 915. The relevant committee testimony about the Article 1 security-deposit provisions</w:t>
      </w:r>
      <w:r w:rsidR="00AA3325">
        <w:rPr>
          <w:rFonts w:ascii="Times New Roman" w:hAnsi="Times New Roman" w:cs="Times New Roman"/>
        </w:rPr>
        <w:t xml:space="preserve"> promoted by the tenants </w:t>
      </w:r>
      <w:r w:rsidR="009040CD">
        <w:rPr>
          <w:rFonts w:ascii="Times New Roman" w:hAnsi="Times New Roman" w:cs="Times New Roman"/>
        </w:rPr>
        <w:t>was</w:t>
      </w:r>
      <w:r w:rsidR="00AA3325">
        <w:rPr>
          <w:rFonts w:ascii="Times New Roman" w:hAnsi="Times New Roman" w:cs="Times New Roman"/>
        </w:rPr>
        <w:t xml:space="preserve"> made during mark-up of HF 714 and SF 915. Below are transcripts of the testimonies, both brief.</w:t>
      </w:r>
      <w:r w:rsidR="008B7695" w:rsidRPr="008B7695">
        <w:rPr>
          <w:rStyle w:val="FootnoteReference"/>
          <w:rFonts w:ascii="Times New Roman" w:hAnsi="Times New Roman" w:cs="Times New Roman"/>
          <w:b/>
          <w:bCs/>
        </w:rPr>
        <w:t xml:space="preserve"> </w:t>
      </w:r>
      <w:r w:rsidR="008B7695">
        <w:rPr>
          <w:rStyle w:val="FootnoteReference"/>
          <w:rFonts w:ascii="Times New Roman" w:hAnsi="Times New Roman" w:cs="Times New Roman"/>
          <w:b/>
          <w:bCs/>
        </w:rPr>
        <w:footnoteReference w:id="30"/>
      </w:r>
    </w:p>
    <w:p w14:paraId="42B54DB5" w14:textId="240C9D73" w:rsidR="00A379CB" w:rsidRDefault="00B90D07" w:rsidP="001B7D20">
      <w:pPr>
        <w:suppressLineNumbers/>
        <w:jc w:val="center"/>
        <w:rPr>
          <w:rFonts w:ascii="Times New Roman" w:hAnsi="Times New Roman" w:cs="Times New Roman"/>
          <w:b/>
          <w:bCs/>
        </w:rPr>
      </w:pPr>
      <w:r w:rsidRPr="00B90D07">
        <w:rPr>
          <w:rFonts w:ascii="Times New Roman" w:hAnsi="Times New Roman" w:cs="Times New Roman"/>
          <w:b/>
          <w:bCs/>
          <w:lang w:val="en-CA"/>
        </w:rPr>
        <w:t>Senate</w:t>
      </w:r>
      <w:r w:rsidRPr="00B90D07">
        <w:rPr>
          <w:rFonts w:ascii="Times New Roman" w:hAnsi="Times New Roman" w:cs="Times New Roman"/>
          <w:b/>
          <w:bCs/>
        </w:rPr>
        <w:t xml:space="preserve"> Committee on Economic Development</w:t>
      </w:r>
      <w:r w:rsidR="00A379CB">
        <w:rPr>
          <w:rFonts w:ascii="Times New Roman" w:hAnsi="Times New Roman" w:cs="Times New Roman"/>
          <w:b/>
          <w:bCs/>
        </w:rPr>
        <w:t xml:space="preserve"> </w:t>
      </w:r>
      <w:r w:rsidRPr="00B90D07">
        <w:rPr>
          <w:rFonts w:ascii="Times New Roman" w:hAnsi="Times New Roman" w:cs="Times New Roman"/>
          <w:b/>
          <w:bCs/>
        </w:rPr>
        <w:t>on March 25, 199</w:t>
      </w:r>
      <w:r w:rsidR="00230B89">
        <w:rPr>
          <w:rFonts w:ascii="Times New Roman" w:hAnsi="Times New Roman" w:cs="Times New Roman"/>
          <w:b/>
          <w:bCs/>
        </w:rPr>
        <w:t>1</w:t>
      </w:r>
    </w:p>
    <w:p w14:paraId="02696302" w14:textId="7B5349DE" w:rsidR="00B90D07" w:rsidRPr="00B90D07" w:rsidRDefault="00B90D07" w:rsidP="001B7D20">
      <w:pPr>
        <w:suppressLineNumbers/>
        <w:rPr>
          <w:rFonts w:ascii="Times New Roman" w:hAnsi="Times New Roman" w:cs="Times New Roman"/>
          <w:b/>
          <w:bCs/>
        </w:rPr>
      </w:pPr>
      <w:r w:rsidRPr="00B90D07">
        <w:rPr>
          <w:rFonts w:ascii="Times New Roman" w:hAnsi="Times New Roman" w:cs="Times New Roman"/>
          <w:b/>
          <w:bCs/>
        </w:rPr>
        <w:t>Testimony by Senator Larry Pogemiller, chief author of SF 915, regarding the security-deposit sections.</w:t>
      </w:r>
    </w:p>
    <w:p w14:paraId="60B7D6A2" w14:textId="0FEC04F1" w:rsidR="00B90D07" w:rsidRPr="00B90D07" w:rsidRDefault="00B90D07" w:rsidP="001B7D20">
      <w:pPr>
        <w:suppressLineNumbers/>
        <w:rPr>
          <w:rFonts w:ascii="Times New Roman" w:hAnsi="Times New Roman" w:cs="Times New Roman"/>
        </w:rPr>
      </w:pPr>
      <w:r w:rsidRPr="00B90D07">
        <w:rPr>
          <w:rFonts w:ascii="Times New Roman" w:hAnsi="Times New Roman" w:cs="Times New Roman"/>
        </w:rPr>
        <w:t>Here is his entire presentation on the subject (there were no follow up questions or comments):</w:t>
      </w:r>
    </w:p>
    <w:p w14:paraId="07B1FC11" w14:textId="0BC10D9F" w:rsidR="00B90D07" w:rsidRDefault="00B90D07" w:rsidP="001B7D20">
      <w:pPr>
        <w:suppressLineNumbers/>
        <w:ind w:left="720"/>
        <w:rPr>
          <w:rFonts w:ascii="Times New Roman" w:hAnsi="Times New Roman" w:cs="Times New Roman"/>
        </w:rPr>
      </w:pPr>
      <w:r w:rsidRPr="00B90D07">
        <w:rPr>
          <w:rFonts w:ascii="Times New Roman" w:hAnsi="Times New Roman" w:cs="Times New Roman"/>
        </w:rPr>
        <w:t>Sections 4 and 5</w:t>
      </w:r>
      <w:r w:rsidR="00E97462">
        <w:rPr>
          <w:rStyle w:val="FootnoteReference"/>
          <w:rFonts w:ascii="Times New Roman" w:hAnsi="Times New Roman" w:cs="Times New Roman"/>
        </w:rPr>
        <w:footnoteReference w:id="31"/>
      </w:r>
      <w:r w:rsidRPr="00B90D07">
        <w:rPr>
          <w:rFonts w:ascii="Times New Roman" w:hAnsi="Times New Roman" w:cs="Times New Roman"/>
        </w:rPr>
        <w:t xml:space="preserve"> work together and they say that a landlord would have to return a damage deposit if a building is condemned presuming that the condemnation is not a result of willful, malicious or irresponsible conduct by the tenant. Normally the landlord has three weeks after termination of tenancy to return the deposit. This says that in instances of condemnation you have to do it in five days.</w:t>
      </w:r>
    </w:p>
    <w:p w14:paraId="65AD0262" w14:textId="261A315F" w:rsidR="00F72EA4" w:rsidRDefault="00F72EA4" w:rsidP="001B7D20">
      <w:pPr>
        <w:suppressLineNumbers/>
        <w:rPr>
          <w:rFonts w:ascii="Times New Roman" w:hAnsi="Times New Roman" w:cs="Times New Roman"/>
        </w:rPr>
      </w:pPr>
      <w:r w:rsidRPr="00F72EA4">
        <w:rPr>
          <w:rFonts w:ascii="Times New Roman" w:hAnsi="Times New Roman" w:cs="Times New Roman"/>
          <w:b/>
          <w:bCs/>
          <w:lang w:val="en-CA"/>
        </w:rPr>
        <w:fldChar w:fldCharType="begin"/>
      </w:r>
      <w:r w:rsidRPr="00F72EA4">
        <w:rPr>
          <w:rFonts w:ascii="Times New Roman" w:hAnsi="Times New Roman" w:cs="Times New Roman"/>
          <w:b/>
          <w:bCs/>
          <w:lang w:val="en-CA"/>
        </w:rPr>
        <w:instrText xml:space="preserve"> SEQ CHAPTER \h \r 1</w:instrText>
      </w:r>
      <w:r w:rsidRPr="00F72EA4">
        <w:rPr>
          <w:rFonts w:ascii="Times New Roman" w:hAnsi="Times New Roman" w:cs="Times New Roman"/>
          <w:b/>
          <w:bCs/>
        </w:rPr>
        <w:fldChar w:fldCharType="end"/>
      </w:r>
      <w:r w:rsidRPr="00F72EA4">
        <w:rPr>
          <w:rFonts w:ascii="Times New Roman" w:hAnsi="Times New Roman" w:cs="Times New Roman"/>
          <w:b/>
          <w:bCs/>
        </w:rPr>
        <w:t>Before Sen. Pogemiller spoke, the Senate counsel had distributed a summary of the bill to the committee.</w:t>
      </w:r>
      <w:r w:rsidRPr="00F72EA4">
        <w:rPr>
          <w:rFonts w:ascii="Times New Roman" w:hAnsi="Times New Roman" w:cs="Times New Roman"/>
        </w:rPr>
        <w:t xml:space="preserve"> </w:t>
      </w:r>
    </w:p>
    <w:p w14:paraId="1E20F0A7" w14:textId="1AD7D903" w:rsidR="00F72EA4" w:rsidRPr="00F72EA4" w:rsidRDefault="00F72EA4" w:rsidP="001B7D20">
      <w:pPr>
        <w:suppressLineNumbers/>
        <w:rPr>
          <w:rFonts w:ascii="Times New Roman" w:hAnsi="Times New Roman" w:cs="Times New Roman"/>
        </w:rPr>
      </w:pPr>
      <w:r w:rsidRPr="00F72EA4">
        <w:rPr>
          <w:rFonts w:ascii="Times New Roman" w:hAnsi="Times New Roman" w:cs="Times New Roman"/>
        </w:rPr>
        <w:t>Here the entire discussion of sections 4 and 5</w:t>
      </w:r>
      <w:r>
        <w:rPr>
          <w:rFonts w:ascii="Times New Roman" w:hAnsi="Times New Roman" w:cs="Times New Roman"/>
        </w:rPr>
        <w:t xml:space="preserve"> in the summary:</w:t>
      </w:r>
    </w:p>
    <w:p w14:paraId="60F80CED" w14:textId="2FA8429A" w:rsidR="00005FB5" w:rsidRDefault="00F72EA4" w:rsidP="001B7D20">
      <w:pPr>
        <w:suppressLineNumbers/>
        <w:ind w:left="720"/>
        <w:rPr>
          <w:rFonts w:ascii="Times New Roman" w:hAnsi="Times New Roman" w:cs="Times New Roman"/>
        </w:rPr>
      </w:pPr>
      <w:r w:rsidRPr="00F72EA4">
        <w:rPr>
          <w:rFonts w:ascii="Times New Roman" w:hAnsi="Times New Roman" w:cs="Times New Roman"/>
          <w:u w:val="single"/>
        </w:rPr>
        <w:t>Sections 4 and 5</w:t>
      </w:r>
      <w:r w:rsidRPr="00F72EA4">
        <w:rPr>
          <w:rFonts w:ascii="Times New Roman" w:hAnsi="Times New Roman" w:cs="Times New Roman"/>
        </w:rPr>
        <w:t>: Shortens to five days the time in which the landlord must return a damage deposit if the building is condemned.</w:t>
      </w:r>
    </w:p>
    <w:p w14:paraId="650FDC05" w14:textId="77777777" w:rsidR="00005FB5" w:rsidRDefault="00005FB5" w:rsidP="001B7D20">
      <w:pPr>
        <w:suppressLineNumbers/>
        <w:rPr>
          <w:rFonts w:ascii="Times New Roman" w:hAnsi="Times New Roman" w:cs="Times New Roman"/>
        </w:rPr>
      </w:pPr>
      <w:r>
        <w:rPr>
          <w:rFonts w:ascii="Times New Roman" w:hAnsi="Times New Roman" w:cs="Times New Roman"/>
        </w:rPr>
        <w:br w:type="page"/>
      </w:r>
    </w:p>
    <w:p w14:paraId="075788CE" w14:textId="77777777" w:rsidR="00A379CB" w:rsidRDefault="00A379CB" w:rsidP="001B7D20">
      <w:pPr>
        <w:suppressLineNumbers/>
        <w:jc w:val="center"/>
        <w:rPr>
          <w:rFonts w:ascii="Times New Roman" w:hAnsi="Times New Roman" w:cs="Times New Roman"/>
          <w:b/>
          <w:bCs/>
        </w:rPr>
      </w:pPr>
      <w:r>
        <w:rPr>
          <w:rFonts w:ascii="Times New Roman" w:hAnsi="Times New Roman" w:cs="Times New Roman"/>
          <w:b/>
          <w:bCs/>
          <w:lang w:val="en-CA"/>
        </w:rPr>
        <w:lastRenderedPageBreak/>
        <w:t>House</w:t>
      </w:r>
      <w:r w:rsidRPr="00B90D07">
        <w:rPr>
          <w:rFonts w:ascii="Times New Roman" w:hAnsi="Times New Roman" w:cs="Times New Roman"/>
          <w:b/>
          <w:bCs/>
        </w:rPr>
        <w:t xml:space="preserve"> Committee on </w:t>
      </w:r>
      <w:r>
        <w:rPr>
          <w:rFonts w:ascii="Times New Roman" w:hAnsi="Times New Roman" w:cs="Times New Roman"/>
          <w:b/>
          <w:bCs/>
        </w:rPr>
        <w:t>Housing</w:t>
      </w:r>
      <w:r w:rsidRPr="00B90D07">
        <w:rPr>
          <w:rFonts w:ascii="Times New Roman" w:hAnsi="Times New Roman" w:cs="Times New Roman"/>
          <w:b/>
          <w:bCs/>
        </w:rPr>
        <w:t xml:space="preserve"> Development</w:t>
      </w:r>
      <w:r>
        <w:rPr>
          <w:rFonts w:ascii="Times New Roman" w:hAnsi="Times New Roman" w:cs="Times New Roman"/>
          <w:b/>
          <w:bCs/>
        </w:rPr>
        <w:t xml:space="preserve"> </w:t>
      </w:r>
      <w:r w:rsidRPr="00B90D07">
        <w:rPr>
          <w:rFonts w:ascii="Times New Roman" w:hAnsi="Times New Roman" w:cs="Times New Roman"/>
          <w:b/>
          <w:bCs/>
        </w:rPr>
        <w:t>on March 25, 199</w:t>
      </w:r>
      <w:r>
        <w:rPr>
          <w:rFonts w:ascii="Times New Roman" w:hAnsi="Times New Roman" w:cs="Times New Roman"/>
          <w:b/>
          <w:bCs/>
        </w:rPr>
        <w:t>1</w:t>
      </w:r>
    </w:p>
    <w:p w14:paraId="5F9672B2" w14:textId="159086DE" w:rsidR="00A379CB" w:rsidRDefault="00A379CB" w:rsidP="001B7D20">
      <w:pPr>
        <w:suppressLineNumbers/>
        <w:rPr>
          <w:rFonts w:ascii="Times New Roman" w:hAnsi="Times New Roman" w:cs="Times New Roman"/>
          <w:b/>
          <w:bCs/>
        </w:rPr>
      </w:pPr>
      <w:r>
        <w:rPr>
          <w:rFonts w:ascii="Times New Roman" w:hAnsi="Times New Roman" w:cs="Times New Roman"/>
          <w:b/>
          <w:bCs/>
        </w:rPr>
        <w:t xml:space="preserve">Chief author, Rep. Karen Clark, introduced Paul Onka, a lobbyist from Legal Aid, and had him explain </w:t>
      </w:r>
      <w:r w:rsidR="00536BE3">
        <w:rPr>
          <w:rFonts w:ascii="Times New Roman" w:hAnsi="Times New Roman" w:cs="Times New Roman"/>
          <w:b/>
          <w:bCs/>
        </w:rPr>
        <w:t>HF 714</w:t>
      </w:r>
      <w:r>
        <w:rPr>
          <w:rFonts w:ascii="Times New Roman" w:hAnsi="Times New Roman" w:cs="Times New Roman"/>
          <w:b/>
          <w:bCs/>
        </w:rPr>
        <w:t>.</w:t>
      </w:r>
    </w:p>
    <w:p w14:paraId="6A4F5609" w14:textId="1E31289E" w:rsidR="00A379CB" w:rsidRDefault="00A379CB" w:rsidP="001B7D20">
      <w:pPr>
        <w:suppressLineNumbers/>
        <w:rPr>
          <w:rFonts w:ascii="Times New Roman" w:hAnsi="Times New Roman" w:cs="Times New Roman"/>
        </w:rPr>
      </w:pPr>
      <w:r w:rsidRPr="00A379CB">
        <w:rPr>
          <w:rFonts w:ascii="Times New Roman" w:hAnsi="Times New Roman" w:cs="Times New Roman"/>
        </w:rPr>
        <w:t xml:space="preserve">Here is Mr. </w:t>
      </w:r>
      <w:proofErr w:type="spellStart"/>
      <w:r w:rsidRPr="00A379CB">
        <w:rPr>
          <w:rFonts w:ascii="Times New Roman" w:hAnsi="Times New Roman" w:cs="Times New Roman"/>
        </w:rPr>
        <w:t>Onka’s</w:t>
      </w:r>
      <w:proofErr w:type="spellEnd"/>
      <w:r w:rsidRPr="00A379CB">
        <w:rPr>
          <w:rFonts w:ascii="Times New Roman" w:hAnsi="Times New Roman" w:cs="Times New Roman"/>
        </w:rPr>
        <w:t xml:space="preserve"> entire testimony regarding the security-deposit sections</w:t>
      </w:r>
      <w:r>
        <w:rPr>
          <w:rFonts w:ascii="Times New Roman" w:hAnsi="Times New Roman" w:cs="Times New Roman"/>
        </w:rPr>
        <w:t>:</w:t>
      </w:r>
    </w:p>
    <w:p w14:paraId="36FBF192" w14:textId="45273114" w:rsidR="0037251D" w:rsidRDefault="00A379CB" w:rsidP="001B7D20">
      <w:pPr>
        <w:suppressLineNumbers/>
        <w:ind w:left="720"/>
        <w:rPr>
          <w:rFonts w:ascii="Times New Roman" w:hAnsi="Times New Roman" w:cs="Times New Roman"/>
        </w:rPr>
      </w:pPr>
      <w:r w:rsidRPr="00A379CB">
        <w:rPr>
          <w:rFonts w:ascii="Times New Roman" w:hAnsi="Times New Roman" w:cs="Times New Roman"/>
          <w:lang w:val="en-CA"/>
        </w:rPr>
        <w:fldChar w:fldCharType="begin"/>
      </w:r>
      <w:r w:rsidRPr="00A379CB">
        <w:rPr>
          <w:rFonts w:ascii="Times New Roman" w:hAnsi="Times New Roman" w:cs="Times New Roman"/>
          <w:lang w:val="en-CA"/>
        </w:rPr>
        <w:instrText xml:space="preserve"> SEQ CHAPTER \h \r 1</w:instrText>
      </w:r>
      <w:r w:rsidRPr="00A379CB">
        <w:rPr>
          <w:rFonts w:ascii="Times New Roman" w:hAnsi="Times New Roman" w:cs="Times New Roman"/>
        </w:rPr>
        <w:fldChar w:fldCharType="end"/>
      </w:r>
      <w:r w:rsidRPr="00A379CB">
        <w:rPr>
          <w:rFonts w:ascii="Times New Roman" w:hAnsi="Times New Roman" w:cs="Times New Roman"/>
        </w:rPr>
        <w:t>Sections 4 and 5</w:t>
      </w:r>
      <w:r w:rsidR="00E97462">
        <w:rPr>
          <w:rStyle w:val="FootnoteReference"/>
          <w:rFonts w:ascii="Times New Roman" w:hAnsi="Times New Roman" w:cs="Times New Roman"/>
        </w:rPr>
        <w:footnoteReference w:id="32"/>
      </w:r>
      <w:r w:rsidRPr="00A379CB">
        <w:rPr>
          <w:rFonts w:ascii="Times New Roman" w:hAnsi="Times New Roman" w:cs="Times New Roman"/>
        </w:rPr>
        <w:t xml:space="preserve"> together shorten to five days the time in which a landlord must return a damage deposit if the building is condemned. Generally speaking, that’s a situation where the tenant must move out on extremely short notice. What common situations [recording unclear] require the tenant vacate almost immediately if not within just a few days after the notice has been issued. This requires of course that the tenant move out right away and oftentimes post a different deposit on a different building. </w:t>
      </w:r>
      <w:proofErr w:type="gramStart"/>
      <w:r w:rsidRPr="00A379CB">
        <w:rPr>
          <w:rFonts w:ascii="Times New Roman" w:hAnsi="Times New Roman" w:cs="Times New Roman"/>
        </w:rPr>
        <w:t>So</w:t>
      </w:r>
      <w:proofErr w:type="gramEnd"/>
      <w:r w:rsidRPr="00A379CB">
        <w:rPr>
          <w:rFonts w:ascii="Times New Roman" w:hAnsi="Times New Roman" w:cs="Times New Roman"/>
        </w:rPr>
        <w:t xml:space="preserve"> we’re shortening up here the time period within which that deposit must be returned if the building is condemned. I should add, it’s not in the summary [apparently distributed to the committee but not in the Gale Library files] but in the bill, there is a limitation on this that the building is condemned for reasons not due to inappropriate actively or damage by the tenant.</w:t>
      </w:r>
    </w:p>
    <w:p w14:paraId="722E3600" w14:textId="77777777" w:rsidR="0037251D" w:rsidRDefault="0037251D" w:rsidP="001B7D20">
      <w:pPr>
        <w:suppressLineNumbers/>
        <w:rPr>
          <w:rFonts w:ascii="Times New Roman" w:hAnsi="Times New Roman" w:cs="Times New Roman"/>
        </w:rPr>
      </w:pPr>
      <w:r>
        <w:rPr>
          <w:rFonts w:ascii="Times New Roman" w:hAnsi="Times New Roman" w:cs="Times New Roman"/>
        </w:rPr>
        <w:br w:type="page"/>
      </w:r>
    </w:p>
    <w:p w14:paraId="71DA8B18" w14:textId="52625621" w:rsidR="0037251D" w:rsidRPr="00CC4BE9" w:rsidRDefault="0037251D" w:rsidP="001B7D20">
      <w:pPr>
        <w:suppressLineNumbers/>
        <w:jc w:val="center"/>
        <w:rPr>
          <w:rFonts w:ascii="Times New Roman" w:hAnsi="Times New Roman" w:cs="Times New Roman"/>
          <w:b/>
          <w:bCs/>
        </w:rPr>
      </w:pPr>
      <w:r w:rsidRPr="00CC4BE9">
        <w:rPr>
          <w:rFonts w:ascii="Times New Roman" w:hAnsi="Times New Roman" w:cs="Times New Roman"/>
          <w:b/>
          <w:bCs/>
        </w:rPr>
        <w:lastRenderedPageBreak/>
        <w:t xml:space="preserve">ENDNOTE </w:t>
      </w:r>
      <w:r>
        <w:rPr>
          <w:rFonts w:ascii="Times New Roman" w:hAnsi="Times New Roman" w:cs="Times New Roman"/>
          <w:b/>
          <w:bCs/>
        </w:rPr>
        <w:t>2</w:t>
      </w:r>
    </w:p>
    <w:p w14:paraId="6817038A" w14:textId="6492AFDD" w:rsidR="0037251D" w:rsidRPr="00CC4BE9" w:rsidRDefault="0037251D" w:rsidP="001B7D20">
      <w:pPr>
        <w:suppressLineNumbers/>
        <w:jc w:val="center"/>
        <w:rPr>
          <w:rFonts w:ascii="Times New Roman" w:hAnsi="Times New Roman" w:cs="Times New Roman"/>
          <w:b/>
          <w:bCs/>
        </w:rPr>
      </w:pPr>
      <w:r w:rsidRPr="00CC4BE9">
        <w:rPr>
          <w:rFonts w:ascii="Times New Roman" w:hAnsi="Times New Roman" w:cs="Times New Roman"/>
          <w:b/>
          <w:bCs/>
        </w:rPr>
        <w:t xml:space="preserve">COMMITTEE TESTIMONY BY </w:t>
      </w:r>
      <w:r>
        <w:rPr>
          <w:rFonts w:ascii="Times New Roman" w:hAnsi="Times New Roman" w:cs="Times New Roman"/>
          <w:b/>
          <w:bCs/>
        </w:rPr>
        <w:t>SUCCESSOR</w:t>
      </w:r>
      <w:r w:rsidRPr="00CC4BE9">
        <w:rPr>
          <w:rFonts w:ascii="Times New Roman" w:hAnsi="Times New Roman" w:cs="Times New Roman"/>
          <w:b/>
          <w:bCs/>
        </w:rPr>
        <w:t xml:space="preserve"> ADVOCATE</w:t>
      </w:r>
      <w:r w:rsidR="00536BE3">
        <w:rPr>
          <w:rFonts w:ascii="Times New Roman" w:hAnsi="Times New Roman" w:cs="Times New Roman"/>
          <w:b/>
          <w:bCs/>
        </w:rPr>
        <w:t>S</w:t>
      </w:r>
    </w:p>
    <w:p w14:paraId="3319809C" w14:textId="5118FC64" w:rsidR="0037251D" w:rsidRDefault="0037251D" w:rsidP="001B7D20">
      <w:pPr>
        <w:suppressLineNumbers/>
        <w:spacing w:line="240" w:lineRule="auto"/>
        <w:rPr>
          <w:rFonts w:ascii="Times New Roman" w:hAnsi="Times New Roman" w:cs="Times New Roman"/>
        </w:rPr>
      </w:pPr>
      <w:r>
        <w:rPr>
          <w:rFonts w:ascii="Times New Roman" w:hAnsi="Times New Roman" w:cs="Times New Roman"/>
        </w:rPr>
        <w:t xml:space="preserve">As fully set out </w:t>
      </w:r>
      <w:r w:rsidR="00EC059B">
        <w:rPr>
          <w:rFonts w:ascii="Times New Roman" w:hAnsi="Times New Roman" w:cs="Times New Roman"/>
        </w:rPr>
        <w:t xml:space="preserve">in </w:t>
      </w:r>
      <w:hyperlink r:id="rId18" w:history="1">
        <w:r w:rsidR="00EC059B" w:rsidRPr="00ED6801">
          <w:rPr>
            <w:rStyle w:val="Hyperlink"/>
            <w:rFonts w:ascii="Times New Roman" w:hAnsi="Times New Roman" w:cs="Times New Roman"/>
            <w:bCs/>
          </w:rPr>
          <w:t>Appendix LH 1992-376</w:t>
        </w:r>
      </w:hyperlink>
      <w:r>
        <w:rPr>
          <w:rFonts w:ascii="Times New Roman" w:hAnsi="Times New Roman" w:cs="Times New Roman"/>
        </w:rPr>
        <w:t>, the final bill that became law,</w:t>
      </w:r>
      <w:r w:rsidR="00B9694C">
        <w:rPr>
          <w:rFonts w:ascii="Times New Roman" w:hAnsi="Times New Roman" w:cs="Times New Roman"/>
        </w:rPr>
        <w:t xml:space="preserve"> , SF 720,</w:t>
      </w:r>
      <w:r>
        <w:rPr>
          <w:rFonts w:ascii="Times New Roman" w:hAnsi="Times New Roman" w:cs="Times New Roman"/>
        </w:rPr>
        <w:t xml:space="preserve"> was a very large housing bill that incorporated other large housing bills, including HF 714 and SF 915. The relevant committee testimony about the Article 4 security-deposit provisions promoted by the successors was made by John Herman</w:t>
      </w:r>
      <w:r w:rsidR="00B9694C">
        <w:rPr>
          <w:rFonts w:ascii="Times New Roman" w:hAnsi="Times New Roman" w:cs="Times New Roman"/>
        </w:rPr>
        <w:t xml:space="preserve"> during the mark-up of HF 714</w:t>
      </w:r>
      <w:r>
        <w:rPr>
          <w:rFonts w:ascii="Times New Roman" w:hAnsi="Times New Roman" w:cs="Times New Roman"/>
        </w:rPr>
        <w:t>. Below is a transcript of the relevant part of that meeting</w:t>
      </w:r>
      <w:r w:rsidR="001B7D20">
        <w:rPr>
          <w:rFonts w:ascii="Times New Roman" w:hAnsi="Times New Roman" w:cs="Times New Roman"/>
        </w:rPr>
        <w:t>.</w:t>
      </w:r>
    </w:p>
    <w:p w14:paraId="044BD4F5" w14:textId="332EAAC4" w:rsidR="0037251D" w:rsidRPr="008B7695" w:rsidRDefault="0037251D" w:rsidP="001B7D20">
      <w:pPr>
        <w:suppressLineNumbers/>
        <w:spacing w:line="240" w:lineRule="auto"/>
        <w:rPr>
          <w:rFonts w:ascii="Times New Roman" w:hAnsi="Times New Roman" w:cs="Times New Roman"/>
          <w:b/>
          <w:bCs/>
        </w:rPr>
      </w:pPr>
      <w:r w:rsidRPr="008B7695">
        <w:rPr>
          <w:rFonts w:ascii="Times New Roman" w:hAnsi="Times New Roman" w:cs="Times New Roman"/>
          <w:b/>
          <w:bCs/>
        </w:rPr>
        <w:t>Minnesota House Committee on Housing, Transcript of April 4, 1991 Meeting</w:t>
      </w:r>
      <w:r w:rsidRPr="008B7695">
        <w:rPr>
          <w:rStyle w:val="FootnoteReference"/>
          <w:rFonts w:ascii="Times New Roman" w:hAnsi="Times New Roman" w:cs="Times New Roman"/>
          <w:b/>
          <w:bCs/>
        </w:rPr>
        <w:footnoteReference w:id="33"/>
      </w:r>
      <w:r w:rsidRPr="008B7695">
        <w:rPr>
          <w:rFonts w:ascii="Times New Roman" w:hAnsi="Times New Roman" w:cs="Times New Roman"/>
          <w:b/>
          <w:bCs/>
        </w:rPr>
        <w:t>,</w:t>
      </w:r>
      <w:r w:rsidR="008B7695" w:rsidRPr="008B7695">
        <w:rPr>
          <w:rFonts w:ascii="Times New Roman" w:hAnsi="Times New Roman" w:cs="Times New Roman"/>
          <w:b/>
          <w:bCs/>
        </w:rPr>
        <w:t xml:space="preserve"> </w:t>
      </w:r>
      <w:r w:rsidRPr="008B7695">
        <w:rPr>
          <w:rFonts w:ascii="Times New Roman" w:hAnsi="Times New Roman" w:cs="Times New Roman"/>
          <w:b/>
          <w:bCs/>
        </w:rPr>
        <w:t>Part Containing John Herman’s Testimony</w:t>
      </w:r>
    </w:p>
    <w:p w14:paraId="6C356CE7"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Rep. Karen Clark</w:t>
      </w:r>
      <w:r w:rsidRPr="008B7695">
        <w:rPr>
          <w:rFonts w:ascii="Times New Roman" w:hAnsi="Times New Roman" w:cs="Times New Roman"/>
          <w:color w:val="000000"/>
        </w:rPr>
        <w:t xml:space="preserve">: </w:t>
      </w:r>
      <w:proofErr w:type="gramStart"/>
      <w:r w:rsidRPr="008B7695">
        <w:rPr>
          <w:rFonts w:ascii="Times New Roman" w:hAnsi="Times New Roman" w:cs="Times New Roman"/>
          <w:color w:val="000000"/>
        </w:rPr>
        <w:t>{ 2:15</w:t>
      </w:r>
      <w:proofErr w:type="gramEnd"/>
      <w:r w:rsidRPr="008B7695">
        <w:rPr>
          <w:rFonts w:ascii="Times New Roman" w:hAnsi="Times New Roman" w:cs="Times New Roman"/>
          <w:color w:val="000000"/>
        </w:rPr>
        <w:t xml:space="preserve"> }</w:t>
      </w:r>
      <w:r w:rsidRPr="008B7695">
        <w:rPr>
          <w:rStyle w:val="FootnoteReference"/>
          <w:rFonts w:ascii="Times New Roman" w:hAnsi="Times New Roman" w:cs="Times New Roman"/>
          <w:color w:val="000000"/>
        </w:rPr>
        <w:footnoteReference w:id="34"/>
      </w:r>
      <w:r w:rsidRPr="008B7695">
        <w:rPr>
          <w:rFonts w:ascii="Times New Roman" w:hAnsi="Times New Roman" w:cs="Times New Roman"/>
          <w:color w:val="000000"/>
        </w:rPr>
        <w:t xml:space="preserve"> We're going to continue with House File 714. There's one section that we skipped over because of the witness for, for the that section was not here and that was the old Section 4. And I believe people now should have a working draft or engrossment. It's titled WD-6 Working Draft 6 and I believe under that this Title 4.  Mr. Chairman, I don't know. Do you have a, you don't have a current summary or index? Is there a beyond what I have? Was there something prepared for tonight? Do you have any folders anyway?</w:t>
      </w:r>
    </w:p>
    <w:p w14:paraId="589FD912" w14:textId="77777777" w:rsidR="0037251D" w:rsidRPr="008B7695" w:rsidRDefault="0037251D" w:rsidP="008B7695">
      <w:pPr>
        <w:spacing w:line="240" w:lineRule="auto"/>
        <w:ind w:left="720"/>
        <w:rPr>
          <w:rFonts w:ascii="Times New Roman" w:hAnsi="Times New Roman" w:cs="Times New Roman"/>
        </w:rPr>
      </w:pPr>
      <w:r w:rsidRPr="008B7695">
        <w:rPr>
          <w:rFonts w:ascii="Times New Roman" w:hAnsi="Times New Roman" w:cs="Times New Roman"/>
          <w:color w:val="000000"/>
          <w:u w:val="single"/>
        </w:rPr>
        <w:t>Rep. Andy Dawkins</w:t>
      </w:r>
      <w:r w:rsidRPr="008B7695">
        <w:rPr>
          <w:rFonts w:ascii="Times New Roman" w:hAnsi="Times New Roman" w:cs="Times New Roman"/>
          <w:color w:val="000000"/>
        </w:rPr>
        <w:t>: Madam Chair, I haven't looked through my folder yet. Ms. Strobel, can you inform us as to what's that that's we do not.</w:t>
      </w:r>
    </w:p>
    <w:p w14:paraId="07576AD3"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Rep. Clark</w:t>
      </w:r>
      <w:r w:rsidRPr="008B7695">
        <w:rPr>
          <w:rFonts w:ascii="Times New Roman" w:hAnsi="Times New Roman" w:cs="Times New Roman"/>
          <w:color w:val="000000"/>
        </w:rPr>
        <w:t xml:space="preserve">: The old Section 4. And then John Herman, part of the bill [sentence a bit garbled]. </w:t>
      </w:r>
    </w:p>
    <w:p w14:paraId="3FA9C79E"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Rep. Dawkins</w:t>
      </w:r>
      <w:r w:rsidRPr="008B7695">
        <w:rPr>
          <w:rFonts w:ascii="Times New Roman" w:hAnsi="Times New Roman" w:cs="Times New Roman"/>
          <w:color w:val="000000"/>
        </w:rPr>
        <w:t xml:space="preserve">: Mr. Herman, welcome to our committee. And introduce yourself for the record and then proceed to tell us about the old Article 4 if you would. </w:t>
      </w:r>
    </w:p>
    <w:p w14:paraId="6F5BBD41"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John Herman</w:t>
      </w:r>
      <w:r w:rsidRPr="008B7695">
        <w:rPr>
          <w:rFonts w:ascii="Times New Roman" w:hAnsi="Times New Roman" w:cs="Times New Roman"/>
          <w:color w:val="000000"/>
        </w:rPr>
        <w:t xml:space="preserve">: Mr. Chairman, members of the committee, my name is John Herman, an attorney with the law firm of Leonard Street and </w:t>
      </w:r>
      <w:proofErr w:type="spellStart"/>
      <w:r w:rsidRPr="008B7695">
        <w:rPr>
          <w:rFonts w:ascii="Times New Roman" w:hAnsi="Times New Roman" w:cs="Times New Roman"/>
          <w:color w:val="000000"/>
        </w:rPr>
        <w:t>Deinard</w:t>
      </w:r>
      <w:proofErr w:type="spellEnd"/>
      <w:r w:rsidRPr="008B7695">
        <w:rPr>
          <w:rFonts w:ascii="Times New Roman" w:hAnsi="Times New Roman" w:cs="Times New Roman"/>
          <w:color w:val="000000"/>
        </w:rPr>
        <w:t xml:space="preserve"> in Minneapolis. On this section of the </w:t>
      </w:r>
      <w:proofErr w:type="gramStart"/>
      <w:r w:rsidRPr="008B7695">
        <w:rPr>
          <w:rFonts w:ascii="Times New Roman" w:hAnsi="Times New Roman" w:cs="Times New Roman"/>
          <w:color w:val="000000"/>
        </w:rPr>
        <w:t>bill</w:t>
      </w:r>
      <w:proofErr w:type="gramEnd"/>
      <w:r w:rsidRPr="008B7695">
        <w:rPr>
          <w:rFonts w:ascii="Times New Roman" w:hAnsi="Times New Roman" w:cs="Times New Roman"/>
          <w:color w:val="000000"/>
        </w:rPr>
        <w:t xml:space="preserve"> I represent the Minnesota Bankers Association. I'd also like to make some comments that reflect the views of Chuck Parsons, who's the head of the legislative committee of the Bar Association, who's also worked with me and with the </w:t>
      </w:r>
      <w:proofErr w:type="spellStart"/>
      <w:r w:rsidRPr="008B7695">
        <w:rPr>
          <w:rFonts w:ascii="Times New Roman" w:hAnsi="Times New Roman" w:cs="Times New Roman"/>
          <w:color w:val="000000"/>
        </w:rPr>
        <w:t>the</w:t>
      </w:r>
      <w:proofErr w:type="spellEnd"/>
      <w:r w:rsidRPr="008B7695">
        <w:rPr>
          <w:rFonts w:ascii="Times New Roman" w:hAnsi="Times New Roman" w:cs="Times New Roman"/>
          <w:color w:val="000000"/>
        </w:rPr>
        <w:t xml:space="preserve"> author and the Senate counsel that originally drafted this. On this section of the bill, he's not able to be here, but asked me if I would speak on the parts of the bill on his behalf. { 3:46 }I should say it's not a, it's not a authorized position of the Bar Association, but it does reflect his views as the chairman of the legislative committee as to changes that would be beneficial with respect to the law in this area, that would help to solve some of the problems we're seeing with respect to properties which are in foreclosure or being transferred because of defaults in the mortgage and security instrument.  Section 1 of Article 4 deals with the problem of when a property is transferred from one owner to another owner and the first owner does not transfer the security deposits.</w:t>
      </w:r>
    </w:p>
    <w:p w14:paraId="2D78640B" w14:textId="77777777" w:rsidR="0037251D" w:rsidRPr="008B7695" w:rsidRDefault="0037251D" w:rsidP="008B7695">
      <w:pPr>
        <w:spacing w:line="240" w:lineRule="auto"/>
        <w:ind w:left="720"/>
        <w:rPr>
          <w:rFonts w:ascii="Times New Roman" w:hAnsi="Times New Roman" w:cs="Times New Roman"/>
        </w:rPr>
      </w:pPr>
      <w:r w:rsidRPr="008B7695">
        <w:rPr>
          <w:rFonts w:ascii="Times New Roman" w:hAnsi="Times New Roman" w:cs="Times New Roman"/>
          <w:color w:val="000000"/>
          <w:u w:val="single"/>
        </w:rPr>
        <w:lastRenderedPageBreak/>
        <w:t>Rep. Dawkins</w:t>
      </w:r>
      <w:r w:rsidRPr="008B7695">
        <w:rPr>
          <w:rFonts w:ascii="Times New Roman" w:hAnsi="Times New Roman" w:cs="Times New Roman"/>
          <w:color w:val="000000"/>
        </w:rPr>
        <w:t xml:space="preserve">: Mr. Herman, I'm going to interrupt just for a second to </w:t>
      </w:r>
      <w:proofErr w:type="spellStart"/>
      <w:r w:rsidRPr="008B7695">
        <w:rPr>
          <w:rFonts w:ascii="Times New Roman" w:hAnsi="Times New Roman" w:cs="Times New Roman"/>
          <w:color w:val="000000"/>
        </w:rPr>
        <w:t>to</w:t>
      </w:r>
      <w:proofErr w:type="spellEnd"/>
      <w:r w:rsidRPr="008B7695">
        <w:rPr>
          <w:rFonts w:ascii="Times New Roman" w:hAnsi="Times New Roman" w:cs="Times New Roman"/>
          <w:color w:val="000000"/>
        </w:rPr>
        <w:t xml:space="preserve"> refer everyone to the proper page number in your bill summary. We're still going with the bill summary originally passed out to committee members, if you want to follow the bill summary. But I think we should also get to the page and </w:t>
      </w:r>
      <w:proofErr w:type="gramStart"/>
      <w:r w:rsidRPr="008B7695">
        <w:rPr>
          <w:rFonts w:ascii="Times New Roman" w:hAnsi="Times New Roman" w:cs="Times New Roman"/>
          <w:color w:val="000000"/>
        </w:rPr>
        <w:t>it's</w:t>
      </w:r>
      <w:proofErr w:type="gramEnd"/>
      <w:r w:rsidRPr="008B7695">
        <w:rPr>
          <w:rFonts w:ascii="Times New Roman" w:hAnsi="Times New Roman" w:cs="Times New Roman"/>
          <w:color w:val="000000"/>
        </w:rPr>
        <w:t xml:space="preserve"> page 36 of what was done as a working draft on April 2, ‘</w:t>
      </w:r>
      <w:proofErr w:type="gramStart"/>
      <w:r w:rsidRPr="008B7695">
        <w:rPr>
          <w:rFonts w:ascii="Times New Roman" w:hAnsi="Times New Roman" w:cs="Times New Roman"/>
          <w:color w:val="000000"/>
        </w:rPr>
        <w:t>91.{</w:t>
      </w:r>
      <w:proofErr w:type="gramEnd"/>
      <w:r w:rsidRPr="008B7695">
        <w:rPr>
          <w:rFonts w:ascii="Times New Roman" w:hAnsi="Times New Roman" w:cs="Times New Roman"/>
          <w:color w:val="000000"/>
        </w:rPr>
        <w:t xml:space="preserve"> 4:</w:t>
      </w:r>
      <w:proofErr w:type="gramStart"/>
      <w:r w:rsidRPr="008B7695">
        <w:rPr>
          <w:rFonts w:ascii="Times New Roman" w:hAnsi="Times New Roman" w:cs="Times New Roman"/>
          <w:color w:val="000000"/>
        </w:rPr>
        <w:t>56 }</w:t>
      </w:r>
      <w:proofErr w:type="gramEnd"/>
      <w:r w:rsidRPr="008B7695">
        <w:rPr>
          <w:rFonts w:ascii="Times New Roman" w:hAnsi="Times New Roman" w:cs="Times New Roman"/>
        </w:rPr>
        <w:t xml:space="preserve"> </w:t>
      </w:r>
      <w:r w:rsidRPr="008B7695">
        <w:rPr>
          <w:rFonts w:ascii="Times New Roman" w:hAnsi="Times New Roman" w:cs="Times New Roman"/>
          <w:color w:val="000000"/>
        </w:rPr>
        <w:t xml:space="preserve">If people have this WD-6 over the righthand corner and the page number, again, Ms. Strobel is page 36. And while committee members are finding that spot, I want to say that we have relied on Mr. Parsons in the past and he's had some expert judgments. And </w:t>
      </w:r>
      <w:proofErr w:type="gramStart"/>
      <w:r w:rsidRPr="008B7695">
        <w:rPr>
          <w:rFonts w:ascii="Times New Roman" w:hAnsi="Times New Roman" w:cs="Times New Roman"/>
          <w:color w:val="000000"/>
        </w:rPr>
        <w:t>so</w:t>
      </w:r>
      <w:proofErr w:type="gramEnd"/>
      <w:r w:rsidRPr="008B7695">
        <w:rPr>
          <w:rFonts w:ascii="Times New Roman" w:hAnsi="Times New Roman" w:cs="Times New Roman"/>
          <w:color w:val="000000"/>
        </w:rPr>
        <w:t xml:space="preserve"> I think that's good that you check this with him as well. If people with us now on page 36, it's called Article 5 in your working draft because we've had a new article, but it's called Article 4 on your bill summary.</w:t>
      </w:r>
    </w:p>
    <w:p w14:paraId="7EA2D687" w14:textId="77777777" w:rsidR="0037251D" w:rsidRPr="008B7695" w:rsidRDefault="0037251D" w:rsidP="008B7695">
      <w:pPr>
        <w:spacing w:line="240" w:lineRule="auto"/>
        <w:ind w:left="720"/>
        <w:rPr>
          <w:rFonts w:ascii="Times New Roman" w:hAnsi="Times New Roman" w:cs="Times New Roman"/>
        </w:rPr>
      </w:pPr>
      <w:r w:rsidRPr="008B7695">
        <w:rPr>
          <w:rFonts w:ascii="Times New Roman" w:hAnsi="Times New Roman" w:cs="Times New Roman"/>
          <w:color w:val="000000"/>
          <w:u w:val="single"/>
        </w:rPr>
        <w:t>John Herman</w:t>
      </w:r>
      <w:r w:rsidRPr="008B7695">
        <w:rPr>
          <w:rFonts w:ascii="Times New Roman" w:hAnsi="Times New Roman" w:cs="Times New Roman"/>
          <w:color w:val="000000"/>
        </w:rPr>
        <w:t xml:space="preserve">: Before I talk about these sections, I can I can explain to the committee why there are a growing number of problems with foreclosures with respect to smaller commercial and apartment properties generally. I think everyone on this committee is aware that since 1986 buildings no longer offer deductibility of their depreciation against ordinary income. </w:t>
      </w:r>
      <w:proofErr w:type="gramStart"/>
      <w:r w:rsidRPr="008B7695">
        <w:rPr>
          <w:rFonts w:ascii="Times New Roman" w:hAnsi="Times New Roman" w:cs="Times New Roman"/>
          <w:color w:val="000000"/>
        </w:rPr>
        <w:t>{ 5:54</w:t>
      </w:r>
      <w:proofErr w:type="gramEnd"/>
      <w:r w:rsidRPr="008B7695">
        <w:rPr>
          <w:rFonts w:ascii="Times New Roman" w:hAnsi="Times New Roman" w:cs="Times New Roman"/>
          <w:color w:val="000000"/>
        </w:rPr>
        <w:t xml:space="preserve"> } As a result, many buildings were found to be overvalued, and as a result, many owners have determined that they either can't pay their mortgage or in fact, even take the next step and have abandoned the building. We've had circumstances that I'm familiar with where buildings in Minneapolis in the south part of the city will collapse to as many as four or five levels of contract per deed back to the point where you're to a sale that may have happened back into the early 70s before the building set a value that can support itself. And you often have buildings that were sold at prices that are not supportable by current rents. And </w:t>
      </w:r>
      <w:proofErr w:type="gramStart"/>
      <w:r w:rsidRPr="008B7695">
        <w:rPr>
          <w:rFonts w:ascii="Times New Roman" w:hAnsi="Times New Roman" w:cs="Times New Roman"/>
          <w:color w:val="000000"/>
        </w:rPr>
        <w:t>so</w:t>
      </w:r>
      <w:proofErr w:type="gramEnd"/>
      <w:r w:rsidRPr="008B7695">
        <w:rPr>
          <w:rFonts w:ascii="Times New Roman" w:hAnsi="Times New Roman" w:cs="Times New Roman"/>
          <w:color w:val="000000"/>
        </w:rPr>
        <w:t xml:space="preserve"> you have owners to stop taking good care of the buildings or even just disappear. In addition, you have a general phenomenon of decline in real estate values that's occurred because of excessive vacancies and so even some newer properties have experienced unexpected problems. </w:t>
      </w:r>
      <w:proofErr w:type="gramStart"/>
      <w:r w:rsidRPr="008B7695">
        <w:rPr>
          <w:rFonts w:ascii="Times New Roman" w:hAnsi="Times New Roman" w:cs="Times New Roman"/>
          <w:color w:val="000000"/>
        </w:rPr>
        <w:t>{ 6:54</w:t>
      </w:r>
      <w:proofErr w:type="gramEnd"/>
      <w:r w:rsidRPr="008B7695">
        <w:rPr>
          <w:rFonts w:ascii="Times New Roman" w:hAnsi="Times New Roman" w:cs="Times New Roman"/>
          <w:color w:val="000000"/>
        </w:rPr>
        <w:t xml:space="preserve"> } And it's created quite a difficult situation with respect to the maintenance and upkeep of properties and a very significant problem of properties being held by landlords who put no money into the building at all during the period of foreclosure and redemption, taking all the rents that they can, holding on to it and letting the property be wasted. Obviously, property taxes won't be paid and insurance premiums don't get paid, creating significant problems for lenders and making lenders reluctant to lend on properties if they don't have the normal protections of the ability to have a receiver come in and administer the property under court protection and to have an assignment of the rents.  The changes in this section deal with these problems and try to facilitate the appointment of receivers and the use of the rent money for purposes of the maintenance of the building, the payment of taxes and the payment of insurance in appropriate </w:t>
      </w:r>
      <w:proofErr w:type="gramStart"/>
      <w:r w:rsidRPr="008B7695">
        <w:rPr>
          <w:rFonts w:ascii="Times New Roman" w:hAnsi="Times New Roman" w:cs="Times New Roman"/>
          <w:color w:val="000000"/>
        </w:rPr>
        <w:t>cases.{</w:t>
      </w:r>
      <w:proofErr w:type="gramEnd"/>
      <w:r w:rsidRPr="008B7695">
        <w:rPr>
          <w:rFonts w:ascii="Times New Roman" w:hAnsi="Times New Roman" w:cs="Times New Roman"/>
          <w:color w:val="000000"/>
        </w:rPr>
        <w:t xml:space="preserve"> 7:</w:t>
      </w:r>
      <w:proofErr w:type="gramStart"/>
      <w:r w:rsidRPr="008B7695">
        <w:rPr>
          <w:rFonts w:ascii="Times New Roman" w:hAnsi="Times New Roman" w:cs="Times New Roman"/>
          <w:color w:val="000000"/>
        </w:rPr>
        <w:t>58 }</w:t>
      </w:r>
      <w:proofErr w:type="gramEnd"/>
      <w:r w:rsidRPr="008B7695">
        <w:rPr>
          <w:rFonts w:ascii="Times New Roman" w:hAnsi="Times New Roman" w:cs="Times New Roman"/>
          <w:color w:val="000000"/>
        </w:rPr>
        <w:t xml:space="preserve"> As I said these are all under court supervision. The first section deals with the problem of when a landlord has lost the property back to a lender or to a </w:t>
      </w:r>
      <w:proofErr w:type="spellStart"/>
      <w:r w:rsidRPr="008B7695">
        <w:rPr>
          <w:rFonts w:ascii="Times New Roman" w:hAnsi="Times New Roman" w:cs="Times New Roman"/>
          <w:color w:val="000000"/>
        </w:rPr>
        <w:t>a</w:t>
      </w:r>
      <w:proofErr w:type="spellEnd"/>
      <w:r w:rsidRPr="008B7695">
        <w:rPr>
          <w:rFonts w:ascii="Times New Roman" w:hAnsi="Times New Roman" w:cs="Times New Roman"/>
          <w:color w:val="000000"/>
        </w:rPr>
        <w:t xml:space="preserve"> contract for deed vendor but fails to give back to the new owner all of the security deposits of the tenants. The way this section works now only the individual tenant can sue, and frequently individual tenants don't have enough money at risk to warrant going after the landlord who's holding on to maybe as many as 20 or 30 or 40 security deposits, but and is not paying them to the new owner. What this section would do is it would allow a new owner who purchases a property, receives it back in foreclosure or gets it back in a contract cancellation to sue for all the security deposits in one bundle, { 8:58 }</w:t>
      </w:r>
      <w:r w:rsidRPr="008B7695">
        <w:rPr>
          <w:rFonts w:ascii="Times New Roman" w:hAnsi="Times New Roman" w:cs="Times New Roman"/>
        </w:rPr>
        <w:t>w</w:t>
      </w:r>
      <w:r w:rsidRPr="008B7695">
        <w:rPr>
          <w:rFonts w:ascii="Times New Roman" w:hAnsi="Times New Roman" w:cs="Times New Roman"/>
          <w:color w:val="000000"/>
        </w:rPr>
        <w:t xml:space="preserve">hich would make it a worthwhile effort for a landlord to get the tenants money back as a way of being able to pass it on to the to the tenants in due </w:t>
      </w:r>
      <w:r w:rsidRPr="008B7695">
        <w:rPr>
          <w:rFonts w:ascii="Times New Roman" w:hAnsi="Times New Roman" w:cs="Times New Roman"/>
          <w:color w:val="000000"/>
        </w:rPr>
        <w:lastRenderedPageBreak/>
        <w:t xml:space="preserve">course when it is the proper time. It prevents a windfall to a person who is currently able to avoid paying the money back because there's no good remedy.  What Section 2 does the current law says that there's an obligation to transfer these security deposits within a, quote, reasonable time, unquote. Mr. Parsons says that through his work, he's had numerous complaints come to his attention of landlords who claim that periods of many, many months still constitute a reasonable time. What this does is it defines reasonable time as 60 days after the termination of the interest of the person and the property or when the landlord is required to make the payment to an individual tenant. </w:t>
      </w:r>
      <w:proofErr w:type="gramStart"/>
      <w:r w:rsidRPr="008B7695">
        <w:rPr>
          <w:rFonts w:ascii="Times New Roman" w:hAnsi="Times New Roman" w:cs="Times New Roman"/>
          <w:color w:val="000000"/>
        </w:rPr>
        <w:t>{ 9:57</w:t>
      </w:r>
      <w:proofErr w:type="gramEnd"/>
      <w:r w:rsidRPr="008B7695">
        <w:rPr>
          <w:rFonts w:ascii="Times New Roman" w:hAnsi="Times New Roman" w:cs="Times New Roman"/>
          <w:color w:val="000000"/>
        </w:rPr>
        <w:t xml:space="preserve"> }</w:t>
      </w:r>
    </w:p>
    <w:p w14:paraId="480D05C2"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Rep. Marvin Dauner</w:t>
      </w:r>
      <w:r w:rsidRPr="008B7695">
        <w:rPr>
          <w:rFonts w:ascii="Times New Roman" w:hAnsi="Times New Roman" w:cs="Times New Roman"/>
          <w:color w:val="000000"/>
        </w:rPr>
        <w:t xml:space="preserve">: Sir, there's nothing in statute that requires the deposit to be paid back within a certain length of time, </w:t>
      </w:r>
      <w:proofErr w:type="gramStart"/>
      <w:r w:rsidRPr="008B7695">
        <w:rPr>
          <w:rFonts w:ascii="Times New Roman" w:hAnsi="Times New Roman" w:cs="Times New Roman"/>
          <w:color w:val="000000"/>
        </w:rPr>
        <w:t>the</w:t>
      </w:r>
      <w:proofErr w:type="gramEnd"/>
      <w:r w:rsidRPr="008B7695">
        <w:rPr>
          <w:rFonts w:ascii="Times New Roman" w:hAnsi="Times New Roman" w:cs="Times New Roman"/>
          <w:color w:val="000000"/>
        </w:rPr>
        <w:t xml:space="preserve"> correct?</w:t>
      </w:r>
    </w:p>
    <w:p w14:paraId="36A2C21D"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John Herman</w:t>
      </w:r>
      <w:r w:rsidRPr="008B7695">
        <w:rPr>
          <w:rFonts w:ascii="Times New Roman" w:hAnsi="Times New Roman" w:cs="Times New Roman"/>
          <w:color w:val="000000"/>
        </w:rPr>
        <w:t xml:space="preserve">: The current statute says it has to be paid back within a quote, reasonable time, unquote and there are many cases that have been argued in the time since the statute passed as to what constitutes a reasonable time. Mr. Parsons says he's had many complaints come through the real estate section of landlords who have lost their building, claiming that months is a reasonable time, six to nine months, and they still haven't paid it back and they say, well, it's not an unreasonable time, therefore we shouldn't have to pay any penalty.  He suggested a 60-day time period. I think that's ample time to constitute reasonable time to investigate if there's any reason why you shouldn't pay the money back. </w:t>
      </w:r>
      <w:proofErr w:type="gramStart"/>
      <w:r w:rsidRPr="008B7695">
        <w:rPr>
          <w:rFonts w:ascii="Times New Roman" w:hAnsi="Times New Roman" w:cs="Times New Roman"/>
          <w:color w:val="000000"/>
        </w:rPr>
        <w:t>{ 10:53</w:t>
      </w:r>
      <w:proofErr w:type="gramEnd"/>
      <w:r w:rsidRPr="008B7695">
        <w:rPr>
          <w:rFonts w:ascii="Times New Roman" w:hAnsi="Times New Roman" w:cs="Times New Roman"/>
          <w:color w:val="000000"/>
        </w:rPr>
        <w:t xml:space="preserve"> } What Section 3 does is it provides for a penalty of $200. It currently provides a penalty of up to $200 for a violation of the statute in terms of not paying the money over to the tenant or to the successor in interest. What this does is it provides that the $200 is for each deposit. </w:t>
      </w:r>
      <w:proofErr w:type="gramStart"/>
      <w:r w:rsidRPr="008B7695">
        <w:rPr>
          <w:rFonts w:ascii="Times New Roman" w:hAnsi="Times New Roman" w:cs="Times New Roman"/>
          <w:color w:val="000000"/>
        </w:rPr>
        <w:t>So</w:t>
      </w:r>
      <w:proofErr w:type="gramEnd"/>
      <w:r w:rsidRPr="008B7695">
        <w:rPr>
          <w:rFonts w:ascii="Times New Roman" w:hAnsi="Times New Roman" w:cs="Times New Roman"/>
          <w:color w:val="000000"/>
        </w:rPr>
        <w:t xml:space="preserve"> if he were to withhold a dozen deposits, it increases the amount of liability. It's a remedial change to try to encourage compliance with the statute, right? </w:t>
      </w:r>
    </w:p>
    <w:p w14:paraId="1CFD95D3"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Unidentified Speaker</w:t>
      </w:r>
      <w:r w:rsidRPr="008B7695">
        <w:rPr>
          <w:rFonts w:ascii="Times New Roman" w:hAnsi="Times New Roman" w:cs="Times New Roman"/>
          <w:color w:val="000000"/>
        </w:rPr>
        <w:t xml:space="preserve">: The amount of the penalty. </w:t>
      </w:r>
    </w:p>
    <w:p w14:paraId="47697779"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Rep. Dawkins</w:t>
      </w:r>
      <w:r w:rsidRPr="008B7695">
        <w:rPr>
          <w:rFonts w:ascii="Times New Roman" w:hAnsi="Times New Roman" w:cs="Times New Roman"/>
          <w:color w:val="000000"/>
        </w:rPr>
        <w:t xml:space="preserve">: Mr. I have a question this and I, I think you probably explained it. I just wasn't paying enough attention. Now it'll be the successor in interest in the property that has the right to sue to collect the </w:t>
      </w:r>
      <w:proofErr w:type="spellStart"/>
      <w:r w:rsidRPr="008B7695">
        <w:rPr>
          <w:rFonts w:ascii="Times New Roman" w:hAnsi="Times New Roman" w:cs="Times New Roman"/>
          <w:color w:val="000000"/>
        </w:rPr>
        <w:t>the</w:t>
      </w:r>
      <w:proofErr w:type="spellEnd"/>
      <w:r w:rsidRPr="008B7695">
        <w:rPr>
          <w:rFonts w:ascii="Times New Roman" w:hAnsi="Times New Roman" w:cs="Times New Roman"/>
          <w:color w:val="000000"/>
        </w:rPr>
        <w:t xml:space="preserve"> deposits that are actually owned by the tenant. So what benefit is there to the successor in interest to do this if the money's just going to get turned over to the tenant?   </w:t>
      </w:r>
    </w:p>
    <w:p w14:paraId="34194329"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John Herman</w:t>
      </w:r>
      <w:r w:rsidRPr="008B7695">
        <w:rPr>
          <w:rFonts w:ascii="Times New Roman" w:hAnsi="Times New Roman" w:cs="Times New Roman"/>
          <w:color w:val="000000"/>
        </w:rPr>
        <w:t xml:space="preserve">: Mr. Chairman, members of the Committee, if the if the landlord was the successor in interest doesn't do it, he's still liable for the security </w:t>
      </w:r>
      <w:proofErr w:type="gramStart"/>
      <w:r w:rsidRPr="008B7695">
        <w:rPr>
          <w:rFonts w:ascii="Times New Roman" w:hAnsi="Times New Roman" w:cs="Times New Roman"/>
          <w:color w:val="000000"/>
        </w:rPr>
        <w:t>deposits.{</w:t>
      </w:r>
      <w:proofErr w:type="gramEnd"/>
      <w:r w:rsidRPr="008B7695">
        <w:rPr>
          <w:rFonts w:ascii="Times New Roman" w:hAnsi="Times New Roman" w:cs="Times New Roman"/>
          <w:color w:val="000000"/>
        </w:rPr>
        <w:t xml:space="preserve"> 11:</w:t>
      </w:r>
      <w:proofErr w:type="gramStart"/>
      <w:r w:rsidRPr="008B7695">
        <w:rPr>
          <w:rFonts w:ascii="Times New Roman" w:hAnsi="Times New Roman" w:cs="Times New Roman"/>
          <w:color w:val="000000"/>
        </w:rPr>
        <w:t>54 }The</w:t>
      </w:r>
      <w:proofErr w:type="gramEnd"/>
      <w:r w:rsidRPr="008B7695">
        <w:rPr>
          <w:rFonts w:ascii="Times New Roman" w:hAnsi="Times New Roman" w:cs="Times New Roman"/>
          <w:color w:val="000000"/>
        </w:rPr>
        <w:t xml:space="preserve"> tenants are always protected and can obtain them from the successor even if he has not received them from the predecessors. So there there's a strong interest in successors in seeking to have these deposits transferred, but right now it's not clear that the statute offers them a remedy. </w:t>
      </w:r>
    </w:p>
    <w:p w14:paraId="48324C71" w14:textId="77777777" w:rsidR="0037251D" w:rsidRPr="008B7695" w:rsidRDefault="0037251D" w:rsidP="008B7695">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Rep. Dawkins</w:t>
      </w:r>
      <w:r w:rsidRPr="008B7695">
        <w:rPr>
          <w:rFonts w:ascii="Times New Roman" w:hAnsi="Times New Roman" w:cs="Times New Roman"/>
          <w:color w:val="000000"/>
        </w:rPr>
        <w:t xml:space="preserve">: Thank you.    </w:t>
      </w:r>
    </w:p>
    <w:p w14:paraId="58DE630F" w14:textId="3545BADD" w:rsidR="0021097D" w:rsidRDefault="0037251D" w:rsidP="001B7D20">
      <w:pPr>
        <w:spacing w:line="240" w:lineRule="auto"/>
        <w:ind w:left="720"/>
        <w:rPr>
          <w:rFonts w:ascii="Times New Roman" w:hAnsi="Times New Roman" w:cs="Times New Roman"/>
          <w:color w:val="000000"/>
        </w:rPr>
      </w:pPr>
      <w:r w:rsidRPr="008B7695">
        <w:rPr>
          <w:rFonts w:ascii="Times New Roman" w:hAnsi="Times New Roman" w:cs="Times New Roman"/>
          <w:color w:val="000000"/>
          <w:u w:val="single"/>
        </w:rPr>
        <w:t>John Herman</w:t>
      </w:r>
      <w:r w:rsidRPr="008B7695">
        <w:rPr>
          <w:rFonts w:ascii="Times New Roman" w:hAnsi="Times New Roman" w:cs="Times New Roman"/>
          <w:color w:val="000000"/>
        </w:rPr>
        <w:t xml:space="preserve">: </w:t>
      </w:r>
      <w:r w:rsidR="001B7D20">
        <w:rPr>
          <w:rFonts w:ascii="Times New Roman" w:hAnsi="Times New Roman" w:cs="Times New Roman"/>
          <w:color w:val="000000"/>
        </w:rPr>
        <w:t>[rest of testimony is on non-security-deposit issues]</w:t>
      </w:r>
    </w:p>
    <w:p w14:paraId="55EFADA8" w14:textId="3B5180C7" w:rsidR="0037251D" w:rsidRPr="001B7D20" w:rsidRDefault="0037251D" w:rsidP="001B7D20">
      <w:pPr>
        <w:rPr>
          <w:rFonts w:ascii="Times New Roman" w:hAnsi="Times New Roman" w:cs="Times New Roman"/>
          <w:color w:val="000000"/>
        </w:rPr>
      </w:pPr>
    </w:p>
    <w:sectPr w:rsidR="0037251D" w:rsidRPr="001B7D20" w:rsidSect="001B7D20">
      <w:headerReference w:type="default" r:id="rId19"/>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96F594" w14:textId="77777777" w:rsidR="00D15EC1" w:rsidRDefault="00D15EC1" w:rsidP="00645EDD">
      <w:pPr>
        <w:spacing w:after="0" w:line="240" w:lineRule="auto"/>
      </w:pPr>
      <w:r>
        <w:separator/>
      </w:r>
    </w:p>
  </w:endnote>
  <w:endnote w:type="continuationSeparator" w:id="0">
    <w:p w14:paraId="64747DCF" w14:textId="77777777" w:rsidR="00D15EC1" w:rsidRDefault="00D15EC1" w:rsidP="00645E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E85388" w14:textId="77777777" w:rsidR="00D15EC1" w:rsidRDefault="00D15EC1" w:rsidP="00645EDD">
      <w:pPr>
        <w:spacing w:after="0" w:line="240" w:lineRule="auto"/>
      </w:pPr>
      <w:r>
        <w:separator/>
      </w:r>
    </w:p>
  </w:footnote>
  <w:footnote w:type="continuationSeparator" w:id="0">
    <w:p w14:paraId="29A2F9A4" w14:textId="77777777" w:rsidR="00D15EC1" w:rsidRDefault="00D15EC1" w:rsidP="00645EDD">
      <w:pPr>
        <w:spacing w:after="0" w:line="240" w:lineRule="auto"/>
      </w:pPr>
      <w:r>
        <w:continuationSeparator/>
      </w:r>
    </w:p>
  </w:footnote>
  <w:footnote w:id="1">
    <w:p w14:paraId="3FC7AC80" w14:textId="4370AD35" w:rsidR="00B96F22" w:rsidRPr="00112C97" w:rsidRDefault="00B96F22">
      <w:pPr>
        <w:pStyle w:val="FootnoteText"/>
        <w:rPr>
          <w:rFonts w:ascii="Times New Roman" w:hAnsi="Times New Roman" w:cs="Times New Roman"/>
          <w:sz w:val="24"/>
          <w:szCs w:val="24"/>
        </w:rPr>
      </w:pPr>
      <w:r w:rsidRPr="00112C97">
        <w:rPr>
          <w:rStyle w:val="FootnoteReference"/>
          <w:rFonts w:ascii="Times New Roman" w:hAnsi="Times New Roman" w:cs="Times New Roman"/>
          <w:sz w:val="24"/>
          <w:szCs w:val="24"/>
        </w:rPr>
        <w:footnoteRef/>
      </w:r>
      <w:r w:rsidRPr="00112C97">
        <w:rPr>
          <w:rFonts w:ascii="Times New Roman" w:hAnsi="Times New Roman" w:cs="Times New Roman"/>
          <w:sz w:val="24"/>
          <w:szCs w:val="24"/>
        </w:rPr>
        <w:t xml:space="preserve"> Some of these facts are in the appellate opinion. Others are in the appellate briefs, including the appellant’s appendix, available </w:t>
      </w:r>
      <w:r w:rsidR="00112C97" w:rsidRPr="00112C97">
        <w:rPr>
          <w:rFonts w:ascii="Times New Roman" w:hAnsi="Times New Roman" w:cs="Times New Roman"/>
          <w:sz w:val="24"/>
          <w:szCs w:val="24"/>
        </w:rPr>
        <w:t xml:space="preserve">at </w:t>
      </w:r>
      <w:hyperlink r:id="rId1" w:history="1">
        <w:r w:rsidR="00112C97" w:rsidRPr="00112C97">
          <w:rPr>
            <w:rStyle w:val="Hyperlink"/>
            <w:rFonts w:ascii="Times New Roman" w:hAnsi="Times New Roman" w:cs="Times New Roman"/>
            <w:sz w:val="24"/>
            <w:szCs w:val="24"/>
          </w:rPr>
          <w:t>Appendix Townridge Full</w:t>
        </w:r>
      </w:hyperlink>
      <w:r w:rsidR="00112C97" w:rsidRPr="00112C97">
        <w:rPr>
          <w:rFonts w:ascii="Times New Roman" w:hAnsi="Times New Roman" w:cs="Times New Roman"/>
          <w:sz w:val="24"/>
          <w:szCs w:val="24"/>
        </w:rPr>
        <w:t>.</w:t>
      </w:r>
    </w:p>
    <w:p w14:paraId="18DB1A04" w14:textId="77777777" w:rsidR="00B96F22" w:rsidRPr="00B96F22" w:rsidRDefault="00B96F22">
      <w:pPr>
        <w:pStyle w:val="FootnoteText"/>
        <w:rPr>
          <w:rFonts w:ascii="Times New Roman" w:hAnsi="Times New Roman" w:cs="Times New Roman"/>
          <w:sz w:val="24"/>
          <w:szCs w:val="24"/>
        </w:rPr>
      </w:pPr>
    </w:p>
  </w:footnote>
  <w:footnote w:id="2">
    <w:p w14:paraId="22D48548" w14:textId="4479DEBE" w:rsidR="00B96F22" w:rsidRPr="00B96F22" w:rsidRDefault="00B96F22">
      <w:pPr>
        <w:pStyle w:val="FootnoteText"/>
        <w:rPr>
          <w:rFonts w:ascii="Times New Roman" w:hAnsi="Times New Roman" w:cs="Times New Roman"/>
          <w:sz w:val="24"/>
          <w:szCs w:val="24"/>
        </w:rPr>
      </w:pPr>
      <w:r w:rsidRPr="00B96F22">
        <w:rPr>
          <w:rStyle w:val="FootnoteReference"/>
          <w:rFonts w:ascii="Times New Roman" w:hAnsi="Times New Roman" w:cs="Times New Roman"/>
          <w:sz w:val="24"/>
          <w:szCs w:val="24"/>
        </w:rPr>
        <w:footnoteRef/>
      </w:r>
      <w:r w:rsidRPr="00B96F22">
        <w:rPr>
          <w:rFonts w:ascii="Times New Roman" w:hAnsi="Times New Roman" w:cs="Times New Roman"/>
          <w:sz w:val="24"/>
          <w:szCs w:val="24"/>
        </w:rPr>
        <w:t xml:space="preserve"> This one fact is based on a phone call to the property manager of this complex </w:t>
      </w:r>
      <w:r>
        <w:rPr>
          <w:rFonts w:ascii="Times New Roman" w:hAnsi="Times New Roman" w:cs="Times New Roman"/>
          <w:sz w:val="24"/>
          <w:szCs w:val="24"/>
        </w:rPr>
        <w:t xml:space="preserve">which I </w:t>
      </w:r>
      <w:r w:rsidRPr="00B96F22">
        <w:rPr>
          <w:rFonts w:ascii="Times New Roman" w:hAnsi="Times New Roman" w:cs="Times New Roman"/>
          <w:sz w:val="24"/>
          <w:szCs w:val="24"/>
        </w:rPr>
        <w:t>made in April 2026</w:t>
      </w:r>
      <w:r>
        <w:rPr>
          <w:rFonts w:ascii="Times New Roman" w:hAnsi="Times New Roman" w:cs="Times New Roman"/>
          <w:sz w:val="24"/>
          <w:szCs w:val="24"/>
        </w:rPr>
        <w:t xml:space="preserve">. It </w:t>
      </w:r>
      <w:r w:rsidRPr="00B96F22">
        <w:rPr>
          <w:rFonts w:ascii="Times New Roman" w:hAnsi="Times New Roman" w:cs="Times New Roman"/>
          <w:sz w:val="24"/>
          <w:szCs w:val="24"/>
        </w:rPr>
        <w:t>is included for context and not legal importance.</w:t>
      </w:r>
    </w:p>
  </w:footnote>
  <w:footnote w:id="3">
    <w:p w14:paraId="20829C2C" w14:textId="173FF797" w:rsidR="00645EDD" w:rsidRPr="00B539E1" w:rsidRDefault="00645EDD">
      <w:pPr>
        <w:pStyle w:val="FootnoteText"/>
        <w:rPr>
          <w:rFonts w:ascii="Times New Roman" w:hAnsi="Times New Roman" w:cs="Times New Roman"/>
          <w:sz w:val="24"/>
          <w:szCs w:val="24"/>
        </w:rPr>
      </w:pPr>
      <w:r w:rsidRPr="00B539E1">
        <w:rPr>
          <w:rStyle w:val="FootnoteReference"/>
          <w:sz w:val="24"/>
          <w:szCs w:val="24"/>
        </w:rPr>
        <w:footnoteRef/>
      </w:r>
      <w:r w:rsidR="00293366" w:rsidRPr="00B539E1">
        <w:rPr>
          <w:rFonts w:ascii="Times New Roman" w:hAnsi="Times New Roman" w:cs="Times New Roman"/>
          <w:sz w:val="24"/>
          <w:szCs w:val="24"/>
        </w:rPr>
        <w:t xml:space="preserve"> </w:t>
      </w:r>
      <w:r w:rsidR="00C209B2">
        <w:rPr>
          <w:rFonts w:ascii="Times New Roman" w:hAnsi="Times New Roman" w:cs="Times New Roman"/>
          <w:sz w:val="24"/>
          <w:szCs w:val="24"/>
        </w:rPr>
        <w:t>For</w:t>
      </w:r>
      <w:r w:rsidR="00293366" w:rsidRPr="00B539E1">
        <w:rPr>
          <w:rFonts w:ascii="Times New Roman" w:hAnsi="Times New Roman" w:cs="Times New Roman"/>
          <w:sz w:val="24"/>
          <w:szCs w:val="24"/>
        </w:rPr>
        <w:t xml:space="preserve"> some </w:t>
      </w:r>
      <w:r w:rsidR="00C209B2">
        <w:rPr>
          <w:rFonts w:ascii="Times New Roman" w:hAnsi="Times New Roman" w:cs="Times New Roman"/>
          <w:sz w:val="24"/>
          <w:szCs w:val="24"/>
        </w:rPr>
        <w:t>statutes</w:t>
      </w:r>
      <w:r w:rsidR="00B539E1">
        <w:rPr>
          <w:rFonts w:ascii="Times New Roman" w:hAnsi="Times New Roman" w:cs="Times New Roman"/>
          <w:sz w:val="24"/>
          <w:szCs w:val="24"/>
        </w:rPr>
        <w:t xml:space="preserve"> </w:t>
      </w:r>
      <w:r w:rsidR="00293366" w:rsidRPr="00B539E1">
        <w:rPr>
          <w:rFonts w:ascii="Times New Roman" w:hAnsi="Times New Roman" w:cs="Times New Roman"/>
          <w:sz w:val="24"/>
          <w:szCs w:val="24"/>
        </w:rPr>
        <w:t>the recodification involved changes in language</w:t>
      </w:r>
      <w:r w:rsidR="00B539E1">
        <w:rPr>
          <w:rFonts w:ascii="Times New Roman" w:hAnsi="Times New Roman" w:cs="Times New Roman"/>
          <w:sz w:val="24"/>
          <w:szCs w:val="24"/>
        </w:rPr>
        <w:t>,</w:t>
      </w:r>
      <w:r w:rsidR="00293366" w:rsidRPr="00B539E1">
        <w:rPr>
          <w:rFonts w:ascii="Times New Roman" w:hAnsi="Times New Roman" w:cs="Times New Roman"/>
          <w:sz w:val="24"/>
          <w:szCs w:val="24"/>
        </w:rPr>
        <w:t xml:space="preserve"> but recodification did not change the meaning of any statute. </w:t>
      </w:r>
      <w:hyperlink r:id="rId2" w:history="1">
        <w:r w:rsidR="00293366" w:rsidRPr="00B539E1">
          <w:rPr>
            <w:rStyle w:val="Hyperlink"/>
            <w:rFonts w:ascii="Times New Roman" w:hAnsi="Times New Roman" w:cs="Times New Roman"/>
            <w:sz w:val="24"/>
            <w:szCs w:val="24"/>
          </w:rPr>
          <w:t>Occhino v. Grover, 640 N.W.2d 357,362 (Minn. App. 2002)</w:t>
        </w:r>
      </w:hyperlink>
      <w:r w:rsidR="00293366" w:rsidRPr="00B539E1">
        <w:rPr>
          <w:rFonts w:ascii="Times New Roman" w:hAnsi="Times New Roman" w:cs="Times New Roman"/>
          <w:sz w:val="24"/>
          <w:szCs w:val="24"/>
        </w:rPr>
        <w:t>. The security-deposit statute happened to stay nearly word-for-word the same.</w:t>
      </w:r>
      <w:r w:rsidR="00B539E1" w:rsidRPr="00B539E1">
        <w:rPr>
          <w:rFonts w:ascii="Times New Roman" w:hAnsi="Times New Roman" w:cs="Times New Roman"/>
          <w:sz w:val="24"/>
          <w:szCs w:val="24"/>
        </w:rPr>
        <w:t xml:space="preserve"> Compare </w:t>
      </w:r>
      <w:hyperlink r:id="rId3" w:history="1">
        <w:r w:rsidR="00B539E1" w:rsidRPr="00E31062">
          <w:rPr>
            <w:rStyle w:val="Hyperlink"/>
            <w:rFonts w:ascii="Times New Roman" w:hAnsi="Times New Roman" w:cs="Times New Roman"/>
            <w:sz w:val="24"/>
            <w:szCs w:val="24"/>
          </w:rPr>
          <w:t>Minn. Stat. §504.20 (199</w:t>
        </w:r>
        <w:r w:rsidR="00E31062">
          <w:rPr>
            <w:rStyle w:val="Hyperlink"/>
            <w:rFonts w:ascii="Times New Roman" w:hAnsi="Times New Roman" w:cs="Times New Roman"/>
            <w:sz w:val="24"/>
            <w:szCs w:val="24"/>
          </w:rPr>
          <w:t>4)</w:t>
        </w:r>
      </w:hyperlink>
      <w:r w:rsidR="00B539E1" w:rsidRPr="00B539E1">
        <w:rPr>
          <w:rFonts w:ascii="Times New Roman" w:hAnsi="Times New Roman" w:cs="Times New Roman"/>
          <w:sz w:val="24"/>
          <w:szCs w:val="24"/>
        </w:rPr>
        <w:t xml:space="preserve"> or </w:t>
      </w:r>
      <w:hyperlink r:id="rId4" w:history="1">
        <w:r w:rsidR="00B539E1" w:rsidRPr="00E31062">
          <w:rPr>
            <w:rStyle w:val="Hyperlink"/>
            <w:rFonts w:ascii="Times New Roman" w:hAnsi="Times New Roman" w:cs="Times New Roman"/>
            <w:sz w:val="24"/>
            <w:szCs w:val="24"/>
          </w:rPr>
          <w:t>Minn. Stat. §504.20 (1998)</w:t>
        </w:r>
      </w:hyperlink>
      <w:r w:rsidR="00B539E1" w:rsidRPr="00B539E1">
        <w:rPr>
          <w:rFonts w:ascii="Times New Roman" w:hAnsi="Times New Roman" w:cs="Times New Roman"/>
          <w:sz w:val="24"/>
          <w:szCs w:val="24"/>
        </w:rPr>
        <w:t xml:space="preserve"> to </w:t>
      </w:r>
      <w:hyperlink r:id="rId5" w:anchor="laws.1.16.0" w:history="1">
        <w:r w:rsidR="00B539E1" w:rsidRPr="00B539E1">
          <w:rPr>
            <w:rStyle w:val="Hyperlink"/>
            <w:rFonts w:ascii="Times New Roman" w:hAnsi="Times New Roman" w:cs="Times New Roman"/>
            <w:sz w:val="24"/>
            <w:szCs w:val="24"/>
          </w:rPr>
          <w:t>1999 Minn. Laws c 199 art 1 s 16</w:t>
        </w:r>
      </w:hyperlink>
      <w:r w:rsidR="00E31062">
        <w:rPr>
          <w:sz w:val="24"/>
          <w:szCs w:val="24"/>
        </w:rPr>
        <w:t xml:space="preserve"> .</w:t>
      </w:r>
    </w:p>
    <w:p w14:paraId="42380E41" w14:textId="77777777" w:rsidR="00134AFD" w:rsidRPr="00134AFD" w:rsidRDefault="00134AFD">
      <w:pPr>
        <w:pStyle w:val="FootnoteText"/>
        <w:rPr>
          <w:sz w:val="24"/>
          <w:szCs w:val="24"/>
        </w:rPr>
      </w:pPr>
    </w:p>
  </w:footnote>
  <w:footnote w:id="4">
    <w:p w14:paraId="37359BB6" w14:textId="2028AF57" w:rsidR="00645EDD" w:rsidRDefault="00645EDD" w:rsidP="00645EDD">
      <w:pPr>
        <w:pStyle w:val="FootnoteText"/>
        <w:rPr>
          <w:rFonts w:ascii="Times New Roman" w:hAnsi="Times New Roman" w:cs="Times New Roman"/>
          <w:sz w:val="24"/>
          <w:szCs w:val="24"/>
        </w:rPr>
      </w:pPr>
      <w:r w:rsidRPr="00134AFD">
        <w:rPr>
          <w:rStyle w:val="FootnoteReference"/>
          <w:sz w:val="24"/>
          <w:szCs w:val="24"/>
        </w:rPr>
        <w:footnoteRef/>
      </w:r>
      <w:r w:rsidRPr="00134AFD">
        <w:rPr>
          <w:sz w:val="24"/>
          <w:szCs w:val="24"/>
        </w:rPr>
        <w:t xml:space="preserve"> </w:t>
      </w:r>
      <w:hyperlink r:id="rId6" w:anchor="laws.0.6.0" w:history="1">
        <w:r w:rsidRPr="00134AFD">
          <w:rPr>
            <w:rStyle w:val="Hyperlink"/>
            <w:rFonts w:ascii="Times New Roman" w:hAnsi="Times New Roman" w:cs="Times New Roman"/>
            <w:sz w:val="24"/>
            <w:szCs w:val="24"/>
          </w:rPr>
          <w:t>2010 Minn. Laws c 315 s 6</w:t>
        </w:r>
      </w:hyperlink>
      <w:r w:rsidR="0027359C">
        <w:t>.</w:t>
      </w:r>
    </w:p>
    <w:p w14:paraId="5CCF4E02" w14:textId="77777777" w:rsidR="00B539E1" w:rsidRDefault="00B539E1" w:rsidP="00645EDD">
      <w:pPr>
        <w:pStyle w:val="FootnoteText"/>
      </w:pPr>
    </w:p>
  </w:footnote>
  <w:footnote w:id="5">
    <w:p w14:paraId="16A39D79" w14:textId="277D4757" w:rsidR="00645EDD" w:rsidRPr="00B3100A" w:rsidRDefault="00645EDD">
      <w:pPr>
        <w:pStyle w:val="FootnoteText"/>
        <w:rPr>
          <w:rFonts w:ascii="Times New Roman" w:hAnsi="Times New Roman" w:cs="Times New Roman"/>
          <w:sz w:val="24"/>
          <w:szCs w:val="24"/>
        </w:rPr>
      </w:pPr>
      <w:r w:rsidRPr="00B3100A">
        <w:rPr>
          <w:rStyle w:val="FootnoteReference"/>
          <w:rFonts w:ascii="Times New Roman" w:hAnsi="Times New Roman" w:cs="Times New Roman"/>
        </w:rPr>
        <w:footnoteRef/>
      </w:r>
      <w:r w:rsidRPr="00B3100A">
        <w:rPr>
          <w:rFonts w:ascii="Times New Roman" w:hAnsi="Times New Roman" w:cs="Times New Roman"/>
        </w:rPr>
        <w:t xml:space="preserve"> </w:t>
      </w:r>
      <w:r w:rsidRPr="00B3100A">
        <w:rPr>
          <w:rFonts w:ascii="Times New Roman" w:hAnsi="Times New Roman" w:cs="Times New Roman"/>
          <w:sz w:val="24"/>
          <w:szCs w:val="24"/>
        </w:rPr>
        <w:t xml:space="preserve">In inflation-adjusted dollars, the monetary change is pretty minor. $200 in 1996 is worth about $420 today. </w:t>
      </w:r>
      <w:hyperlink r:id="rId7" w:history="1">
        <w:r w:rsidRPr="00B3100A">
          <w:rPr>
            <w:rStyle w:val="Hyperlink"/>
            <w:rFonts w:ascii="Times New Roman" w:hAnsi="Times New Roman" w:cs="Times New Roman"/>
            <w:sz w:val="24"/>
            <w:szCs w:val="24"/>
          </w:rPr>
          <w:t>https://www.usinflationcalculator.com/inflation/consumer-price-index-and-annual-percent-changes-from-1913-to-2008/</w:t>
        </w:r>
      </w:hyperlink>
    </w:p>
    <w:p w14:paraId="03C0606B" w14:textId="77777777" w:rsidR="00134AFD" w:rsidRPr="00B3100A" w:rsidRDefault="00134AFD">
      <w:pPr>
        <w:pStyle w:val="FootnoteText"/>
        <w:rPr>
          <w:rFonts w:ascii="Times New Roman" w:hAnsi="Times New Roman" w:cs="Times New Roman"/>
          <w:sz w:val="24"/>
          <w:szCs w:val="24"/>
        </w:rPr>
      </w:pPr>
    </w:p>
  </w:footnote>
  <w:footnote w:id="6">
    <w:p w14:paraId="727961F1" w14:textId="6274BE01" w:rsidR="00291AC5" w:rsidRDefault="00291AC5">
      <w:pPr>
        <w:pStyle w:val="FootnoteText"/>
        <w:rPr>
          <w:rFonts w:ascii="Times New Roman" w:hAnsi="Times New Roman" w:cs="Times New Roman"/>
          <w:sz w:val="24"/>
          <w:szCs w:val="24"/>
        </w:rPr>
      </w:pPr>
      <w:r w:rsidRPr="00B3100A">
        <w:rPr>
          <w:rStyle w:val="FootnoteReference"/>
          <w:rFonts w:ascii="Times New Roman" w:hAnsi="Times New Roman" w:cs="Times New Roman"/>
          <w:sz w:val="24"/>
          <w:szCs w:val="24"/>
        </w:rPr>
        <w:footnoteRef/>
      </w:r>
      <w:r w:rsidRPr="00B3100A">
        <w:rPr>
          <w:rFonts w:ascii="Times New Roman" w:hAnsi="Times New Roman" w:cs="Times New Roman"/>
          <w:sz w:val="24"/>
          <w:szCs w:val="24"/>
        </w:rPr>
        <w:t xml:space="preserve"> Three </w:t>
      </w:r>
      <w:r w:rsidR="0030639B">
        <w:rPr>
          <w:rFonts w:ascii="Times New Roman" w:hAnsi="Times New Roman" w:cs="Times New Roman"/>
          <w:sz w:val="24"/>
          <w:szCs w:val="24"/>
        </w:rPr>
        <w:t>session laws changed</w:t>
      </w:r>
      <w:r w:rsidRPr="00B3100A">
        <w:rPr>
          <w:rFonts w:ascii="Times New Roman" w:hAnsi="Times New Roman" w:cs="Times New Roman"/>
          <w:sz w:val="24"/>
          <w:szCs w:val="24"/>
        </w:rPr>
        <w:t xml:space="preserve"> the interest rates on deposits. Two amended subdivision 8 of Minn. Stat. §504B.178. One adjusted the statutory reference in subdivision 2. The 2023 </w:t>
      </w:r>
      <w:r w:rsidR="0030639B">
        <w:rPr>
          <w:rFonts w:ascii="Times New Roman" w:hAnsi="Times New Roman" w:cs="Times New Roman"/>
          <w:sz w:val="24"/>
          <w:szCs w:val="24"/>
        </w:rPr>
        <w:t>law</w:t>
      </w:r>
      <w:r w:rsidRPr="00B3100A">
        <w:rPr>
          <w:rFonts w:ascii="Times New Roman" w:hAnsi="Times New Roman" w:cs="Times New Roman"/>
          <w:sz w:val="24"/>
          <w:szCs w:val="24"/>
        </w:rPr>
        <w:t xml:space="preserve"> involved a new requirement for move-in and move-out inspections and amended Minn. Stat. §504B.178, subdivision 4 </w:t>
      </w:r>
      <w:r w:rsidR="0030639B">
        <w:rPr>
          <w:rFonts w:ascii="Times New Roman" w:hAnsi="Times New Roman" w:cs="Times New Roman"/>
          <w:sz w:val="24"/>
          <w:szCs w:val="24"/>
        </w:rPr>
        <w:t>accordingly</w:t>
      </w:r>
      <w:r w:rsidRPr="00B3100A">
        <w:rPr>
          <w:rFonts w:ascii="Times New Roman" w:hAnsi="Times New Roman" w:cs="Times New Roman"/>
          <w:sz w:val="24"/>
          <w:szCs w:val="24"/>
        </w:rPr>
        <w:t>. See Minn. Stat. Annotated §504B.178, Historical and Statutory Notes</w:t>
      </w:r>
      <w:r w:rsidR="0030639B">
        <w:rPr>
          <w:rFonts w:ascii="Times New Roman" w:hAnsi="Times New Roman" w:cs="Times New Roman"/>
          <w:sz w:val="24"/>
          <w:szCs w:val="24"/>
        </w:rPr>
        <w:t xml:space="preserve">, </w:t>
      </w:r>
      <w:r w:rsidRPr="00B3100A">
        <w:rPr>
          <w:rFonts w:ascii="Times New Roman" w:hAnsi="Times New Roman" w:cs="Times New Roman"/>
          <w:sz w:val="24"/>
          <w:szCs w:val="24"/>
        </w:rPr>
        <w:t xml:space="preserve">or drill down from the </w:t>
      </w:r>
      <w:r w:rsidR="00A1724A" w:rsidRPr="00B3100A">
        <w:rPr>
          <w:rFonts w:ascii="Times New Roman" w:hAnsi="Times New Roman" w:cs="Times New Roman"/>
          <w:sz w:val="24"/>
          <w:szCs w:val="24"/>
        </w:rPr>
        <w:t>“History” part of Minn. Stat. §</w:t>
      </w:r>
      <w:r w:rsidR="0030639B">
        <w:rPr>
          <w:rFonts w:ascii="Times New Roman" w:hAnsi="Times New Roman" w:cs="Times New Roman"/>
          <w:sz w:val="24"/>
          <w:szCs w:val="24"/>
        </w:rPr>
        <w:t>5</w:t>
      </w:r>
      <w:r w:rsidR="00A1724A" w:rsidRPr="00B3100A">
        <w:rPr>
          <w:rFonts w:ascii="Times New Roman" w:hAnsi="Times New Roman" w:cs="Times New Roman"/>
          <w:sz w:val="24"/>
          <w:szCs w:val="24"/>
        </w:rPr>
        <w:t xml:space="preserve">04B.178 (2025), available at </w:t>
      </w:r>
      <w:hyperlink r:id="rId8" w:history="1">
        <w:r w:rsidR="00AC3819" w:rsidRPr="00E21F68">
          <w:rPr>
            <w:rStyle w:val="Hyperlink"/>
            <w:rFonts w:ascii="Times New Roman" w:hAnsi="Times New Roman" w:cs="Times New Roman"/>
            <w:sz w:val="24"/>
            <w:szCs w:val="24"/>
          </w:rPr>
          <w:t>https://www.revisor.mn.gov/statutes/cite/504B.178</w:t>
        </w:r>
      </w:hyperlink>
      <w:r w:rsidR="00AC3819">
        <w:rPr>
          <w:rFonts w:ascii="Times New Roman" w:hAnsi="Times New Roman" w:cs="Times New Roman"/>
          <w:sz w:val="24"/>
          <w:szCs w:val="24"/>
        </w:rPr>
        <w:t xml:space="preserve"> </w:t>
      </w:r>
      <w:r w:rsidR="00A1724A" w:rsidRPr="00B3100A">
        <w:rPr>
          <w:rFonts w:ascii="Times New Roman" w:hAnsi="Times New Roman" w:cs="Times New Roman"/>
          <w:sz w:val="24"/>
          <w:szCs w:val="24"/>
        </w:rPr>
        <w:t>.</w:t>
      </w:r>
    </w:p>
    <w:p w14:paraId="48F46812" w14:textId="77777777" w:rsidR="003044BA" w:rsidRDefault="003044BA">
      <w:pPr>
        <w:pStyle w:val="FootnoteText"/>
      </w:pPr>
    </w:p>
  </w:footnote>
  <w:footnote w:id="7">
    <w:p w14:paraId="24359325" w14:textId="2D6F0160" w:rsidR="003044BA" w:rsidRDefault="003044BA">
      <w:pPr>
        <w:pStyle w:val="FootnoteText"/>
        <w:rPr>
          <w:rFonts w:ascii="Times New Roman" w:hAnsi="Times New Roman" w:cs="Times New Roman"/>
          <w:sz w:val="24"/>
          <w:szCs w:val="24"/>
        </w:rPr>
      </w:pPr>
      <w:r w:rsidRPr="003044BA">
        <w:rPr>
          <w:rStyle w:val="FootnoteReference"/>
          <w:rFonts w:ascii="Times New Roman" w:hAnsi="Times New Roman" w:cs="Times New Roman"/>
          <w:sz w:val="24"/>
          <w:szCs w:val="24"/>
        </w:rPr>
        <w:footnoteRef/>
      </w:r>
      <w:r w:rsidRPr="003044BA">
        <w:rPr>
          <w:rFonts w:ascii="Times New Roman" w:hAnsi="Times New Roman" w:cs="Times New Roman"/>
          <w:sz w:val="24"/>
          <w:szCs w:val="24"/>
        </w:rPr>
        <w:t xml:space="preserve"> This is pretty obvious</w:t>
      </w:r>
      <w:r w:rsidR="009E0B66">
        <w:rPr>
          <w:rFonts w:ascii="Times New Roman" w:hAnsi="Times New Roman" w:cs="Times New Roman"/>
          <w:sz w:val="24"/>
          <w:szCs w:val="24"/>
        </w:rPr>
        <w:t>,</w:t>
      </w:r>
      <w:r w:rsidRPr="003044BA">
        <w:rPr>
          <w:rFonts w:ascii="Times New Roman" w:hAnsi="Times New Roman" w:cs="Times New Roman"/>
          <w:sz w:val="24"/>
          <w:szCs w:val="24"/>
        </w:rPr>
        <w:t xml:space="preserve"> but </w:t>
      </w:r>
      <w:r w:rsidR="009E0B66">
        <w:rPr>
          <w:rFonts w:ascii="Times New Roman" w:hAnsi="Times New Roman" w:cs="Times New Roman"/>
          <w:sz w:val="24"/>
          <w:szCs w:val="24"/>
        </w:rPr>
        <w:t>as confirmation</w:t>
      </w:r>
      <w:r w:rsidRPr="003044BA">
        <w:rPr>
          <w:rFonts w:ascii="Times New Roman" w:hAnsi="Times New Roman" w:cs="Times New Roman"/>
          <w:sz w:val="24"/>
          <w:szCs w:val="24"/>
        </w:rPr>
        <w:t>, Minn. Stat. § 645.46</w:t>
      </w:r>
      <w:r w:rsidR="003A4309">
        <w:rPr>
          <w:rFonts w:ascii="Times New Roman" w:hAnsi="Times New Roman" w:cs="Times New Roman"/>
          <w:sz w:val="24"/>
          <w:szCs w:val="24"/>
        </w:rPr>
        <w:t xml:space="preserve"> et seq </w:t>
      </w:r>
      <w:r w:rsidR="009E0B66">
        <w:rPr>
          <w:rFonts w:ascii="Times New Roman" w:hAnsi="Times New Roman" w:cs="Times New Roman"/>
          <w:sz w:val="24"/>
          <w:szCs w:val="24"/>
        </w:rPr>
        <w:t>require</w:t>
      </w:r>
      <w:r w:rsidR="003A4309">
        <w:rPr>
          <w:rFonts w:ascii="Times New Roman" w:hAnsi="Times New Roman" w:cs="Times New Roman"/>
          <w:sz w:val="24"/>
          <w:szCs w:val="24"/>
        </w:rPr>
        <w:t>s</w:t>
      </w:r>
      <w:r w:rsidR="009E0B66">
        <w:rPr>
          <w:rFonts w:ascii="Times New Roman" w:hAnsi="Times New Roman" w:cs="Times New Roman"/>
          <w:sz w:val="24"/>
          <w:szCs w:val="24"/>
        </w:rPr>
        <w:t xml:space="preserve"> the same meaning for the word “section”.</w:t>
      </w:r>
    </w:p>
    <w:p w14:paraId="1A19E010" w14:textId="77777777" w:rsidR="00E149D4" w:rsidRPr="003044BA" w:rsidRDefault="00E149D4">
      <w:pPr>
        <w:pStyle w:val="FootnoteText"/>
        <w:rPr>
          <w:rFonts w:ascii="Times New Roman" w:hAnsi="Times New Roman" w:cs="Times New Roman"/>
          <w:sz w:val="24"/>
          <w:szCs w:val="24"/>
        </w:rPr>
      </w:pPr>
    </w:p>
  </w:footnote>
  <w:footnote w:id="8">
    <w:p w14:paraId="3AD72453" w14:textId="77777777" w:rsidR="00F30C02" w:rsidRPr="00E149D4" w:rsidRDefault="00F30C02" w:rsidP="00F30C02">
      <w:pPr>
        <w:pStyle w:val="FootnoteText"/>
        <w:rPr>
          <w:rFonts w:ascii="Times New Roman" w:hAnsi="Times New Roman" w:cs="Times New Roman"/>
          <w:sz w:val="24"/>
          <w:szCs w:val="24"/>
        </w:rPr>
      </w:pPr>
      <w:r w:rsidRPr="00E149D4">
        <w:rPr>
          <w:rStyle w:val="FootnoteReference"/>
          <w:rFonts w:ascii="Times New Roman" w:hAnsi="Times New Roman" w:cs="Times New Roman"/>
          <w:sz w:val="24"/>
          <w:szCs w:val="24"/>
        </w:rPr>
        <w:footnoteRef/>
      </w:r>
      <w:r w:rsidRPr="00E149D4">
        <w:rPr>
          <w:rFonts w:ascii="Times New Roman" w:hAnsi="Times New Roman" w:cs="Times New Roman"/>
          <w:sz w:val="24"/>
          <w:szCs w:val="24"/>
        </w:rPr>
        <w:t xml:space="preserve"> Subdivision 4 says, “Any landlord who fails [to do certain things] … </w:t>
      </w:r>
      <w:r w:rsidRPr="00E149D4">
        <w:rPr>
          <w:rFonts w:ascii="Times New Roman" w:hAnsi="Times New Roman" w:cs="Times New Roman"/>
          <w:i/>
          <w:iCs/>
          <w:sz w:val="24"/>
          <w:szCs w:val="24"/>
        </w:rPr>
        <w:t>shall be liable to the tenant for damages in an amount equal to the portion of the deposit withheld by the landlord and interest thereon as provided in subdivision 2, as a penalty, in addition to the portion of the deposit wrongfully withheld by the landlord and interest thereon.”</w:t>
      </w:r>
      <w:r w:rsidRPr="00E149D4">
        <w:rPr>
          <w:rFonts w:ascii="Times New Roman" w:hAnsi="Times New Roman" w:cs="Times New Roman"/>
          <w:sz w:val="24"/>
          <w:szCs w:val="24"/>
        </w:rPr>
        <w:t xml:space="preserve"> This is not a model of clarity but in most cases the italicized clause effectively doubles the deposit + interest</w:t>
      </w:r>
      <w:r>
        <w:rPr>
          <w:rFonts w:ascii="Times New Roman" w:hAnsi="Times New Roman" w:cs="Times New Roman"/>
          <w:sz w:val="24"/>
          <w:szCs w:val="24"/>
        </w:rPr>
        <w:t>. In this essay I call this the “doubling penalty</w:t>
      </w:r>
      <w:proofErr w:type="gramStart"/>
      <w:r>
        <w:rPr>
          <w:rFonts w:ascii="Times New Roman" w:hAnsi="Times New Roman" w:cs="Times New Roman"/>
          <w:sz w:val="24"/>
          <w:szCs w:val="24"/>
        </w:rPr>
        <w:t>”.</w:t>
      </w:r>
      <w:r w:rsidRPr="00E149D4">
        <w:rPr>
          <w:rFonts w:ascii="Times New Roman" w:hAnsi="Times New Roman" w:cs="Times New Roman"/>
          <w:sz w:val="24"/>
          <w:szCs w:val="24"/>
        </w:rPr>
        <w:t>.</w:t>
      </w:r>
      <w:proofErr w:type="gramEnd"/>
    </w:p>
  </w:footnote>
  <w:footnote w:id="9">
    <w:p w14:paraId="793DC1AF" w14:textId="5D1481EB" w:rsidR="00CF070B" w:rsidRDefault="00CF070B">
      <w:pPr>
        <w:pStyle w:val="FootnoteText"/>
        <w:rPr>
          <w:rFonts w:ascii="Times New Roman" w:hAnsi="Times New Roman" w:cs="Times New Roman"/>
          <w:sz w:val="24"/>
          <w:szCs w:val="24"/>
        </w:rPr>
      </w:pPr>
      <w:r w:rsidRPr="00A56DBA">
        <w:rPr>
          <w:rStyle w:val="FootnoteReference"/>
          <w:rFonts w:ascii="Times New Roman" w:hAnsi="Times New Roman" w:cs="Times New Roman"/>
          <w:sz w:val="24"/>
          <w:szCs w:val="24"/>
        </w:rPr>
        <w:footnoteRef/>
      </w:r>
      <w:r w:rsidRPr="00A56DBA">
        <w:rPr>
          <w:rFonts w:ascii="Times New Roman" w:hAnsi="Times New Roman" w:cs="Times New Roman"/>
          <w:sz w:val="24"/>
          <w:szCs w:val="24"/>
        </w:rPr>
        <w:t xml:space="preserve"> The second sentence in subdivision 7 doesn’t change this analysis in either direction. This sentence</w:t>
      </w:r>
      <w:r w:rsidR="00A56DBA" w:rsidRPr="00A56DBA">
        <w:rPr>
          <w:rFonts w:ascii="Times New Roman" w:hAnsi="Times New Roman" w:cs="Times New Roman"/>
          <w:sz w:val="24"/>
          <w:szCs w:val="24"/>
        </w:rPr>
        <w:t xml:space="preserve"> merely</w:t>
      </w:r>
      <w:r w:rsidRPr="00A56DBA">
        <w:rPr>
          <w:rFonts w:ascii="Times New Roman" w:hAnsi="Times New Roman" w:cs="Times New Roman"/>
          <w:sz w:val="24"/>
          <w:szCs w:val="24"/>
        </w:rPr>
        <w:t xml:space="preserve"> creates a presumption that can help the claimant (successor or tenant) prove bad </w:t>
      </w:r>
      <w:r w:rsidR="00A56DBA" w:rsidRPr="00A56DBA">
        <w:rPr>
          <w:rFonts w:ascii="Times New Roman" w:hAnsi="Times New Roman" w:cs="Times New Roman"/>
          <w:sz w:val="24"/>
          <w:szCs w:val="24"/>
        </w:rPr>
        <w:t>faith. Standing to sue for the bad faith $200 per deposit is based on subdivision 5 and the first sentence of subdivision 7.</w:t>
      </w:r>
    </w:p>
    <w:p w14:paraId="2DFD048E" w14:textId="77777777" w:rsidR="004977F5" w:rsidRPr="00A56DBA" w:rsidRDefault="004977F5">
      <w:pPr>
        <w:pStyle w:val="FootnoteText"/>
        <w:rPr>
          <w:rFonts w:ascii="Times New Roman" w:hAnsi="Times New Roman" w:cs="Times New Roman"/>
          <w:sz w:val="24"/>
          <w:szCs w:val="24"/>
        </w:rPr>
      </w:pPr>
    </w:p>
  </w:footnote>
  <w:footnote w:id="10">
    <w:p w14:paraId="7E02C265" w14:textId="5385D8F0" w:rsidR="008E0531" w:rsidRPr="008E0531" w:rsidRDefault="008E0531">
      <w:pPr>
        <w:pStyle w:val="FootnoteText"/>
        <w:rPr>
          <w:rFonts w:ascii="Times New Roman" w:hAnsi="Times New Roman" w:cs="Times New Roman"/>
          <w:sz w:val="24"/>
          <w:szCs w:val="24"/>
        </w:rPr>
      </w:pPr>
      <w:r w:rsidRPr="008E0531">
        <w:rPr>
          <w:rStyle w:val="FootnoteReference"/>
          <w:rFonts w:ascii="Times New Roman" w:hAnsi="Times New Roman" w:cs="Times New Roman"/>
          <w:sz w:val="24"/>
          <w:szCs w:val="24"/>
        </w:rPr>
        <w:footnoteRef/>
      </w:r>
      <w:r w:rsidRPr="008E0531">
        <w:rPr>
          <w:rFonts w:ascii="Times New Roman" w:hAnsi="Times New Roman" w:cs="Times New Roman"/>
          <w:sz w:val="24"/>
          <w:szCs w:val="24"/>
        </w:rPr>
        <w:t xml:space="preserve"> As fully set out in </w:t>
      </w:r>
      <w:hyperlink r:id="rId9" w:history="1">
        <w:r w:rsidRPr="008E0531">
          <w:rPr>
            <w:rStyle w:val="Hyperlink"/>
            <w:rFonts w:ascii="Times New Roman" w:hAnsi="Times New Roman" w:cs="Times New Roman"/>
            <w:bCs/>
            <w:sz w:val="24"/>
            <w:szCs w:val="24"/>
          </w:rPr>
          <w:t>Appendix LH 1992-376</w:t>
        </w:r>
      </w:hyperlink>
      <w:r w:rsidRPr="008E0531">
        <w:rPr>
          <w:rFonts w:ascii="Times New Roman" w:hAnsi="Times New Roman" w:cs="Times New Roman"/>
          <w:sz w:val="24"/>
          <w:szCs w:val="24"/>
        </w:rPr>
        <w:t>, the final bill, SF 720, that became law, was a very large housing bill that incorporated other large housing bills, including HF 714 and SF 915. A</w:t>
      </w:r>
      <w:r w:rsidR="004977F5">
        <w:rPr>
          <w:rFonts w:ascii="Times New Roman" w:hAnsi="Times New Roman" w:cs="Times New Roman"/>
          <w:sz w:val="24"/>
          <w:szCs w:val="24"/>
        </w:rPr>
        <w:t>s introduced, a</w:t>
      </w:r>
      <w:r w:rsidRPr="008E0531">
        <w:rPr>
          <w:rFonts w:ascii="Times New Roman" w:hAnsi="Times New Roman" w:cs="Times New Roman"/>
          <w:sz w:val="24"/>
          <w:szCs w:val="24"/>
        </w:rPr>
        <w:t>ll these bills</w:t>
      </w:r>
      <w:r w:rsidR="004977F5">
        <w:rPr>
          <w:rFonts w:ascii="Times New Roman" w:hAnsi="Times New Roman" w:cs="Times New Roman"/>
          <w:sz w:val="24"/>
          <w:szCs w:val="24"/>
        </w:rPr>
        <w:t xml:space="preserve"> </w:t>
      </w:r>
      <w:r w:rsidRPr="008E0531">
        <w:rPr>
          <w:rFonts w:ascii="Times New Roman" w:hAnsi="Times New Roman" w:cs="Times New Roman"/>
          <w:sz w:val="24"/>
          <w:szCs w:val="24"/>
        </w:rPr>
        <w:t>had identical security-deposit language</w:t>
      </w:r>
      <w:r>
        <w:rPr>
          <w:rFonts w:ascii="Times New Roman" w:hAnsi="Times New Roman" w:cs="Times New Roman"/>
          <w:sz w:val="24"/>
          <w:szCs w:val="24"/>
        </w:rPr>
        <w:t xml:space="preserve">. </w:t>
      </w:r>
      <w:hyperlink r:id="rId10" w:history="1">
        <w:r w:rsidRPr="008E0531">
          <w:rPr>
            <w:rStyle w:val="Hyperlink"/>
            <w:rFonts w:ascii="Times New Roman" w:hAnsi="Times New Roman" w:cs="Times New Roman"/>
            <w:bCs/>
            <w:sz w:val="24"/>
            <w:szCs w:val="24"/>
          </w:rPr>
          <w:t>Appendix LH 1992-376</w:t>
        </w:r>
      </w:hyperlink>
      <w:r w:rsidR="00614DB9">
        <w:rPr>
          <w:rFonts w:ascii="Times New Roman" w:hAnsi="Times New Roman" w:cs="Times New Roman"/>
          <w:sz w:val="24"/>
          <w:szCs w:val="24"/>
        </w:rPr>
        <w:t>, P</w:t>
      </w:r>
      <w:r w:rsidR="00D614BC">
        <w:rPr>
          <w:rFonts w:ascii="Times New Roman" w:hAnsi="Times New Roman" w:cs="Times New Roman"/>
          <w:sz w:val="24"/>
          <w:szCs w:val="24"/>
        </w:rPr>
        <w:t>D</w:t>
      </w:r>
      <w:r w:rsidR="00614DB9">
        <w:rPr>
          <w:rFonts w:ascii="Times New Roman" w:hAnsi="Times New Roman" w:cs="Times New Roman"/>
          <w:sz w:val="24"/>
          <w:szCs w:val="24"/>
        </w:rPr>
        <w:t>F pages 9-14</w:t>
      </w:r>
      <w:r w:rsidR="004977F5">
        <w:rPr>
          <w:rFonts w:ascii="Times New Roman" w:hAnsi="Times New Roman" w:cs="Times New Roman"/>
          <w:sz w:val="24"/>
          <w:szCs w:val="24"/>
        </w:rPr>
        <w:t>,</w:t>
      </w:r>
      <w:r w:rsidR="00614DB9">
        <w:rPr>
          <w:rFonts w:ascii="Times New Roman" w:hAnsi="Times New Roman" w:cs="Times New Roman"/>
          <w:sz w:val="24"/>
          <w:szCs w:val="24"/>
        </w:rPr>
        <w:t xml:space="preserve"> </w:t>
      </w:r>
      <w:r w:rsidRPr="008E0531">
        <w:rPr>
          <w:rFonts w:ascii="Times New Roman" w:hAnsi="Times New Roman" w:cs="Times New Roman"/>
          <w:sz w:val="24"/>
          <w:szCs w:val="24"/>
        </w:rPr>
        <w:t>shows the language in question.</w:t>
      </w:r>
    </w:p>
    <w:p w14:paraId="772319F4" w14:textId="77777777" w:rsidR="008E0531" w:rsidRDefault="008E0531">
      <w:pPr>
        <w:pStyle w:val="FootnoteText"/>
      </w:pPr>
    </w:p>
  </w:footnote>
  <w:footnote w:id="11">
    <w:p w14:paraId="34BD132C" w14:textId="194769C0" w:rsidR="008F07FF" w:rsidRDefault="008F07FF">
      <w:pPr>
        <w:pStyle w:val="FootnoteText"/>
        <w:rPr>
          <w:rFonts w:ascii="Times New Roman" w:hAnsi="Times New Roman" w:cs="Times New Roman"/>
          <w:sz w:val="24"/>
          <w:szCs w:val="24"/>
        </w:rPr>
      </w:pPr>
      <w:r w:rsidRPr="00DE60E3">
        <w:rPr>
          <w:rStyle w:val="FootnoteReference"/>
          <w:rFonts w:ascii="Times New Roman" w:hAnsi="Times New Roman" w:cs="Times New Roman"/>
          <w:sz w:val="24"/>
          <w:szCs w:val="24"/>
        </w:rPr>
        <w:footnoteRef/>
      </w:r>
      <w:r w:rsidRPr="00DE60E3">
        <w:rPr>
          <w:rFonts w:ascii="Times New Roman" w:hAnsi="Times New Roman" w:cs="Times New Roman"/>
          <w:sz w:val="24"/>
          <w:szCs w:val="24"/>
        </w:rPr>
        <w:t xml:space="preserve"> </w:t>
      </w:r>
      <w:r w:rsidR="00DE60E3" w:rsidRPr="00DE60E3">
        <w:rPr>
          <w:rFonts w:ascii="Times New Roman" w:hAnsi="Times New Roman" w:cs="Times New Roman"/>
          <w:sz w:val="24"/>
          <w:szCs w:val="24"/>
        </w:rPr>
        <w:t xml:space="preserve">Endnote 1 </w:t>
      </w:r>
      <w:r w:rsidR="00DE60E3">
        <w:rPr>
          <w:rFonts w:ascii="Times New Roman" w:hAnsi="Times New Roman" w:cs="Times New Roman"/>
          <w:sz w:val="24"/>
          <w:szCs w:val="24"/>
        </w:rPr>
        <w:t xml:space="preserve">includes </w:t>
      </w:r>
      <w:r w:rsidR="00DE60E3" w:rsidRPr="00DE60E3">
        <w:rPr>
          <w:rFonts w:ascii="Times New Roman" w:hAnsi="Times New Roman" w:cs="Times New Roman"/>
          <w:sz w:val="24"/>
          <w:szCs w:val="24"/>
        </w:rPr>
        <w:t>transcripts of their testimony</w:t>
      </w:r>
      <w:r w:rsidR="00BE00D3">
        <w:rPr>
          <w:rFonts w:ascii="Times New Roman" w:hAnsi="Times New Roman" w:cs="Times New Roman"/>
          <w:sz w:val="24"/>
          <w:szCs w:val="24"/>
        </w:rPr>
        <w:t xml:space="preserve"> on the security-deposit parts of Article 1</w:t>
      </w:r>
      <w:r w:rsidR="00BB1665">
        <w:rPr>
          <w:rFonts w:ascii="Times New Roman" w:hAnsi="Times New Roman" w:cs="Times New Roman"/>
          <w:sz w:val="24"/>
          <w:szCs w:val="24"/>
        </w:rPr>
        <w:t xml:space="preserve"> plus a summary by Senate counsel</w:t>
      </w:r>
      <w:r w:rsidR="00DE60E3" w:rsidRPr="00DE60E3">
        <w:rPr>
          <w:rFonts w:ascii="Times New Roman" w:hAnsi="Times New Roman" w:cs="Times New Roman"/>
          <w:sz w:val="24"/>
          <w:szCs w:val="24"/>
        </w:rPr>
        <w:t>.</w:t>
      </w:r>
    </w:p>
    <w:p w14:paraId="451E1244" w14:textId="77777777" w:rsidR="00BE00D3" w:rsidRPr="001E2AF7" w:rsidRDefault="00BE00D3">
      <w:pPr>
        <w:pStyle w:val="FootnoteText"/>
        <w:rPr>
          <w:rFonts w:ascii="Times New Roman" w:hAnsi="Times New Roman" w:cs="Times New Roman"/>
          <w:sz w:val="24"/>
          <w:szCs w:val="24"/>
        </w:rPr>
      </w:pPr>
    </w:p>
  </w:footnote>
  <w:footnote w:id="12">
    <w:p w14:paraId="248E7012" w14:textId="1882EF91" w:rsidR="00BC7AF9" w:rsidRDefault="00BC7AF9" w:rsidP="00BC7AF9">
      <w:pPr>
        <w:pStyle w:val="FootnoteText"/>
        <w:rPr>
          <w:rFonts w:ascii="Times New Roman" w:hAnsi="Times New Roman" w:cs="Times New Roman"/>
          <w:sz w:val="24"/>
          <w:szCs w:val="24"/>
        </w:rPr>
      </w:pPr>
      <w:r w:rsidRPr="001E2AF7">
        <w:rPr>
          <w:rStyle w:val="FootnoteReference"/>
          <w:rFonts w:ascii="Times New Roman" w:hAnsi="Times New Roman" w:cs="Times New Roman"/>
          <w:sz w:val="24"/>
          <w:szCs w:val="24"/>
        </w:rPr>
        <w:footnoteRef/>
      </w:r>
      <w:r w:rsidRPr="001E2AF7">
        <w:rPr>
          <w:rFonts w:ascii="Times New Roman" w:hAnsi="Times New Roman" w:cs="Times New Roman"/>
          <w:sz w:val="24"/>
          <w:szCs w:val="24"/>
        </w:rPr>
        <w:t xml:space="preserve"> Original bills</w:t>
      </w:r>
      <w:r>
        <w:rPr>
          <w:rFonts w:ascii="Times New Roman" w:hAnsi="Times New Roman" w:cs="Times New Roman"/>
          <w:sz w:val="24"/>
          <w:szCs w:val="24"/>
        </w:rPr>
        <w:t xml:space="preserve"> as introduced</w:t>
      </w:r>
      <w:r w:rsidRPr="001E2AF7">
        <w:rPr>
          <w:rFonts w:ascii="Times New Roman" w:hAnsi="Times New Roman" w:cs="Times New Roman"/>
          <w:sz w:val="24"/>
          <w:szCs w:val="24"/>
        </w:rPr>
        <w:t>, Article 1, Section</w:t>
      </w:r>
      <w:r>
        <w:rPr>
          <w:rFonts w:ascii="Times New Roman" w:hAnsi="Times New Roman" w:cs="Times New Roman"/>
          <w:sz w:val="24"/>
          <w:szCs w:val="24"/>
        </w:rPr>
        <w:t xml:space="preserve"> 4</w:t>
      </w:r>
      <w:r w:rsidRPr="001E2AF7">
        <w:rPr>
          <w:rFonts w:ascii="Times New Roman" w:hAnsi="Times New Roman" w:cs="Times New Roman"/>
          <w:sz w:val="24"/>
          <w:szCs w:val="24"/>
        </w:rPr>
        <w:t>,</w:t>
      </w:r>
      <w:r>
        <w:rPr>
          <w:rFonts w:ascii="Times New Roman" w:hAnsi="Times New Roman" w:cs="Times New Roman"/>
          <w:sz w:val="24"/>
          <w:szCs w:val="24"/>
        </w:rPr>
        <w:t xml:space="preserve"> available in</w:t>
      </w:r>
      <w:r w:rsidRPr="001E2AF7">
        <w:rPr>
          <w:rFonts w:ascii="Times New Roman" w:hAnsi="Times New Roman" w:cs="Times New Roman"/>
          <w:sz w:val="24"/>
          <w:szCs w:val="24"/>
        </w:rPr>
        <w:t xml:space="preserve"> </w:t>
      </w:r>
      <w:hyperlink r:id="rId11" w:history="1">
        <w:r w:rsidRPr="008E0531">
          <w:rPr>
            <w:rStyle w:val="Hyperlink"/>
            <w:rFonts w:ascii="Times New Roman" w:hAnsi="Times New Roman" w:cs="Times New Roman"/>
            <w:bCs/>
            <w:sz w:val="24"/>
            <w:szCs w:val="24"/>
          </w:rPr>
          <w:t>Appendix LH 1992-376</w:t>
        </w:r>
      </w:hyperlink>
      <w:r>
        <w:rPr>
          <w:rFonts w:ascii="Times New Roman" w:hAnsi="Times New Roman" w:cs="Times New Roman"/>
          <w:sz w:val="24"/>
          <w:szCs w:val="24"/>
        </w:rPr>
        <w:t xml:space="preserve"> </w:t>
      </w:r>
      <w:r w:rsidRPr="001E2AF7">
        <w:rPr>
          <w:rFonts w:ascii="Times New Roman" w:hAnsi="Times New Roman" w:cs="Times New Roman"/>
          <w:sz w:val="24"/>
          <w:szCs w:val="24"/>
        </w:rPr>
        <w:t>at PDF page</w:t>
      </w:r>
      <w:r>
        <w:rPr>
          <w:rFonts w:ascii="Times New Roman" w:hAnsi="Times New Roman" w:cs="Times New Roman"/>
          <w:sz w:val="24"/>
          <w:szCs w:val="24"/>
        </w:rPr>
        <w:t xml:space="preserve"> 10</w:t>
      </w:r>
      <w:r w:rsidRPr="001E2AF7">
        <w:rPr>
          <w:rFonts w:ascii="Times New Roman" w:hAnsi="Times New Roman" w:cs="Times New Roman"/>
          <w:sz w:val="24"/>
          <w:szCs w:val="24"/>
        </w:rPr>
        <w:t>.</w:t>
      </w:r>
    </w:p>
    <w:p w14:paraId="076E1CC3" w14:textId="77777777" w:rsidR="00BC7AF9" w:rsidRDefault="00BC7AF9" w:rsidP="00BC7AF9">
      <w:pPr>
        <w:pStyle w:val="FootnoteText"/>
      </w:pPr>
    </w:p>
  </w:footnote>
  <w:footnote w:id="13">
    <w:p w14:paraId="6D5D084D" w14:textId="6883F988" w:rsidR="00BC7AF9" w:rsidRPr="00BC7AF9" w:rsidRDefault="00BC7AF9">
      <w:pPr>
        <w:pStyle w:val="FootnoteText"/>
        <w:rPr>
          <w:rFonts w:ascii="Times New Roman" w:hAnsi="Times New Roman" w:cs="Times New Roman"/>
          <w:sz w:val="24"/>
          <w:szCs w:val="24"/>
        </w:rPr>
      </w:pPr>
      <w:r w:rsidRPr="00BC7AF9">
        <w:rPr>
          <w:rStyle w:val="FootnoteReference"/>
          <w:rFonts w:ascii="Times New Roman" w:hAnsi="Times New Roman" w:cs="Times New Roman"/>
          <w:sz w:val="24"/>
          <w:szCs w:val="24"/>
        </w:rPr>
        <w:footnoteRef/>
      </w:r>
      <w:r w:rsidRPr="00BC7AF9">
        <w:rPr>
          <w:rFonts w:ascii="Times New Roman" w:hAnsi="Times New Roman" w:cs="Times New Roman"/>
          <w:sz w:val="24"/>
          <w:szCs w:val="24"/>
        </w:rPr>
        <w:t xml:space="preserve"> As discussed at length in </w:t>
      </w:r>
      <w:hyperlink r:id="rId12" w:history="1">
        <w:r w:rsidR="00D948E9" w:rsidRPr="00D948E9">
          <w:rPr>
            <w:rStyle w:val="Hyperlink"/>
            <w:rFonts w:ascii="Times New Roman" w:hAnsi="Times New Roman" w:cs="Times New Roman"/>
            <w:sz w:val="24"/>
            <w:szCs w:val="24"/>
          </w:rPr>
          <w:t>a</w:t>
        </w:r>
        <w:r w:rsidRPr="00D948E9">
          <w:rPr>
            <w:rStyle w:val="Hyperlink"/>
            <w:rFonts w:ascii="Times New Roman" w:hAnsi="Times New Roman" w:cs="Times New Roman"/>
            <w:sz w:val="24"/>
            <w:szCs w:val="24"/>
          </w:rPr>
          <w:t xml:space="preserve"> prior blog</w:t>
        </w:r>
      </w:hyperlink>
      <w:r w:rsidRPr="00BC7AF9">
        <w:rPr>
          <w:rFonts w:ascii="Times New Roman" w:hAnsi="Times New Roman" w:cs="Times New Roman"/>
          <w:sz w:val="24"/>
          <w:szCs w:val="24"/>
        </w:rPr>
        <w:t>, later in the process the word “after” was added between “and” &amp; “receipt”.</w:t>
      </w:r>
    </w:p>
    <w:p w14:paraId="2E5DA277" w14:textId="77777777" w:rsidR="00BC7AF9" w:rsidRDefault="00BC7AF9">
      <w:pPr>
        <w:pStyle w:val="FootnoteText"/>
      </w:pPr>
    </w:p>
  </w:footnote>
  <w:footnote w:id="14">
    <w:p w14:paraId="0B4A9506" w14:textId="1C3AD826" w:rsidR="00BC7AF9" w:rsidRDefault="00BC7AF9" w:rsidP="00BC7AF9">
      <w:pPr>
        <w:pStyle w:val="FootnoteText"/>
        <w:rPr>
          <w:rFonts w:ascii="Times New Roman" w:hAnsi="Times New Roman" w:cs="Times New Roman"/>
          <w:sz w:val="24"/>
          <w:szCs w:val="24"/>
        </w:rPr>
      </w:pPr>
      <w:r w:rsidRPr="001E2AF7">
        <w:rPr>
          <w:rStyle w:val="FootnoteReference"/>
          <w:rFonts w:ascii="Times New Roman" w:hAnsi="Times New Roman" w:cs="Times New Roman"/>
          <w:sz w:val="24"/>
          <w:szCs w:val="24"/>
        </w:rPr>
        <w:footnoteRef/>
      </w:r>
      <w:r w:rsidRPr="001E2AF7">
        <w:rPr>
          <w:rFonts w:ascii="Times New Roman" w:hAnsi="Times New Roman" w:cs="Times New Roman"/>
          <w:sz w:val="24"/>
          <w:szCs w:val="24"/>
        </w:rPr>
        <w:t xml:space="preserve"> Original bills</w:t>
      </w:r>
      <w:r>
        <w:rPr>
          <w:rFonts w:ascii="Times New Roman" w:hAnsi="Times New Roman" w:cs="Times New Roman"/>
          <w:sz w:val="24"/>
          <w:szCs w:val="24"/>
        </w:rPr>
        <w:t xml:space="preserve"> as introduced</w:t>
      </w:r>
      <w:r w:rsidRPr="001E2AF7">
        <w:rPr>
          <w:rFonts w:ascii="Times New Roman" w:hAnsi="Times New Roman" w:cs="Times New Roman"/>
          <w:sz w:val="24"/>
          <w:szCs w:val="24"/>
        </w:rPr>
        <w:t>, Article 1, Section</w:t>
      </w:r>
      <w:r>
        <w:rPr>
          <w:rFonts w:ascii="Times New Roman" w:hAnsi="Times New Roman" w:cs="Times New Roman"/>
          <w:sz w:val="24"/>
          <w:szCs w:val="24"/>
        </w:rPr>
        <w:t xml:space="preserve"> </w:t>
      </w:r>
      <w:r w:rsidRPr="001E2AF7">
        <w:rPr>
          <w:rFonts w:ascii="Times New Roman" w:hAnsi="Times New Roman" w:cs="Times New Roman"/>
          <w:sz w:val="24"/>
          <w:szCs w:val="24"/>
        </w:rPr>
        <w:t>5,</w:t>
      </w:r>
      <w:r>
        <w:rPr>
          <w:rFonts w:ascii="Times New Roman" w:hAnsi="Times New Roman" w:cs="Times New Roman"/>
          <w:sz w:val="24"/>
          <w:szCs w:val="24"/>
        </w:rPr>
        <w:t xml:space="preserve"> available in</w:t>
      </w:r>
      <w:r w:rsidRPr="001E2AF7">
        <w:rPr>
          <w:rFonts w:ascii="Times New Roman" w:hAnsi="Times New Roman" w:cs="Times New Roman"/>
          <w:sz w:val="24"/>
          <w:szCs w:val="24"/>
        </w:rPr>
        <w:t xml:space="preserve"> </w:t>
      </w:r>
      <w:hyperlink r:id="rId13" w:history="1">
        <w:r w:rsidRPr="008E0531">
          <w:rPr>
            <w:rStyle w:val="Hyperlink"/>
            <w:rFonts w:ascii="Times New Roman" w:hAnsi="Times New Roman" w:cs="Times New Roman"/>
            <w:bCs/>
            <w:sz w:val="24"/>
            <w:szCs w:val="24"/>
          </w:rPr>
          <w:t>Appendix LH 1992-376</w:t>
        </w:r>
      </w:hyperlink>
      <w:r>
        <w:rPr>
          <w:rFonts w:ascii="Times New Roman" w:hAnsi="Times New Roman" w:cs="Times New Roman"/>
          <w:sz w:val="24"/>
          <w:szCs w:val="24"/>
        </w:rPr>
        <w:t xml:space="preserve"> </w:t>
      </w:r>
      <w:r w:rsidRPr="001E2AF7">
        <w:rPr>
          <w:rFonts w:ascii="Times New Roman" w:hAnsi="Times New Roman" w:cs="Times New Roman"/>
          <w:sz w:val="24"/>
          <w:szCs w:val="24"/>
        </w:rPr>
        <w:t>at PDF page</w:t>
      </w:r>
      <w:r>
        <w:rPr>
          <w:rFonts w:ascii="Times New Roman" w:hAnsi="Times New Roman" w:cs="Times New Roman"/>
          <w:sz w:val="24"/>
          <w:szCs w:val="24"/>
        </w:rPr>
        <w:t xml:space="preserve"> 11</w:t>
      </w:r>
      <w:r w:rsidRPr="001E2AF7">
        <w:rPr>
          <w:rFonts w:ascii="Times New Roman" w:hAnsi="Times New Roman" w:cs="Times New Roman"/>
          <w:sz w:val="24"/>
          <w:szCs w:val="24"/>
        </w:rPr>
        <w:t>.</w:t>
      </w:r>
    </w:p>
    <w:p w14:paraId="4743BCC1" w14:textId="77777777" w:rsidR="00BC7AF9" w:rsidRDefault="00BC7AF9" w:rsidP="00BC7AF9">
      <w:pPr>
        <w:pStyle w:val="FootnoteText"/>
      </w:pPr>
    </w:p>
  </w:footnote>
  <w:footnote w:id="15">
    <w:p w14:paraId="31A7183C" w14:textId="3A980DF9" w:rsidR="00DE60E3" w:rsidRDefault="00DE60E3" w:rsidP="00DE60E3">
      <w:pPr>
        <w:pStyle w:val="FootnoteText"/>
        <w:rPr>
          <w:rFonts w:ascii="Times New Roman" w:hAnsi="Times New Roman" w:cs="Times New Roman"/>
          <w:sz w:val="24"/>
          <w:szCs w:val="24"/>
        </w:rPr>
      </w:pPr>
      <w:r w:rsidRPr="00DE60E3">
        <w:rPr>
          <w:rStyle w:val="FootnoteReference"/>
          <w:rFonts w:ascii="Times New Roman" w:hAnsi="Times New Roman" w:cs="Times New Roman"/>
          <w:sz w:val="24"/>
          <w:szCs w:val="24"/>
        </w:rPr>
        <w:footnoteRef/>
      </w:r>
      <w:r w:rsidRPr="00DE60E3">
        <w:rPr>
          <w:rFonts w:ascii="Times New Roman" w:hAnsi="Times New Roman" w:cs="Times New Roman"/>
          <w:sz w:val="24"/>
          <w:szCs w:val="24"/>
        </w:rPr>
        <w:t xml:space="preserve"> Endnote </w:t>
      </w:r>
      <w:r>
        <w:rPr>
          <w:rFonts w:ascii="Times New Roman" w:hAnsi="Times New Roman" w:cs="Times New Roman"/>
          <w:sz w:val="24"/>
          <w:szCs w:val="24"/>
        </w:rPr>
        <w:t>2</w:t>
      </w:r>
      <w:r w:rsidRPr="00DE60E3">
        <w:rPr>
          <w:rFonts w:ascii="Times New Roman" w:hAnsi="Times New Roman" w:cs="Times New Roman"/>
          <w:sz w:val="24"/>
          <w:szCs w:val="24"/>
        </w:rPr>
        <w:t xml:space="preserve"> </w:t>
      </w:r>
      <w:r>
        <w:rPr>
          <w:rFonts w:ascii="Times New Roman" w:hAnsi="Times New Roman" w:cs="Times New Roman"/>
          <w:sz w:val="24"/>
          <w:szCs w:val="24"/>
        </w:rPr>
        <w:t xml:space="preserve">includes a </w:t>
      </w:r>
      <w:r w:rsidRPr="00DE60E3">
        <w:rPr>
          <w:rFonts w:ascii="Times New Roman" w:hAnsi="Times New Roman" w:cs="Times New Roman"/>
          <w:sz w:val="24"/>
          <w:szCs w:val="24"/>
        </w:rPr>
        <w:t xml:space="preserve">transcript of </w:t>
      </w:r>
      <w:r w:rsidR="00BA217F">
        <w:rPr>
          <w:rFonts w:ascii="Times New Roman" w:hAnsi="Times New Roman" w:cs="Times New Roman"/>
          <w:sz w:val="24"/>
          <w:szCs w:val="24"/>
        </w:rPr>
        <w:t>Herman’s</w:t>
      </w:r>
      <w:r w:rsidRPr="00DE60E3">
        <w:rPr>
          <w:rFonts w:ascii="Times New Roman" w:hAnsi="Times New Roman" w:cs="Times New Roman"/>
          <w:sz w:val="24"/>
          <w:szCs w:val="24"/>
        </w:rPr>
        <w:t xml:space="preserve"> testimony</w:t>
      </w:r>
      <w:r>
        <w:rPr>
          <w:rFonts w:ascii="Times New Roman" w:hAnsi="Times New Roman" w:cs="Times New Roman"/>
          <w:sz w:val="24"/>
          <w:szCs w:val="24"/>
        </w:rPr>
        <w:t xml:space="preserve"> on the security-deposit parts of Article 4</w:t>
      </w:r>
      <w:r w:rsidRPr="00DE60E3">
        <w:rPr>
          <w:rFonts w:ascii="Times New Roman" w:hAnsi="Times New Roman" w:cs="Times New Roman"/>
          <w:sz w:val="24"/>
          <w:szCs w:val="24"/>
        </w:rPr>
        <w:t>.</w:t>
      </w:r>
      <w:r w:rsidR="002B488C">
        <w:rPr>
          <w:rFonts w:ascii="Times New Roman" w:hAnsi="Times New Roman" w:cs="Times New Roman"/>
          <w:sz w:val="24"/>
          <w:szCs w:val="24"/>
        </w:rPr>
        <w:t xml:space="preserve"> He started by commenting on the many landlords essentially walking away from buildings but collecting and keeping as much rent and other money they could from the tenants. </w:t>
      </w:r>
      <w:r w:rsidR="001B7D20">
        <w:rPr>
          <w:rFonts w:ascii="Times New Roman" w:hAnsi="Times New Roman" w:cs="Times New Roman"/>
          <w:sz w:val="24"/>
          <w:szCs w:val="24"/>
        </w:rPr>
        <w:t xml:space="preserve">Endnote 2, </w:t>
      </w:r>
      <w:r w:rsidR="00A533DF">
        <w:rPr>
          <w:rFonts w:ascii="Times New Roman" w:hAnsi="Times New Roman" w:cs="Times New Roman"/>
          <w:sz w:val="24"/>
          <w:szCs w:val="24"/>
        </w:rPr>
        <w:t>l</w:t>
      </w:r>
      <w:r w:rsidR="001B7D20">
        <w:rPr>
          <w:rFonts w:ascii="Times New Roman" w:hAnsi="Times New Roman" w:cs="Times New Roman"/>
          <w:sz w:val="24"/>
          <w:szCs w:val="24"/>
        </w:rPr>
        <w:t>ines 25-27, and passim.</w:t>
      </w:r>
    </w:p>
    <w:p w14:paraId="40EF8E7B" w14:textId="77777777" w:rsidR="009B0B4C" w:rsidRPr="00DE60E3" w:rsidRDefault="009B0B4C" w:rsidP="00DE60E3">
      <w:pPr>
        <w:pStyle w:val="FootnoteText"/>
        <w:rPr>
          <w:rFonts w:ascii="Times New Roman" w:hAnsi="Times New Roman" w:cs="Times New Roman"/>
          <w:sz w:val="24"/>
          <w:szCs w:val="24"/>
        </w:rPr>
      </w:pPr>
    </w:p>
  </w:footnote>
  <w:footnote w:id="16">
    <w:p w14:paraId="43780329" w14:textId="6B59C4DE" w:rsidR="00470812" w:rsidRDefault="00470812">
      <w:pPr>
        <w:pStyle w:val="FootnoteText"/>
        <w:rPr>
          <w:rFonts w:ascii="Times New Roman" w:hAnsi="Times New Roman" w:cs="Times New Roman"/>
          <w:sz w:val="24"/>
          <w:szCs w:val="24"/>
        </w:rPr>
      </w:pPr>
      <w:r w:rsidRPr="00D50B65">
        <w:rPr>
          <w:rStyle w:val="FootnoteReference"/>
          <w:rFonts w:ascii="Times New Roman" w:hAnsi="Times New Roman" w:cs="Times New Roman"/>
          <w:sz w:val="24"/>
          <w:szCs w:val="24"/>
        </w:rPr>
        <w:footnoteRef/>
      </w:r>
      <w:r>
        <w:t xml:space="preserve"> </w:t>
      </w:r>
      <w:r w:rsidR="001B7D20">
        <w:rPr>
          <w:rFonts w:ascii="Times New Roman" w:hAnsi="Times New Roman" w:cs="Times New Roman"/>
          <w:sz w:val="24"/>
          <w:szCs w:val="24"/>
        </w:rPr>
        <w:t xml:space="preserve">Endnote 2, </w:t>
      </w:r>
      <w:r w:rsidR="00A533DF">
        <w:rPr>
          <w:rFonts w:ascii="Times New Roman" w:hAnsi="Times New Roman" w:cs="Times New Roman"/>
          <w:sz w:val="24"/>
          <w:szCs w:val="24"/>
        </w:rPr>
        <w:t>l</w:t>
      </w:r>
      <w:r w:rsidR="001B7D20">
        <w:rPr>
          <w:rFonts w:ascii="Times New Roman" w:hAnsi="Times New Roman" w:cs="Times New Roman"/>
          <w:sz w:val="24"/>
          <w:szCs w:val="24"/>
        </w:rPr>
        <w:t>ines 75-92.</w:t>
      </w:r>
    </w:p>
    <w:p w14:paraId="78F19EF8" w14:textId="77777777" w:rsidR="00BB1665" w:rsidRDefault="00BB1665">
      <w:pPr>
        <w:pStyle w:val="FootnoteText"/>
      </w:pPr>
    </w:p>
  </w:footnote>
  <w:footnote w:id="17">
    <w:p w14:paraId="3DA72892" w14:textId="1B8A019F" w:rsidR="0067146D" w:rsidRDefault="0067146D" w:rsidP="0067146D">
      <w:pPr>
        <w:pStyle w:val="FootnoteText"/>
        <w:rPr>
          <w:rFonts w:ascii="Times New Roman" w:hAnsi="Times New Roman" w:cs="Times New Roman"/>
          <w:sz w:val="24"/>
          <w:szCs w:val="24"/>
        </w:rPr>
      </w:pPr>
      <w:r w:rsidRPr="001E2AF7">
        <w:rPr>
          <w:rStyle w:val="FootnoteReference"/>
          <w:rFonts w:ascii="Times New Roman" w:hAnsi="Times New Roman" w:cs="Times New Roman"/>
          <w:sz w:val="24"/>
          <w:szCs w:val="24"/>
        </w:rPr>
        <w:footnoteRef/>
      </w:r>
      <w:r w:rsidRPr="001E2AF7">
        <w:rPr>
          <w:rFonts w:ascii="Times New Roman" w:hAnsi="Times New Roman" w:cs="Times New Roman"/>
          <w:sz w:val="24"/>
          <w:szCs w:val="24"/>
        </w:rPr>
        <w:t xml:space="preserve"> Original </w:t>
      </w:r>
      <w:r w:rsidR="001B79B8" w:rsidRPr="001E2AF7">
        <w:rPr>
          <w:rFonts w:ascii="Times New Roman" w:hAnsi="Times New Roman" w:cs="Times New Roman"/>
          <w:sz w:val="24"/>
          <w:szCs w:val="24"/>
        </w:rPr>
        <w:t>bills</w:t>
      </w:r>
      <w:r w:rsidR="001B79B8">
        <w:rPr>
          <w:rFonts w:ascii="Times New Roman" w:hAnsi="Times New Roman" w:cs="Times New Roman"/>
          <w:sz w:val="24"/>
          <w:szCs w:val="24"/>
        </w:rPr>
        <w:t xml:space="preserve"> as introduced</w:t>
      </w:r>
      <w:r w:rsidRPr="001E2AF7">
        <w:rPr>
          <w:rFonts w:ascii="Times New Roman" w:hAnsi="Times New Roman" w:cs="Times New Roman"/>
          <w:sz w:val="24"/>
          <w:szCs w:val="24"/>
        </w:rPr>
        <w:t xml:space="preserve">, </w:t>
      </w:r>
      <w:r w:rsidR="00656288">
        <w:rPr>
          <w:rFonts w:ascii="Times New Roman" w:hAnsi="Times New Roman" w:cs="Times New Roman"/>
          <w:sz w:val="24"/>
          <w:szCs w:val="24"/>
        </w:rPr>
        <w:t>Article</w:t>
      </w:r>
      <w:r w:rsidRPr="001E2AF7">
        <w:rPr>
          <w:rFonts w:ascii="Times New Roman" w:hAnsi="Times New Roman" w:cs="Times New Roman"/>
          <w:sz w:val="24"/>
          <w:szCs w:val="24"/>
        </w:rPr>
        <w:t xml:space="preserve"> 4, Section 2, </w:t>
      </w:r>
      <w:r w:rsidR="0058021B">
        <w:rPr>
          <w:rFonts w:ascii="Times New Roman" w:hAnsi="Times New Roman" w:cs="Times New Roman"/>
          <w:sz w:val="24"/>
          <w:szCs w:val="24"/>
        </w:rPr>
        <w:t xml:space="preserve">available in </w:t>
      </w:r>
      <w:hyperlink r:id="rId14" w:history="1">
        <w:r w:rsidR="00656288" w:rsidRPr="008E0531">
          <w:rPr>
            <w:rStyle w:val="Hyperlink"/>
            <w:rFonts w:ascii="Times New Roman" w:hAnsi="Times New Roman" w:cs="Times New Roman"/>
            <w:bCs/>
            <w:sz w:val="24"/>
            <w:szCs w:val="24"/>
          </w:rPr>
          <w:t>Appendix LH 1992-376</w:t>
        </w:r>
      </w:hyperlink>
      <w:r w:rsidR="00656288">
        <w:rPr>
          <w:rFonts w:ascii="Times New Roman" w:hAnsi="Times New Roman" w:cs="Times New Roman"/>
          <w:sz w:val="24"/>
          <w:szCs w:val="24"/>
        </w:rPr>
        <w:t xml:space="preserve"> </w:t>
      </w:r>
      <w:r w:rsidRPr="001E2AF7">
        <w:rPr>
          <w:rFonts w:ascii="Times New Roman" w:hAnsi="Times New Roman" w:cs="Times New Roman"/>
          <w:sz w:val="24"/>
          <w:szCs w:val="24"/>
        </w:rPr>
        <w:t>at PDF pages 12-13.</w:t>
      </w:r>
    </w:p>
    <w:p w14:paraId="617ACF75" w14:textId="77777777" w:rsidR="00BA217F" w:rsidRPr="001E2AF7" w:rsidRDefault="00BA217F" w:rsidP="0067146D">
      <w:pPr>
        <w:pStyle w:val="FootnoteText"/>
        <w:rPr>
          <w:rFonts w:ascii="Times New Roman" w:hAnsi="Times New Roman" w:cs="Times New Roman"/>
          <w:sz w:val="24"/>
          <w:szCs w:val="24"/>
        </w:rPr>
      </w:pPr>
    </w:p>
  </w:footnote>
  <w:footnote w:id="18">
    <w:p w14:paraId="0F23E366" w14:textId="6549746A" w:rsidR="00737309" w:rsidRDefault="00737309" w:rsidP="00737309">
      <w:pPr>
        <w:pStyle w:val="FootnoteText"/>
        <w:rPr>
          <w:rFonts w:ascii="Times New Roman" w:hAnsi="Times New Roman" w:cs="Times New Roman"/>
          <w:sz w:val="24"/>
          <w:szCs w:val="24"/>
        </w:rPr>
      </w:pPr>
      <w:r w:rsidRPr="00D50B65">
        <w:rPr>
          <w:rStyle w:val="FootnoteReference"/>
          <w:rFonts w:ascii="Times New Roman" w:hAnsi="Times New Roman" w:cs="Times New Roman"/>
          <w:sz w:val="24"/>
          <w:szCs w:val="24"/>
        </w:rPr>
        <w:footnoteRef/>
      </w:r>
      <w:r>
        <w:t xml:space="preserve"> </w:t>
      </w:r>
      <w:r>
        <w:rPr>
          <w:rFonts w:ascii="Times New Roman" w:hAnsi="Times New Roman" w:cs="Times New Roman"/>
          <w:sz w:val="24"/>
          <w:szCs w:val="24"/>
        </w:rPr>
        <w:t xml:space="preserve">Endnote 2, </w:t>
      </w:r>
      <w:r w:rsidR="00A533DF">
        <w:rPr>
          <w:rFonts w:ascii="Times New Roman" w:hAnsi="Times New Roman" w:cs="Times New Roman"/>
          <w:sz w:val="24"/>
          <w:szCs w:val="24"/>
        </w:rPr>
        <w:t>l</w:t>
      </w:r>
      <w:r>
        <w:rPr>
          <w:rFonts w:ascii="Times New Roman" w:hAnsi="Times New Roman" w:cs="Times New Roman"/>
          <w:sz w:val="24"/>
          <w:szCs w:val="24"/>
        </w:rPr>
        <w:t>ines 64-75.</w:t>
      </w:r>
    </w:p>
    <w:p w14:paraId="6ED76870" w14:textId="77777777" w:rsidR="00737309" w:rsidRDefault="00737309" w:rsidP="00737309">
      <w:pPr>
        <w:pStyle w:val="FootnoteText"/>
      </w:pPr>
    </w:p>
  </w:footnote>
  <w:footnote w:id="19">
    <w:p w14:paraId="16BE5C4B" w14:textId="2B74B307" w:rsidR="00627805" w:rsidRDefault="00627805" w:rsidP="00627805">
      <w:pPr>
        <w:pStyle w:val="FootnoteText"/>
        <w:rPr>
          <w:rFonts w:ascii="Times New Roman" w:hAnsi="Times New Roman" w:cs="Times New Roman"/>
          <w:sz w:val="24"/>
          <w:szCs w:val="24"/>
        </w:rPr>
      </w:pPr>
      <w:r>
        <w:rPr>
          <w:rStyle w:val="FootnoteReference"/>
        </w:rPr>
        <w:footnoteRef/>
      </w:r>
      <w:r>
        <w:t xml:space="preserve"> </w:t>
      </w:r>
      <w:r>
        <w:rPr>
          <w:rFonts w:ascii="Times New Roman" w:hAnsi="Times New Roman" w:cs="Times New Roman"/>
          <w:sz w:val="24"/>
          <w:szCs w:val="24"/>
        </w:rPr>
        <w:t xml:space="preserve">Endnote 2, </w:t>
      </w:r>
      <w:r w:rsidR="00A533DF">
        <w:rPr>
          <w:rFonts w:ascii="Times New Roman" w:hAnsi="Times New Roman" w:cs="Times New Roman"/>
          <w:sz w:val="24"/>
          <w:szCs w:val="24"/>
        </w:rPr>
        <w:t>l</w:t>
      </w:r>
      <w:r>
        <w:rPr>
          <w:rFonts w:ascii="Times New Roman" w:hAnsi="Times New Roman" w:cs="Times New Roman"/>
          <w:sz w:val="24"/>
          <w:szCs w:val="24"/>
        </w:rPr>
        <w:t>ines 92-97</w:t>
      </w:r>
    </w:p>
    <w:p w14:paraId="247913BB" w14:textId="77777777" w:rsidR="006B7230" w:rsidRPr="00B36A8C" w:rsidRDefault="006B7230" w:rsidP="00627805">
      <w:pPr>
        <w:pStyle w:val="FootnoteText"/>
        <w:rPr>
          <w:b/>
          <w:bCs/>
        </w:rPr>
      </w:pPr>
    </w:p>
  </w:footnote>
  <w:footnote w:id="20">
    <w:p w14:paraId="20DD7FA0" w14:textId="6FC2B6AC" w:rsidR="00DD3D9F" w:rsidRDefault="00DD3D9F" w:rsidP="00DD3D9F">
      <w:pPr>
        <w:pStyle w:val="FootnoteText"/>
        <w:rPr>
          <w:rFonts w:ascii="Times New Roman" w:hAnsi="Times New Roman" w:cs="Times New Roman"/>
          <w:sz w:val="24"/>
          <w:szCs w:val="24"/>
        </w:rPr>
      </w:pPr>
      <w:r w:rsidRPr="001E2AF7">
        <w:rPr>
          <w:rStyle w:val="FootnoteReference"/>
          <w:rFonts w:ascii="Times New Roman" w:hAnsi="Times New Roman" w:cs="Times New Roman"/>
          <w:sz w:val="24"/>
          <w:szCs w:val="24"/>
        </w:rPr>
        <w:footnoteRef/>
      </w:r>
      <w:r w:rsidRPr="001E2AF7">
        <w:rPr>
          <w:rFonts w:ascii="Times New Roman" w:hAnsi="Times New Roman" w:cs="Times New Roman"/>
          <w:sz w:val="24"/>
          <w:szCs w:val="24"/>
        </w:rPr>
        <w:t xml:space="preserve"> Original </w:t>
      </w:r>
      <w:r w:rsidR="001B79B8" w:rsidRPr="001E2AF7">
        <w:rPr>
          <w:rFonts w:ascii="Times New Roman" w:hAnsi="Times New Roman" w:cs="Times New Roman"/>
          <w:sz w:val="24"/>
          <w:szCs w:val="24"/>
        </w:rPr>
        <w:t>bills</w:t>
      </w:r>
      <w:r w:rsidR="001B79B8">
        <w:rPr>
          <w:rFonts w:ascii="Times New Roman" w:hAnsi="Times New Roman" w:cs="Times New Roman"/>
          <w:sz w:val="24"/>
          <w:szCs w:val="24"/>
        </w:rPr>
        <w:t xml:space="preserve"> as introduced</w:t>
      </w:r>
      <w:r w:rsidRPr="001E2AF7">
        <w:rPr>
          <w:rFonts w:ascii="Times New Roman" w:hAnsi="Times New Roman" w:cs="Times New Roman"/>
          <w:sz w:val="24"/>
          <w:szCs w:val="24"/>
        </w:rPr>
        <w:t xml:space="preserve">, </w:t>
      </w:r>
      <w:r w:rsidR="001B79B8">
        <w:rPr>
          <w:rFonts w:ascii="Times New Roman" w:hAnsi="Times New Roman" w:cs="Times New Roman"/>
          <w:sz w:val="24"/>
          <w:szCs w:val="24"/>
        </w:rPr>
        <w:t>Article</w:t>
      </w:r>
      <w:r w:rsidRPr="001E2AF7">
        <w:rPr>
          <w:rFonts w:ascii="Times New Roman" w:hAnsi="Times New Roman" w:cs="Times New Roman"/>
          <w:sz w:val="24"/>
          <w:szCs w:val="24"/>
        </w:rPr>
        <w:t xml:space="preserve"> 4, Section </w:t>
      </w:r>
      <w:r w:rsidR="001E2AF7" w:rsidRPr="001E2AF7">
        <w:rPr>
          <w:rFonts w:ascii="Times New Roman" w:hAnsi="Times New Roman" w:cs="Times New Roman"/>
          <w:sz w:val="24"/>
          <w:szCs w:val="24"/>
        </w:rPr>
        <w:t>1</w:t>
      </w:r>
      <w:r w:rsidRPr="001E2AF7">
        <w:rPr>
          <w:rFonts w:ascii="Times New Roman" w:hAnsi="Times New Roman" w:cs="Times New Roman"/>
          <w:sz w:val="24"/>
          <w:szCs w:val="24"/>
        </w:rPr>
        <w:t>,</w:t>
      </w:r>
      <w:r w:rsidR="000224D1">
        <w:rPr>
          <w:rFonts w:ascii="Times New Roman" w:hAnsi="Times New Roman" w:cs="Times New Roman"/>
          <w:sz w:val="24"/>
          <w:szCs w:val="24"/>
        </w:rPr>
        <w:t xml:space="preserve"> available in</w:t>
      </w:r>
      <w:r w:rsidRPr="001E2AF7">
        <w:rPr>
          <w:rFonts w:ascii="Times New Roman" w:hAnsi="Times New Roman" w:cs="Times New Roman"/>
          <w:sz w:val="24"/>
          <w:szCs w:val="24"/>
        </w:rPr>
        <w:t xml:space="preserve"> </w:t>
      </w:r>
      <w:hyperlink r:id="rId15" w:history="1">
        <w:r w:rsidR="00656288" w:rsidRPr="008E0531">
          <w:rPr>
            <w:rStyle w:val="Hyperlink"/>
            <w:rFonts w:ascii="Times New Roman" w:hAnsi="Times New Roman" w:cs="Times New Roman"/>
            <w:bCs/>
            <w:sz w:val="24"/>
            <w:szCs w:val="24"/>
          </w:rPr>
          <w:t>Appendix LH 1992-376</w:t>
        </w:r>
      </w:hyperlink>
      <w:r w:rsidR="00656288">
        <w:rPr>
          <w:rFonts w:ascii="Times New Roman" w:hAnsi="Times New Roman" w:cs="Times New Roman"/>
          <w:sz w:val="24"/>
          <w:szCs w:val="24"/>
        </w:rPr>
        <w:t xml:space="preserve"> </w:t>
      </w:r>
      <w:r w:rsidRPr="001E2AF7">
        <w:rPr>
          <w:rFonts w:ascii="Times New Roman" w:hAnsi="Times New Roman" w:cs="Times New Roman"/>
          <w:sz w:val="24"/>
          <w:szCs w:val="24"/>
        </w:rPr>
        <w:t>at PDF page 1</w:t>
      </w:r>
      <w:r w:rsidR="001E2AF7" w:rsidRPr="001E2AF7">
        <w:rPr>
          <w:rFonts w:ascii="Times New Roman" w:hAnsi="Times New Roman" w:cs="Times New Roman"/>
          <w:sz w:val="24"/>
          <w:szCs w:val="24"/>
        </w:rPr>
        <w:t>2</w:t>
      </w:r>
      <w:r w:rsidRPr="001E2AF7">
        <w:rPr>
          <w:rFonts w:ascii="Times New Roman" w:hAnsi="Times New Roman" w:cs="Times New Roman"/>
          <w:sz w:val="24"/>
          <w:szCs w:val="24"/>
        </w:rPr>
        <w:t>.</w:t>
      </w:r>
    </w:p>
    <w:p w14:paraId="77B6438D" w14:textId="77777777" w:rsidR="001E2AF7" w:rsidRPr="001E2AF7" w:rsidRDefault="001E2AF7" w:rsidP="00DD3D9F">
      <w:pPr>
        <w:pStyle w:val="FootnoteText"/>
        <w:rPr>
          <w:rFonts w:ascii="Times New Roman" w:hAnsi="Times New Roman" w:cs="Times New Roman"/>
          <w:sz w:val="24"/>
          <w:szCs w:val="24"/>
        </w:rPr>
      </w:pPr>
    </w:p>
  </w:footnote>
  <w:footnote w:id="21">
    <w:p w14:paraId="5B513C8C" w14:textId="027BC821" w:rsidR="00DD3D9F" w:rsidRDefault="00DD3D9F" w:rsidP="00DD3D9F">
      <w:pPr>
        <w:pStyle w:val="FootnoteText"/>
        <w:rPr>
          <w:rFonts w:ascii="Times New Roman" w:hAnsi="Times New Roman" w:cs="Times New Roman"/>
          <w:sz w:val="24"/>
          <w:szCs w:val="24"/>
        </w:rPr>
      </w:pPr>
      <w:r w:rsidRPr="001E2AF7">
        <w:rPr>
          <w:rStyle w:val="FootnoteReference"/>
          <w:rFonts w:ascii="Times New Roman" w:hAnsi="Times New Roman" w:cs="Times New Roman"/>
          <w:sz w:val="24"/>
          <w:szCs w:val="24"/>
        </w:rPr>
        <w:footnoteRef/>
      </w:r>
      <w:r w:rsidRPr="001E2AF7">
        <w:rPr>
          <w:rFonts w:ascii="Times New Roman" w:hAnsi="Times New Roman" w:cs="Times New Roman"/>
          <w:sz w:val="24"/>
          <w:szCs w:val="24"/>
        </w:rPr>
        <w:t xml:space="preserve"> Original </w:t>
      </w:r>
      <w:r w:rsidR="001B79B8" w:rsidRPr="001E2AF7">
        <w:rPr>
          <w:rFonts w:ascii="Times New Roman" w:hAnsi="Times New Roman" w:cs="Times New Roman"/>
          <w:sz w:val="24"/>
          <w:szCs w:val="24"/>
        </w:rPr>
        <w:t>bills</w:t>
      </w:r>
      <w:r w:rsidR="001B79B8">
        <w:rPr>
          <w:rFonts w:ascii="Times New Roman" w:hAnsi="Times New Roman" w:cs="Times New Roman"/>
          <w:sz w:val="24"/>
          <w:szCs w:val="24"/>
        </w:rPr>
        <w:t xml:space="preserve"> as introduced</w:t>
      </w:r>
      <w:r w:rsidRPr="001E2AF7">
        <w:rPr>
          <w:rFonts w:ascii="Times New Roman" w:hAnsi="Times New Roman" w:cs="Times New Roman"/>
          <w:sz w:val="24"/>
          <w:szCs w:val="24"/>
        </w:rPr>
        <w:t xml:space="preserve">, </w:t>
      </w:r>
      <w:r w:rsidR="001B79B8">
        <w:rPr>
          <w:rFonts w:ascii="Times New Roman" w:hAnsi="Times New Roman" w:cs="Times New Roman"/>
          <w:sz w:val="24"/>
          <w:szCs w:val="24"/>
        </w:rPr>
        <w:t>Article 4</w:t>
      </w:r>
      <w:r w:rsidRPr="001E2AF7">
        <w:rPr>
          <w:rFonts w:ascii="Times New Roman" w:hAnsi="Times New Roman" w:cs="Times New Roman"/>
          <w:sz w:val="24"/>
          <w:szCs w:val="24"/>
        </w:rPr>
        <w:t>, Section 3,</w:t>
      </w:r>
      <w:r w:rsidR="000224D1">
        <w:rPr>
          <w:rFonts w:ascii="Times New Roman" w:hAnsi="Times New Roman" w:cs="Times New Roman"/>
          <w:sz w:val="24"/>
          <w:szCs w:val="24"/>
        </w:rPr>
        <w:t xml:space="preserve"> available in</w:t>
      </w:r>
      <w:r w:rsidRPr="001E2AF7">
        <w:rPr>
          <w:rFonts w:ascii="Times New Roman" w:hAnsi="Times New Roman" w:cs="Times New Roman"/>
          <w:sz w:val="24"/>
          <w:szCs w:val="24"/>
        </w:rPr>
        <w:t xml:space="preserve"> </w:t>
      </w:r>
      <w:hyperlink r:id="rId16" w:history="1">
        <w:r w:rsidR="00656288" w:rsidRPr="008E0531">
          <w:rPr>
            <w:rStyle w:val="Hyperlink"/>
            <w:rFonts w:ascii="Times New Roman" w:hAnsi="Times New Roman" w:cs="Times New Roman"/>
            <w:bCs/>
            <w:sz w:val="24"/>
            <w:szCs w:val="24"/>
          </w:rPr>
          <w:t>Appendix LH 1992-376</w:t>
        </w:r>
      </w:hyperlink>
      <w:r w:rsidR="00656288">
        <w:rPr>
          <w:rFonts w:ascii="Times New Roman" w:hAnsi="Times New Roman" w:cs="Times New Roman"/>
          <w:sz w:val="24"/>
          <w:szCs w:val="24"/>
        </w:rPr>
        <w:t xml:space="preserve"> </w:t>
      </w:r>
      <w:r w:rsidRPr="001E2AF7">
        <w:rPr>
          <w:rFonts w:ascii="Times New Roman" w:hAnsi="Times New Roman" w:cs="Times New Roman"/>
          <w:sz w:val="24"/>
          <w:szCs w:val="24"/>
        </w:rPr>
        <w:t xml:space="preserve"> at PDF page 1</w:t>
      </w:r>
      <w:r w:rsidR="001E2AF7" w:rsidRPr="001E2AF7">
        <w:rPr>
          <w:rFonts w:ascii="Times New Roman" w:hAnsi="Times New Roman" w:cs="Times New Roman"/>
          <w:sz w:val="24"/>
          <w:szCs w:val="24"/>
        </w:rPr>
        <w:t>3</w:t>
      </w:r>
      <w:r w:rsidRPr="001E2AF7">
        <w:rPr>
          <w:rFonts w:ascii="Times New Roman" w:hAnsi="Times New Roman" w:cs="Times New Roman"/>
          <w:sz w:val="24"/>
          <w:szCs w:val="24"/>
        </w:rPr>
        <w:t>.</w:t>
      </w:r>
    </w:p>
    <w:p w14:paraId="05554CC3" w14:textId="77777777" w:rsidR="009E76DF" w:rsidRDefault="009E76DF" w:rsidP="00DD3D9F">
      <w:pPr>
        <w:pStyle w:val="FootnoteText"/>
      </w:pPr>
    </w:p>
  </w:footnote>
  <w:footnote w:id="22">
    <w:p w14:paraId="4722FFD5" w14:textId="51F83C93" w:rsidR="009B181C" w:rsidRPr="004154B7" w:rsidRDefault="009B181C">
      <w:pPr>
        <w:pStyle w:val="FootnoteText"/>
        <w:rPr>
          <w:rFonts w:ascii="Times New Roman" w:hAnsi="Times New Roman" w:cs="Times New Roman"/>
          <w:color w:val="212121"/>
          <w:sz w:val="24"/>
          <w:szCs w:val="24"/>
        </w:rPr>
      </w:pPr>
      <w:r w:rsidRPr="004154B7">
        <w:rPr>
          <w:rStyle w:val="FootnoteReference"/>
          <w:rFonts w:ascii="Times New Roman" w:hAnsi="Times New Roman" w:cs="Times New Roman"/>
          <w:color w:val="212121"/>
          <w:sz w:val="24"/>
          <w:szCs w:val="24"/>
        </w:rPr>
        <w:footnoteRef/>
      </w:r>
      <w:r w:rsidR="004154B7">
        <w:rPr>
          <w:rFonts w:ascii="Times New Roman" w:hAnsi="Times New Roman" w:cs="Times New Roman"/>
          <w:color w:val="212121"/>
          <w:sz w:val="24"/>
          <w:szCs w:val="24"/>
        </w:rPr>
        <w:t xml:space="preserve"> Reprinted in</w:t>
      </w:r>
      <w:r w:rsidRPr="004154B7">
        <w:rPr>
          <w:rFonts w:ascii="Times New Roman" w:hAnsi="Times New Roman" w:cs="Times New Roman"/>
          <w:color w:val="212121"/>
          <w:sz w:val="24"/>
          <w:szCs w:val="24"/>
        </w:rPr>
        <w:t xml:space="preserve"> </w:t>
      </w:r>
      <w:hyperlink r:id="rId17" w:tgtFrame="_blank" w:history="1">
        <w:r w:rsidR="009E76DF" w:rsidRPr="004154B7">
          <w:rPr>
            <w:rStyle w:val="Hyperlink"/>
            <w:rFonts w:ascii="Times New Roman" w:hAnsi="Times New Roman" w:cs="Times New Roman"/>
            <w:sz w:val="24"/>
            <w:szCs w:val="24"/>
          </w:rPr>
          <w:t>1991 Journal of the Minnesota Senate 5392 et seq</w:t>
        </w:r>
      </w:hyperlink>
      <w:r w:rsidR="004154B7" w:rsidRPr="004154B7">
        <w:rPr>
          <w:rFonts w:ascii="Times New Roman" w:hAnsi="Times New Roman" w:cs="Times New Roman"/>
          <w:color w:val="212121"/>
          <w:sz w:val="24"/>
          <w:szCs w:val="24"/>
        </w:rPr>
        <w:t>.</w:t>
      </w:r>
    </w:p>
    <w:p w14:paraId="303917C1" w14:textId="77777777" w:rsidR="009E76DF" w:rsidRPr="004154B7" w:rsidRDefault="009E76DF">
      <w:pPr>
        <w:pStyle w:val="FootnoteText"/>
        <w:rPr>
          <w:rFonts w:ascii="Times New Roman" w:hAnsi="Times New Roman" w:cs="Times New Roman"/>
          <w:color w:val="EE0000"/>
          <w:sz w:val="24"/>
          <w:szCs w:val="24"/>
        </w:rPr>
      </w:pPr>
    </w:p>
  </w:footnote>
  <w:footnote w:id="23">
    <w:p w14:paraId="41697272" w14:textId="6C7DCC3C" w:rsidR="009B181C" w:rsidRPr="006B7230" w:rsidRDefault="009B181C" w:rsidP="009B181C">
      <w:pPr>
        <w:pStyle w:val="FootnoteText"/>
        <w:rPr>
          <w:color w:val="EE0000"/>
        </w:rPr>
      </w:pPr>
      <w:r w:rsidRPr="004154B7">
        <w:rPr>
          <w:rStyle w:val="FootnoteReference"/>
          <w:rFonts w:ascii="Times New Roman" w:hAnsi="Times New Roman" w:cs="Times New Roman"/>
          <w:color w:val="212121"/>
          <w:sz w:val="24"/>
          <w:szCs w:val="24"/>
        </w:rPr>
        <w:footnoteRef/>
      </w:r>
      <w:r w:rsidRPr="004154B7">
        <w:rPr>
          <w:rFonts w:ascii="Times New Roman" w:hAnsi="Times New Roman" w:cs="Times New Roman"/>
          <w:color w:val="EE0000"/>
          <w:sz w:val="24"/>
          <w:szCs w:val="24"/>
        </w:rPr>
        <w:t xml:space="preserve"> </w:t>
      </w:r>
      <w:r w:rsidR="004154B7">
        <w:rPr>
          <w:rFonts w:ascii="Times New Roman" w:hAnsi="Times New Roman" w:cs="Times New Roman"/>
          <w:color w:val="212121"/>
          <w:sz w:val="24"/>
          <w:szCs w:val="24"/>
        </w:rPr>
        <w:t>Reprinted in</w:t>
      </w:r>
      <w:r w:rsidR="004154B7" w:rsidRPr="004154B7">
        <w:rPr>
          <w:rFonts w:ascii="Times New Roman" w:hAnsi="Times New Roman" w:cs="Times New Roman"/>
          <w:color w:val="212121"/>
          <w:sz w:val="24"/>
          <w:szCs w:val="24"/>
        </w:rPr>
        <w:t xml:space="preserve"> </w:t>
      </w:r>
      <w:hyperlink r:id="rId18" w:tgtFrame="_blank" w:history="1">
        <w:r w:rsidR="009E76DF" w:rsidRPr="004154B7">
          <w:rPr>
            <w:rStyle w:val="Hyperlink"/>
            <w:rFonts w:ascii="Times New Roman" w:hAnsi="Times New Roman" w:cs="Times New Roman"/>
            <w:sz w:val="24"/>
            <w:szCs w:val="24"/>
          </w:rPr>
          <w:t>1992 Journal of the Minnesota Senate 6626 et seq</w:t>
        </w:r>
      </w:hyperlink>
      <w:r w:rsidR="004154B7" w:rsidRPr="004154B7">
        <w:rPr>
          <w:rFonts w:ascii="Times New Roman" w:hAnsi="Times New Roman" w:cs="Times New Roman"/>
          <w:color w:val="EE0000"/>
          <w:sz w:val="24"/>
          <w:szCs w:val="24"/>
        </w:rPr>
        <w:t>.</w:t>
      </w:r>
    </w:p>
  </w:footnote>
  <w:footnote w:id="24">
    <w:p w14:paraId="335003CC" w14:textId="77777777" w:rsidR="00B80C8A" w:rsidRDefault="00B80C8A">
      <w:pPr>
        <w:pStyle w:val="FootnoteText"/>
        <w:rPr>
          <w:rFonts w:ascii="Times New Roman" w:hAnsi="Times New Roman" w:cs="Times New Roman"/>
          <w:color w:val="000000" w:themeColor="text1"/>
          <w:sz w:val="24"/>
          <w:szCs w:val="24"/>
        </w:rPr>
      </w:pPr>
    </w:p>
    <w:p w14:paraId="7D3A430A" w14:textId="016D0F33" w:rsidR="009B181C" w:rsidRDefault="009B181C">
      <w:pPr>
        <w:pStyle w:val="FootnoteText"/>
        <w:rPr>
          <w:rFonts w:ascii="Times New Roman" w:hAnsi="Times New Roman" w:cs="Times New Roman"/>
          <w:color w:val="000000" w:themeColor="text1"/>
          <w:sz w:val="24"/>
          <w:szCs w:val="24"/>
        </w:rPr>
      </w:pPr>
      <w:r w:rsidRPr="00B80C8A">
        <w:rPr>
          <w:rStyle w:val="FootnoteReference"/>
          <w:rFonts w:ascii="Times New Roman" w:hAnsi="Times New Roman" w:cs="Times New Roman"/>
          <w:color w:val="000000" w:themeColor="text1"/>
          <w:sz w:val="24"/>
          <w:szCs w:val="24"/>
        </w:rPr>
        <w:footnoteRef/>
      </w:r>
      <w:r w:rsidRPr="00B80C8A">
        <w:rPr>
          <w:rFonts w:ascii="Times New Roman" w:hAnsi="Times New Roman" w:cs="Times New Roman"/>
          <w:color w:val="000000" w:themeColor="text1"/>
          <w:sz w:val="24"/>
          <w:szCs w:val="24"/>
        </w:rPr>
        <w:t xml:space="preserve"> </w:t>
      </w:r>
      <w:hyperlink r:id="rId19" w:history="1">
        <w:r w:rsidR="00EC059B" w:rsidRPr="00B80C8A">
          <w:rPr>
            <w:rStyle w:val="Hyperlink"/>
            <w:rFonts w:ascii="Times New Roman" w:hAnsi="Times New Roman" w:cs="Times New Roman"/>
            <w:bCs/>
            <w:color w:val="004F88"/>
            <w:sz w:val="24"/>
            <w:szCs w:val="24"/>
          </w:rPr>
          <w:t>Appendix LH 1992-376</w:t>
        </w:r>
      </w:hyperlink>
      <w:r w:rsidR="004154B7">
        <w:rPr>
          <w:rFonts w:ascii="Times New Roman" w:hAnsi="Times New Roman" w:cs="Times New Roman"/>
          <w:color w:val="004F88"/>
          <w:sz w:val="24"/>
          <w:szCs w:val="24"/>
        </w:rPr>
        <w:t xml:space="preserve"> </w:t>
      </w:r>
      <w:r w:rsidR="00B80C8A">
        <w:rPr>
          <w:rFonts w:ascii="Times New Roman" w:hAnsi="Times New Roman" w:cs="Times New Roman"/>
          <w:color w:val="000000" w:themeColor="text1"/>
          <w:sz w:val="24"/>
          <w:szCs w:val="24"/>
        </w:rPr>
        <w:t>at PDF page 27</w:t>
      </w:r>
    </w:p>
    <w:p w14:paraId="0CE3500F" w14:textId="77777777" w:rsidR="00684C68" w:rsidRPr="00B80C8A" w:rsidRDefault="00684C68">
      <w:pPr>
        <w:pStyle w:val="FootnoteText"/>
        <w:rPr>
          <w:rFonts w:ascii="Times New Roman" w:hAnsi="Times New Roman" w:cs="Times New Roman"/>
          <w:sz w:val="24"/>
          <w:szCs w:val="24"/>
        </w:rPr>
      </w:pPr>
    </w:p>
  </w:footnote>
  <w:footnote w:id="25">
    <w:p w14:paraId="6E67E112" w14:textId="54396869" w:rsidR="00286A38" w:rsidRPr="00286A38" w:rsidRDefault="00286A38">
      <w:pPr>
        <w:pStyle w:val="FootnoteText"/>
        <w:rPr>
          <w:rFonts w:ascii="Times New Roman" w:hAnsi="Times New Roman" w:cs="Times New Roman"/>
          <w:sz w:val="24"/>
          <w:szCs w:val="24"/>
        </w:rPr>
      </w:pPr>
      <w:r w:rsidRPr="00286A38">
        <w:rPr>
          <w:rStyle w:val="FootnoteReference"/>
          <w:rFonts w:ascii="Times New Roman" w:hAnsi="Times New Roman" w:cs="Times New Roman"/>
          <w:sz w:val="24"/>
          <w:szCs w:val="24"/>
        </w:rPr>
        <w:footnoteRef/>
      </w:r>
      <w:r w:rsidRPr="00286A38">
        <w:rPr>
          <w:rFonts w:ascii="Times New Roman" w:hAnsi="Times New Roman" w:cs="Times New Roman"/>
          <w:sz w:val="24"/>
          <w:szCs w:val="24"/>
        </w:rPr>
        <w:t xml:space="preserve"> I reached out to </w:t>
      </w:r>
      <w:r>
        <w:rPr>
          <w:rFonts w:ascii="Times New Roman" w:hAnsi="Times New Roman" w:cs="Times New Roman"/>
          <w:sz w:val="24"/>
          <w:szCs w:val="24"/>
        </w:rPr>
        <w:t xml:space="preserve">lobbyist </w:t>
      </w:r>
      <w:r w:rsidRPr="00286A38">
        <w:rPr>
          <w:rFonts w:ascii="Times New Roman" w:hAnsi="Times New Roman" w:cs="Times New Roman"/>
          <w:sz w:val="24"/>
          <w:szCs w:val="24"/>
        </w:rPr>
        <w:t>John Herm</w:t>
      </w:r>
      <w:r>
        <w:rPr>
          <w:rFonts w:ascii="Times New Roman" w:hAnsi="Times New Roman" w:cs="Times New Roman"/>
          <w:sz w:val="24"/>
          <w:szCs w:val="24"/>
        </w:rPr>
        <w:t>a</w:t>
      </w:r>
      <w:r w:rsidRPr="00286A38">
        <w:rPr>
          <w:rFonts w:ascii="Times New Roman" w:hAnsi="Times New Roman" w:cs="Times New Roman"/>
          <w:sz w:val="24"/>
          <w:szCs w:val="24"/>
        </w:rPr>
        <w:t>n, principal House author and conferee Rep. Karen Clark, and the analyst who worked on the Second Conference Report, Kathy Novak. None of them reported a remembrance about this conference. The principal Senate author and conferee Sen. James Metzen died in 2016 and thus is unavailable for comment.</w:t>
      </w:r>
    </w:p>
    <w:p w14:paraId="27EAD463" w14:textId="77777777" w:rsidR="00286A38" w:rsidRDefault="00286A38">
      <w:pPr>
        <w:pStyle w:val="FootnoteText"/>
      </w:pPr>
    </w:p>
  </w:footnote>
  <w:footnote w:id="26">
    <w:p w14:paraId="6421324D" w14:textId="40BAB4C7" w:rsidR="00955339" w:rsidRDefault="00955339" w:rsidP="00955339">
      <w:pPr>
        <w:pStyle w:val="FootnoteText"/>
        <w:rPr>
          <w:rFonts w:ascii="Times New Roman" w:hAnsi="Times New Roman" w:cs="Times New Roman"/>
          <w:color w:val="EE0000"/>
          <w:sz w:val="24"/>
          <w:szCs w:val="24"/>
        </w:rPr>
      </w:pPr>
      <w:r w:rsidRPr="004154B7">
        <w:rPr>
          <w:rStyle w:val="FootnoteReference"/>
          <w:rFonts w:ascii="Times New Roman" w:hAnsi="Times New Roman" w:cs="Times New Roman"/>
          <w:color w:val="212121"/>
          <w:sz w:val="24"/>
          <w:szCs w:val="24"/>
        </w:rPr>
        <w:footnoteRef/>
      </w:r>
      <w:r w:rsidRPr="004154B7">
        <w:rPr>
          <w:rFonts w:ascii="Times New Roman" w:hAnsi="Times New Roman" w:cs="Times New Roman"/>
          <w:color w:val="EE0000"/>
          <w:sz w:val="24"/>
          <w:szCs w:val="24"/>
        </w:rPr>
        <w:t xml:space="preserve"> </w:t>
      </w:r>
      <w:r>
        <w:rPr>
          <w:rFonts w:ascii="Times New Roman" w:hAnsi="Times New Roman" w:cs="Times New Roman"/>
          <w:color w:val="212121"/>
          <w:sz w:val="24"/>
          <w:szCs w:val="24"/>
        </w:rPr>
        <w:t>Reprinted in</w:t>
      </w:r>
      <w:r w:rsidRPr="004154B7">
        <w:rPr>
          <w:rFonts w:ascii="Times New Roman" w:hAnsi="Times New Roman" w:cs="Times New Roman"/>
          <w:color w:val="212121"/>
          <w:sz w:val="24"/>
          <w:szCs w:val="24"/>
        </w:rPr>
        <w:t xml:space="preserve"> </w:t>
      </w:r>
      <w:hyperlink r:id="rId20" w:tgtFrame="_blank" w:history="1">
        <w:r w:rsidRPr="004154B7">
          <w:rPr>
            <w:rStyle w:val="Hyperlink"/>
            <w:rFonts w:ascii="Times New Roman" w:hAnsi="Times New Roman" w:cs="Times New Roman"/>
            <w:sz w:val="24"/>
            <w:szCs w:val="24"/>
          </w:rPr>
          <w:t xml:space="preserve">1992 Journal of the Minnesota Senate </w:t>
        </w:r>
        <w:r>
          <w:rPr>
            <w:rStyle w:val="Hyperlink"/>
            <w:rFonts w:ascii="Times New Roman" w:hAnsi="Times New Roman" w:cs="Times New Roman"/>
            <w:sz w:val="24"/>
            <w:szCs w:val="24"/>
          </w:rPr>
          <w:t xml:space="preserve">at </w:t>
        </w:r>
        <w:r w:rsidRPr="004154B7">
          <w:rPr>
            <w:rStyle w:val="Hyperlink"/>
            <w:rFonts w:ascii="Times New Roman" w:hAnsi="Times New Roman" w:cs="Times New Roman"/>
            <w:sz w:val="24"/>
            <w:szCs w:val="24"/>
          </w:rPr>
          <w:t>66</w:t>
        </w:r>
        <w:r>
          <w:rPr>
            <w:rStyle w:val="Hyperlink"/>
            <w:rFonts w:ascii="Times New Roman" w:hAnsi="Times New Roman" w:cs="Times New Roman"/>
            <w:sz w:val="24"/>
            <w:szCs w:val="24"/>
          </w:rPr>
          <w:t>32</w:t>
        </w:r>
      </w:hyperlink>
      <w:r w:rsidRPr="004154B7">
        <w:rPr>
          <w:rFonts w:ascii="Times New Roman" w:hAnsi="Times New Roman" w:cs="Times New Roman"/>
          <w:color w:val="EE0000"/>
          <w:sz w:val="24"/>
          <w:szCs w:val="24"/>
        </w:rPr>
        <w:t>.</w:t>
      </w:r>
    </w:p>
    <w:p w14:paraId="4B5B6A02" w14:textId="77777777" w:rsidR="00684C68" w:rsidRPr="006B7230" w:rsidRDefault="00684C68" w:rsidP="00955339">
      <w:pPr>
        <w:pStyle w:val="FootnoteText"/>
        <w:rPr>
          <w:color w:val="EE0000"/>
        </w:rPr>
      </w:pPr>
    </w:p>
  </w:footnote>
  <w:footnote w:id="27">
    <w:p w14:paraId="524B8B0C" w14:textId="43520D3C" w:rsidR="003319AA" w:rsidRDefault="003319AA">
      <w:pPr>
        <w:pStyle w:val="FootnoteText"/>
        <w:rPr>
          <w:rFonts w:ascii="Times New Roman" w:hAnsi="Times New Roman" w:cs="Times New Roman"/>
          <w:sz w:val="24"/>
          <w:szCs w:val="24"/>
        </w:rPr>
      </w:pPr>
      <w:r w:rsidRPr="003319AA">
        <w:rPr>
          <w:rStyle w:val="FootnoteReference"/>
          <w:rFonts w:ascii="Times New Roman" w:hAnsi="Times New Roman" w:cs="Times New Roman"/>
          <w:sz w:val="24"/>
          <w:szCs w:val="24"/>
        </w:rPr>
        <w:footnoteRef/>
      </w:r>
      <w:r w:rsidRPr="003319AA">
        <w:rPr>
          <w:rFonts w:ascii="Times New Roman" w:hAnsi="Times New Roman" w:cs="Times New Roman"/>
          <w:sz w:val="24"/>
          <w:szCs w:val="24"/>
        </w:rPr>
        <w:t xml:space="preserve"> </w:t>
      </w:r>
      <w:hyperlink r:id="rId21" w:tgtFrame="_blank" w:history="1">
        <w:r w:rsidRPr="003319AA">
          <w:rPr>
            <w:rStyle w:val="Hyperlink"/>
            <w:rFonts w:ascii="Times New Roman" w:hAnsi="Times New Roman" w:cs="Times New Roman"/>
            <w:sz w:val="24"/>
            <w:szCs w:val="24"/>
          </w:rPr>
          <w:t>1992 Journal of the Minnesota Senate at 6648</w:t>
        </w:r>
        <w:r w:rsidR="00DF3882" w:rsidRPr="003319AA">
          <w:rPr>
            <w:rFonts w:ascii="Times New Roman" w:hAnsi="Times New Roman" w:cs="Times New Roman"/>
            <w:sz w:val="24"/>
            <w:szCs w:val="24"/>
          </w:rPr>
          <w:t>;</w:t>
        </w:r>
        <w:r w:rsidRPr="003319AA">
          <w:rPr>
            <w:rStyle w:val="Hyperlink"/>
            <w:rFonts w:ascii="Times New Roman" w:hAnsi="Times New Roman" w:cs="Times New Roman"/>
            <w:sz w:val="24"/>
            <w:szCs w:val="24"/>
          </w:rPr>
          <w:t xml:space="preserve"> </w:t>
        </w:r>
      </w:hyperlink>
      <w:hyperlink r:id="rId22" w:history="1">
        <w:r w:rsidRPr="003319AA">
          <w:rPr>
            <w:rStyle w:val="Hyperlink"/>
            <w:rFonts w:ascii="Times New Roman" w:hAnsi="Times New Roman" w:cs="Times New Roman"/>
            <w:sz w:val="24"/>
            <w:szCs w:val="24"/>
          </w:rPr>
          <w:t>1992 Journal of the Minnesota House at 10,684-5</w:t>
        </w:r>
      </w:hyperlink>
      <w:r w:rsidRPr="003319AA">
        <w:rPr>
          <w:rFonts w:ascii="Times New Roman" w:hAnsi="Times New Roman" w:cs="Times New Roman"/>
          <w:sz w:val="24"/>
          <w:szCs w:val="24"/>
        </w:rPr>
        <w:t xml:space="preserve">; </w:t>
      </w:r>
      <w:hyperlink r:id="rId23" w:history="1">
        <w:r w:rsidRPr="003319AA">
          <w:rPr>
            <w:rStyle w:val="Hyperlink"/>
            <w:rFonts w:ascii="Times New Roman" w:hAnsi="Times New Roman" w:cs="Times New Roman"/>
            <w:sz w:val="24"/>
            <w:szCs w:val="24"/>
          </w:rPr>
          <w:t>1992 Journal of the Minnesota House at 12,109</w:t>
        </w:r>
      </w:hyperlink>
      <w:r>
        <w:rPr>
          <w:rFonts w:ascii="Times New Roman" w:hAnsi="Times New Roman" w:cs="Times New Roman"/>
          <w:sz w:val="24"/>
          <w:szCs w:val="24"/>
        </w:rPr>
        <w:t>.</w:t>
      </w:r>
    </w:p>
    <w:p w14:paraId="607F2590" w14:textId="77777777" w:rsidR="003319AA" w:rsidRPr="003319AA" w:rsidRDefault="003319AA">
      <w:pPr>
        <w:pStyle w:val="FootnoteText"/>
        <w:rPr>
          <w:rFonts w:ascii="Times New Roman" w:hAnsi="Times New Roman" w:cs="Times New Roman"/>
          <w:sz w:val="24"/>
          <w:szCs w:val="24"/>
        </w:rPr>
      </w:pPr>
    </w:p>
  </w:footnote>
  <w:footnote w:id="28">
    <w:p w14:paraId="1FEFC2F7" w14:textId="1B3C0455" w:rsidR="004E41FB" w:rsidRDefault="004E41FB">
      <w:pPr>
        <w:pStyle w:val="FootnoteText"/>
        <w:rPr>
          <w:rFonts w:ascii="Times New Roman" w:hAnsi="Times New Roman" w:cs="Times New Roman"/>
          <w:sz w:val="24"/>
          <w:szCs w:val="24"/>
        </w:rPr>
      </w:pPr>
      <w:r w:rsidRPr="003319AA">
        <w:rPr>
          <w:rStyle w:val="FootnoteReference"/>
          <w:rFonts w:ascii="Times New Roman" w:hAnsi="Times New Roman" w:cs="Times New Roman"/>
          <w:sz w:val="24"/>
          <w:szCs w:val="24"/>
        </w:rPr>
        <w:footnoteRef/>
      </w:r>
      <w:r w:rsidRPr="003319AA">
        <w:rPr>
          <w:rFonts w:ascii="Times New Roman" w:hAnsi="Times New Roman" w:cs="Times New Roman"/>
          <w:sz w:val="24"/>
          <w:szCs w:val="24"/>
        </w:rPr>
        <w:t xml:space="preserve"> Or maybe just clarified that right, but prior to 1992 that right was at best unclear.</w:t>
      </w:r>
    </w:p>
    <w:p w14:paraId="512EE3EC" w14:textId="77777777" w:rsidR="00DF3882" w:rsidRPr="004E41FB" w:rsidRDefault="00DF3882">
      <w:pPr>
        <w:pStyle w:val="FootnoteText"/>
        <w:rPr>
          <w:rFonts w:ascii="Times New Roman" w:hAnsi="Times New Roman" w:cs="Times New Roman"/>
          <w:sz w:val="24"/>
          <w:szCs w:val="24"/>
        </w:rPr>
      </w:pPr>
    </w:p>
  </w:footnote>
  <w:footnote w:id="29">
    <w:p w14:paraId="7D883F78" w14:textId="732AD7EB" w:rsidR="00C73893" w:rsidRPr="00C73893" w:rsidRDefault="00C73893">
      <w:pPr>
        <w:pStyle w:val="FootnoteText"/>
        <w:rPr>
          <w:rFonts w:ascii="Times New Roman" w:hAnsi="Times New Roman" w:cs="Times New Roman"/>
          <w:sz w:val="24"/>
          <w:szCs w:val="24"/>
        </w:rPr>
      </w:pPr>
      <w:r w:rsidRPr="00C73893">
        <w:rPr>
          <w:rStyle w:val="FootnoteReference"/>
          <w:rFonts w:ascii="Times New Roman" w:hAnsi="Times New Roman" w:cs="Times New Roman"/>
          <w:sz w:val="24"/>
          <w:szCs w:val="24"/>
        </w:rPr>
        <w:footnoteRef/>
      </w:r>
      <w:r w:rsidRPr="00C73893">
        <w:rPr>
          <w:rFonts w:ascii="Times New Roman" w:hAnsi="Times New Roman" w:cs="Times New Roman"/>
          <w:sz w:val="24"/>
          <w:szCs w:val="24"/>
        </w:rPr>
        <w:t xml:space="preserve"> A less common type of bad faith is the landlord withholding the deposit for a reason not listed in the statute. </w:t>
      </w:r>
      <w:hyperlink r:id="rId24" w:history="1">
        <w:r w:rsidRPr="00C73893">
          <w:rPr>
            <w:rStyle w:val="Hyperlink"/>
            <w:rFonts w:ascii="Times New Roman" w:hAnsi="Times New Roman" w:cs="Times New Roman"/>
            <w:i/>
            <w:iCs/>
            <w:sz w:val="24"/>
            <w:szCs w:val="24"/>
          </w:rPr>
          <w:t xml:space="preserve">Kaeding v. </w:t>
        </w:r>
        <w:proofErr w:type="spellStart"/>
        <w:r w:rsidRPr="00C73893">
          <w:rPr>
            <w:rStyle w:val="Hyperlink"/>
            <w:rFonts w:ascii="Times New Roman" w:hAnsi="Times New Roman" w:cs="Times New Roman"/>
            <w:i/>
            <w:iCs/>
            <w:sz w:val="24"/>
            <w:szCs w:val="24"/>
          </w:rPr>
          <w:t>Auleciems</w:t>
        </w:r>
        <w:proofErr w:type="spellEnd"/>
        <w:r w:rsidRPr="00C73893">
          <w:rPr>
            <w:rStyle w:val="Hyperlink"/>
            <w:rFonts w:ascii="Times New Roman" w:hAnsi="Times New Roman" w:cs="Times New Roman"/>
            <w:i/>
            <w:iCs/>
            <w:sz w:val="24"/>
            <w:szCs w:val="24"/>
          </w:rPr>
          <w:t>,</w:t>
        </w:r>
        <w:r w:rsidRPr="00C73893">
          <w:rPr>
            <w:rStyle w:val="Hyperlink"/>
            <w:rFonts w:ascii="Times New Roman" w:hAnsi="Times New Roman" w:cs="Times New Roman"/>
            <w:sz w:val="24"/>
            <w:szCs w:val="24"/>
          </w:rPr>
          <w:t xml:space="preserve"> 886 N.W.2d 658 (Minn. App. 2016)</w:t>
        </w:r>
      </w:hyperlink>
      <w:r w:rsidRPr="00C73893">
        <w:rPr>
          <w:rFonts w:ascii="Times New Roman" w:hAnsi="Times New Roman" w:cs="Times New Roman"/>
          <w:sz w:val="24"/>
          <w:szCs w:val="24"/>
        </w:rPr>
        <w:t>.</w:t>
      </w:r>
    </w:p>
  </w:footnote>
  <w:footnote w:id="30">
    <w:p w14:paraId="21A55EA3" w14:textId="285E9BF7" w:rsidR="008B7695" w:rsidRPr="008B7695" w:rsidRDefault="008B7695" w:rsidP="008B7695">
      <w:pPr>
        <w:pStyle w:val="FootnoteText"/>
        <w:rPr>
          <w:rFonts w:ascii="Times New Roman" w:hAnsi="Times New Roman" w:cs="Times New Roman"/>
          <w:sz w:val="24"/>
          <w:szCs w:val="24"/>
        </w:rPr>
      </w:pPr>
      <w:r w:rsidRPr="008B7695">
        <w:rPr>
          <w:rStyle w:val="FootnoteReference"/>
          <w:rFonts w:ascii="Times New Roman" w:hAnsi="Times New Roman" w:cs="Times New Roman"/>
          <w:sz w:val="24"/>
          <w:szCs w:val="24"/>
        </w:rPr>
        <w:footnoteRef/>
      </w:r>
      <w:r w:rsidRPr="008B7695">
        <w:rPr>
          <w:rFonts w:ascii="Times New Roman" w:hAnsi="Times New Roman" w:cs="Times New Roman"/>
          <w:sz w:val="24"/>
          <w:szCs w:val="24"/>
        </w:rPr>
        <w:t xml:space="preserve"> Audio recordings for</w:t>
      </w:r>
      <w:r>
        <w:rPr>
          <w:rFonts w:ascii="Times New Roman" w:hAnsi="Times New Roman" w:cs="Times New Roman"/>
          <w:sz w:val="24"/>
          <w:szCs w:val="24"/>
        </w:rPr>
        <w:t xml:space="preserve"> </w:t>
      </w:r>
      <w:r w:rsidRPr="008B7695">
        <w:rPr>
          <w:rFonts w:ascii="Times New Roman" w:hAnsi="Times New Roman" w:cs="Times New Roman"/>
          <w:sz w:val="24"/>
          <w:szCs w:val="24"/>
        </w:rPr>
        <w:t>these</w:t>
      </w:r>
      <w:r>
        <w:rPr>
          <w:rFonts w:ascii="Times New Roman" w:hAnsi="Times New Roman" w:cs="Times New Roman"/>
          <w:sz w:val="24"/>
          <w:szCs w:val="24"/>
        </w:rPr>
        <w:t xml:space="preserve"> two committee hearings</w:t>
      </w:r>
      <w:r w:rsidRPr="008B7695">
        <w:rPr>
          <w:rFonts w:ascii="Times New Roman" w:hAnsi="Times New Roman" w:cs="Times New Roman"/>
          <w:sz w:val="24"/>
          <w:szCs w:val="24"/>
        </w:rPr>
        <w:t xml:space="preserve"> are available at </w:t>
      </w:r>
      <w:hyperlink r:id="rId25" w:history="1">
        <w:r w:rsidRPr="008B7695">
          <w:rPr>
            <w:rStyle w:val="Hyperlink"/>
            <w:rFonts w:ascii="Times New Roman" w:hAnsi="Times New Roman" w:cs="Times New Roman"/>
            <w:sz w:val="24"/>
            <w:szCs w:val="24"/>
          </w:rPr>
          <w:t>https://www.leg.state.mn.us/lrl/history/audio/</w:t>
        </w:r>
      </w:hyperlink>
    </w:p>
    <w:p w14:paraId="602C524E" w14:textId="77777777" w:rsidR="008B7695" w:rsidRDefault="008B7695" w:rsidP="008B7695">
      <w:pPr>
        <w:pStyle w:val="FootnoteText"/>
      </w:pPr>
    </w:p>
  </w:footnote>
  <w:footnote w:id="31">
    <w:p w14:paraId="08345512" w14:textId="34883D29" w:rsidR="00E97462" w:rsidRPr="00E97462" w:rsidRDefault="00E97462">
      <w:pPr>
        <w:pStyle w:val="FootnoteText"/>
        <w:rPr>
          <w:rFonts w:ascii="Times New Roman" w:hAnsi="Times New Roman" w:cs="Times New Roman"/>
          <w:sz w:val="24"/>
          <w:szCs w:val="24"/>
        </w:rPr>
      </w:pPr>
      <w:r w:rsidRPr="00E97462">
        <w:rPr>
          <w:rStyle w:val="FootnoteReference"/>
          <w:rFonts w:ascii="Times New Roman" w:hAnsi="Times New Roman" w:cs="Times New Roman"/>
          <w:sz w:val="24"/>
          <w:szCs w:val="24"/>
        </w:rPr>
        <w:footnoteRef/>
      </w:r>
      <w:r w:rsidRPr="00E97462">
        <w:rPr>
          <w:rFonts w:ascii="Times New Roman" w:hAnsi="Times New Roman" w:cs="Times New Roman"/>
          <w:sz w:val="24"/>
          <w:szCs w:val="24"/>
        </w:rPr>
        <w:t xml:space="preserve"> Senator Pogemiller was referring to sections 4 and 5 of Article 1 of SF 915, language that eventually ended up in sections 5 and 6 of art. 1 of SF 720.</w:t>
      </w:r>
    </w:p>
    <w:p w14:paraId="1A6AE178" w14:textId="77777777" w:rsidR="00E97462" w:rsidRPr="00E97462" w:rsidRDefault="00E97462">
      <w:pPr>
        <w:pStyle w:val="FootnoteText"/>
        <w:rPr>
          <w:rFonts w:ascii="Times New Roman" w:hAnsi="Times New Roman" w:cs="Times New Roman"/>
          <w:sz w:val="24"/>
          <w:szCs w:val="24"/>
        </w:rPr>
      </w:pPr>
    </w:p>
  </w:footnote>
  <w:footnote w:id="32">
    <w:p w14:paraId="1ADAE70E" w14:textId="5172962D" w:rsidR="00E97462" w:rsidRPr="00E97462" w:rsidRDefault="00E97462" w:rsidP="00E97462">
      <w:pPr>
        <w:spacing w:after="240"/>
        <w:rPr>
          <w:rFonts w:ascii="Times New Roman" w:hAnsi="Times New Roman" w:cs="Times New Roman"/>
        </w:rPr>
      </w:pPr>
      <w:r w:rsidRPr="00E97462">
        <w:rPr>
          <w:rStyle w:val="FootnoteReference"/>
          <w:rFonts w:ascii="Times New Roman" w:hAnsi="Times New Roman" w:cs="Times New Roman"/>
        </w:rPr>
        <w:footnoteRef/>
      </w:r>
      <w:r w:rsidRPr="00E97462">
        <w:rPr>
          <w:rFonts w:ascii="Times New Roman" w:hAnsi="Times New Roman" w:cs="Times New Roman"/>
        </w:rPr>
        <w:t xml:space="preserve"> Similarly to the situation in the Senate, Mr. </w:t>
      </w:r>
      <w:proofErr w:type="spellStart"/>
      <w:r w:rsidRPr="00E97462">
        <w:rPr>
          <w:rFonts w:ascii="Times New Roman" w:hAnsi="Times New Roman" w:cs="Times New Roman"/>
        </w:rPr>
        <w:t>Onka</w:t>
      </w:r>
      <w:proofErr w:type="spellEnd"/>
      <w:r w:rsidRPr="00E97462">
        <w:rPr>
          <w:rFonts w:ascii="Times New Roman" w:hAnsi="Times New Roman" w:cs="Times New Roman"/>
        </w:rPr>
        <w:t xml:space="preserve"> was referring to sections 4 and 5 of Article 1 of HF 714, language that eventually ended up in sections 5 and 6 of art. 1 of SF 720.</w:t>
      </w:r>
    </w:p>
    <w:p w14:paraId="1EE4354E" w14:textId="5ADEC725" w:rsidR="00E97462" w:rsidRDefault="00E97462">
      <w:pPr>
        <w:pStyle w:val="FootnoteText"/>
      </w:pPr>
    </w:p>
  </w:footnote>
  <w:footnote w:id="33">
    <w:p w14:paraId="7F504050" w14:textId="77777777" w:rsidR="0037251D" w:rsidRPr="008B7695" w:rsidRDefault="0037251D" w:rsidP="0037251D">
      <w:pPr>
        <w:pStyle w:val="FootnoteText"/>
        <w:rPr>
          <w:rFonts w:ascii="Times New Roman" w:hAnsi="Times New Roman" w:cs="Times New Roman"/>
          <w:sz w:val="24"/>
          <w:szCs w:val="24"/>
        </w:rPr>
      </w:pPr>
      <w:r w:rsidRPr="008B7695">
        <w:rPr>
          <w:rStyle w:val="FootnoteReference"/>
          <w:rFonts w:ascii="Times New Roman" w:hAnsi="Times New Roman" w:cs="Times New Roman"/>
          <w:sz w:val="24"/>
          <w:szCs w:val="24"/>
        </w:rPr>
        <w:footnoteRef/>
      </w:r>
      <w:r w:rsidRPr="008B7695">
        <w:rPr>
          <w:rFonts w:ascii="Times New Roman" w:hAnsi="Times New Roman" w:cs="Times New Roman"/>
          <w:sz w:val="24"/>
          <w:szCs w:val="24"/>
        </w:rPr>
        <w:t xml:space="preserve"> The audio recording is available at </w:t>
      </w:r>
      <w:hyperlink r:id="rId26" w:tgtFrame="_blank" w:history="1">
        <w:r w:rsidRPr="008B7695">
          <w:rPr>
            <w:rStyle w:val="Hyperlink"/>
            <w:rFonts w:ascii="Times New Roman" w:hAnsi="Times New Roman" w:cs="Times New Roman"/>
            <w:sz w:val="24"/>
            <w:szCs w:val="24"/>
          </w:rPr>
          <w:t>https://www.lrl.mn.gov/media/</w:t>
        </w:r>
      </w:hyperlink>
      <w:r w:rsidRPr="008B7695">
        <w:rPr>
          <w:rFonts w:ascii="Times New Roman" w:hAnsi="Times New Roman" w:cs="Times New Roman"/>
          <w:sz w:val="24"/>
          <w:szCs w:val="24"/>
        </w:rPr>
        <w:t xml:space="preserve"> .</w:t>
      </w:r>
    </w:p>
    <w:p w14:paraId="36B02A4A" w14:textId="77777777" w:rsidR="008B7695" w:rsidRPr="008B7695" w:rsidRDefault="008B7695" w:rsidP="0037251D">
      <w:pPr>
        <w:pStyle w:val="FootnoteText"/>
        <w:rPr>
          <w:rFonts w:ascii="Times New Roman" w:hAnsi="Times New Roman" w:cs="Times New Roman"/>
          <w:sz w:val="24"/>
          <w:szCs w:val="24"/>
        </w:rPr>
      </w:pPr>
    </w:p>
  </w:footnote>
  <w:footnote w:id="34">
    <w:p w14:paraId="44C02789" w14:textId="1F533293" w:rsidR="0037251D" w:rsidRPr="00AD0648" w:rsidRDefault="0037251D" w:rsidP="0037251D">
      <w:pPr>
        <w:pStyle w:val="FootnoteText"/>
        <w:rPr>
          <w:sz w:val="22"/>
          <w:szCs w:val="22"/>
        </w:rPr>
      </w:pPr>
      <w:r w:rsidRPr="008B7695">
        <w:rPr>
          <w:rStyle w:val="FootnoteReference"/>
          <w:rFonts w:ascii="Times New Roman" w:hAnsi="Times New Roman" w:cs="Times New Roman"/>
          <w:sz w:val="24"/>
          <w:szCs w:val="24"/>
        </w:rPr>
        <w:footnoteRef/>
      </w:r>
      <w:r w:rsidRPr="008B7695">
        <w:rPr>
          <w:rFonts w:ascii="Times New Roman" w:hAnsi="Times New Roman" w:cs="Times New Roman"/>
          <w:sz w:val="24"/>
          <w:szCs w:val="24"/>
        </w:rPr>
        <w:t xml:space="preserve"> The brackets – </w:t>
      </w:r>
      <w:proofErr w:type="gramStart"/>
      <w:r w:rsidRPr="008B7695">
        <w:rPr>
          <w:rFonts w:ascii="Times New Roman" w:hAnsi="Times New Roman" w:cs="Times New Roman"/>
          <w:sz w:val="24"/>
          <w:szCs w:val="24"/>
        </w:rPr>
        <w:t>{ }</w:t>
      </w:r>
      <w:proofErr w:type="gramEnd"/>
      <w:r w:rsidRPr="008B7695">
        <w:rPr>
          <w:rFonts w:ascii="Times New Roman" w:hAnsi="Times New Roman" w:cs="Times New Roman"/>
          <w:sz w:val="24"/>
          <w:szCs w:val="24"/>
        </w:rPr>
        <w:t xml:space="preserve"> – show time points on the audio recording to help readers follow along.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02157626"/>
      <w:docPartObj>
        <w:docPartGallery w:val="Page Numbers (Top of Page)"/>
        <w:docPartUnique/>
      </w:docPartObj>
    </w:sdtPr>
    <w:sdtEndPr>
      <w:rPr>
        <w:noProof/>
      </w:rPr>
    </w:sdtEndPr>
    <w:sdtContent>
      <w:p w14:paraId="327EBE61" w14:textId="7E83B5AD" w:rsidR="00C33C17" w:rsidRDefault="00C33C17">
        <w:pPr>
          <w:pStyle w:val="Header"/>
        </w:pPr>
        <w:r>
          <w:fldChar w:fldCharType="begin"/>
        </w:r>
        <w:r>
          <w:instrText xml:space="preserve"> PAGE   \* MERGEFORMAT </w:instrText>
        </w:r>
        <w:r>
          <w:fldChar w:fldCharType="separate"/>
        </w:r>
        <w:r>
          <w:rPr>
            <w:noProof/>
          </w:rPr>
          <w:t>2</w:t>
        </w:r>
        <w:r>
          <w:rPr>
            <w:noProof/>
          </w:rPr>
          <w:fldChar w:fldCharType="end"/>
        </w:r>
      </w:p>
    </w:sdtContent>
  </w:sdt>
  <w:p w14:paraId="5529641E" w14:textId="77777777" w:rsidR="00C33C17" w:rsidRDefault="00C33C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451D10"/>
    <w:multiLevelType w:val="hybridMultilevel"/>
    <w:tmpl w:val="CE5085AA"/>
    <w:lvl w:ilvl="0" w:tplc="AEB4BA0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BE3393C"/>
    <w:multiLevelType w:val="hybridMultilevel"/>
    <w:tmpl w:val="3216C56C"/>
    <w:lvl w:ilvl="0" w:tplc="6B4CDC5C">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DA5DBF"/>
    <w:multiLevelType w:val="hybridMultilevel"/>
    <w:tmpl w:val="977879E4"/>
    <w:lvl w:ilvl="0" w:tplc="F18E71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053654943">
    <w:abstractNumId w:val="0"/>
  </w:num>
  <w:num w:numId="2" w16cid:durableId="383070121">
    <w:abstractNumId w:val="1"/>
  </w:num>
  <w:num w:numId="3" w16cid:durableId="17337694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DAC"/>
    <w:rsid w:val="00005FB5"/>
    <w:rsid w:val="000224D1"/>
    <w:rsid w:val="00043E5E"/>
    <w:rsid w:val="0004586A"/>
    <w:rsid w:val="00067AE5"/>
    <w:rsid w:val="0007183C"/>
    <w:rsid w:val="00083DC1"/>
    <w:rsid w:val="00086FD7"/>
    <w:rsid w:val="000A2760"/>
    <w:rsid w:val="000A3240"/>
    <w:rsid w:val="000A711D"/>
    <w:rsid w:val="000A7C5B"/>
    <w:rsid w:val="000B27A2"/>
    <w:rsid w:val="000E26DD"/>
    <w:rsid w:val="000F1B56"/>
    <w:rsid w:val="001054EE"/>
    <w:rsid w:val="0010709D"/>
    <w:rsid w:val="00112C97"/>
    <w:rsid w:val="001138DF"/>
    <w:rsid w:val="001205C8"/>
    <w:rsid w:val="00134AFD"/>
    <w:rsid w:val="00146A41"/>
    <w:rsid w:val="0018254C"/>
    <w:rsid w:val="00182EEC"/>
    <w:rsid w:val="00186B44"/>
    <w:rsid w:val="001A25A2"/>
    <w:rsid w:val="001B79B8"/>
    <w:rsid w:val="001B7D20"/>
    <w:rsid w:val="001C1BB4"/>
    <w:rsid w:val="001D2AEC"/>
    <w:rsid w:val="001D7BC1"/>
    <w:rsid w:val="001E2AF7"/>
    <w:rsid w:val="001E7DAC"/>
    <w:rsid w:val="0020246B"/>
    <w:rsid w:val="0021097D"/>
    <w:rsid w:val="00216C91"/>
    <w:rsid w:val="002238FE"/>
    <w:rsid w:val="002271BB"/>
    <w:rsid w:val="00230B89"/>
    <w:rsid w:val="002442DF"/>
    <w:rsid w:val="00244969"/>
    <w:rsid w:val="00245BBF"/>
    <w:rsid w:val="002529B8"/>
    <w:rsid w:val="0025691A"/>
    <w:rsid w:val="0026058B"/>
    <w:rsid w:val="0027359C"/>
    <w:rsid w:val="00280B48"/>
    <w:rsid w:val="002827F5"/>
    <w:rsid w:val="00286A38"/>
    <w:rsid w:val="00291AC5"/>
    <w:rsid w:val="00293366"/>
    <w:rsid w:val="002A43CC"/>
    <w:rsid w:val="002B488C"/>
    <w:rsid w:val="002D5055"/>
    <w:rsid w:val="002E6D90"/>
    <w:rsid w:val="002E7C4C"/>
    <w:rsid w:val="002F7F90"/>
    <w:rsid w:val="003044BA"/>
    <w:rsid w:val="0030639B"/>
    <w:rsid w:val="003114D2"/>
    <w:rsid w:val="00327387"/>
    <w:rsid w:val="003319AA"/>
    <w:rsid w:val="00332C61"/>
    <w:rsid w:val="003426A2"/>
    <w:rsid w:val="00345010"/>
    <w:rsid w:val="00347896"/>
    <w:rsid w:val="00363F2E"/>
    <w:rsid w:val="0036769F"/>
    <w:rsid w:val="0037251D"/>
    <w:rsid w:val="0037418E"/>
    <w:rsid w:val="00384145"/>
    <w:rsid w:val="00387C91"/>
    <w:rsid w:val="003962AF"/>
    <w:rsid w:val="003A4309"/>
    <w:rsid w:val="003A6FFC"/>
    <w:rsid w:val="003D0754"/>
    <w:rsid w:val="003E698B"/>
    <w:rsid w:val="003F5B04"/>
    <w:rsid w:val="004110F2"/>
    <w:rsid w:val="004154B7"/>
    <w:rsid w:val="004363FB"/>
    <w:rsid w:val="0044264A"/>
    <w:rsid w:val="00453990"/>
    <w:rsid w:val="0045791E"/>
    <w:rsid w:val="00457F37"/>
    <w:rsid w:val="00470812"/>
    <w:rsid w:val="004733CF"/>
    <w:rsid w:val="0047526E"/>
    <w:rsid w:val="0049007E"/>
    <w:rsid w:val="004977F5"/>
    <w:rsid w:val="004A2A47"/>
    <w:rsid w:val="004E41FB"/>
    <w:rsid w:val="004E4F7D"/>
    <w:rsid w:val="00507E9A"/>
    <w:rsid w:val="005222B7"/>
    <w:rsid w:val="00526011"/>
    <w:rsid w:val="00534AAA"/>
    <w:rsid w:val="00536A23"/>
    <w:rsid w:val="00536BE3"/>
    <w:rsid w:val="00541806"/>
    <w:rsid w:val="0054318D"/>
    <w:rsid w:val="00576DE9"/>
    <w:rsid w:val="0058021B"/>
    <w:rsid w:val="0059377D"/>
    <w:rsid w:val="005A5312"/>
    <w:rsid w:val="005B0703"/>
    <w:rsid w:val="005B332D"/>
    <w:rsid w:val="005C0A4B"/>
    <w:rsid w:val="005C6D05"/>
    <w:rsid w:val="005D1AB4"/>
    <w:rsid w:val="005E50D6"/>
    <w:rsid w:val="005E6389"/>
    <w:rsid w:val="005F017D"/>
    <w:rsid w:val="00603813"/>
    <w:rsid w:val="00614DB9"/>
    <w:rsid w:val="00615221"/>
    <w:rsid w:val="0062760B"/>
    <w:rsid w:val="00627805"/>
    <w:rsid w:val="006346C4"/>
    <w:rsid w:val="0063485E"/>
    <w:rsid w:val="00645EDD"/>
    <w:rsid w:val="00646709"/>
    <w:rsid w:val="00656288"/>
    <w:rsid w:val="00663429"/>
    <w:rsid w:val="00666228"/>
    <w:rsid w:val="0067146D"/>
    <w:rsid w:val="00684C68"/>
    <w:rsid w:val="00685DEE"/>
    <w:rsid w:val="006873B2"/>
    <w:rsid w:val="00695733"/>
    <w:rsid w:val="006A1216"/>
    <w:rsid w:val="006A6B18"/>
    <w:rsid w:val="006B0EE4"/>
    <w:rsid w:val="006B7230"/>
    <w:rsid w:val="006C111C"/>
    <w:rsid w:val="006D59B2"/>
    <w:rsid w:val="006D7937"/>
    <w:rsid w:val="00720423"/>
    <w:rsid w:val="00724B45"/>
    <w:rsid w:val="00726BB0"/>
    <w:rsid w:val="00730D9B"/>
    <w:rsid w:val="00737309"/>
    <w:rsid w:val="007730F3"/>
    <w:rsid w:val="00776CBF"/>
    <w:rsid w:val="00796CAB"/>
    <w:rsid w:val="00797978"/>
    <w:rsid w:val="007A0AED"/>
    <w:rsid w:val="007A0B1E"/>
    <w:rsid w:val="007A5F18"/>
    <w:rsid w:val="007B699A"/>
    <w:rsid w:val="007C2C18"/>
    <w:rsid w:val="007D1DC5"/>
    <w:rsid w:val="007E5D3B"/>
    <w:rsid w:val="008101A8"/>
    <w:rsid w:val="00816529"/>
    <w:rsid w:val="00861C3A"/>
    <w:rsid w:val="0086342D"/>
    <w:rsid w:val="00864F13"/>
    <w:rsid w:val="00873A4A"/>
    <w:rsid w:val="00882929"/>
    <w:rsid w:val="00882E85"/>
    <w:rsid w:val="00896A7A"/>
    <w:rsid w:val="008B6C7B"/>
    <w:rsid w:val="008B7695"/>
    <w:rsid w:val="008C50E2"/>
    <w:rsid w:val="008C5A59"/>
    <w:rsid w:val="008E0531"/>
    <w:rsid w:val="008E6D2C"/>
    <w:rsid w:val="008F07FF"/>
    <w:rsid w:val="008F2F0A"/>
    <w:rsid w:val="00900B51"/>
    <w:rsid w:val="009040CD"/>
    <w:rsid w:val="009145F8"/>
    <w:rsid w:val="00923677"/>
    <w:rsid w:val="009236A0"/>
    <w:rsid w:val="00935BDA"/>
    <w:rsid w:val="00955339"/>
    <w:rsid w:val="00956123"/>
    <w:rsid w:val="0097360A"/>
    <w:rsid w:val="00984B70"/>
    <w:rsid w:val="009B0B4C"/>
    <w:rsid w:val="009B181C"/>
    <w:rsid w:val="009B4AC2"/>
    <w:rsid w:val="009C1730"/>
    <w:rsid w:val="009C221B"/>
    <w:rsid w:val="009D5D41"/>
    <w:rsid w:val="009D7FB9"/>
    <w:rsid w:val="009E0B66"/>
    <w:rsid w:val="009E3D74"/>
    <w:rsid w:val="009E76DF"/>
    <w:rsid w:val="00A115D4"/>
    <w:rsid w:val="00A1724A"/>
    <w:rsid w:val="00A208FF"/>
    <w:rsid w:val="00A23FDE"/>
    <w:rsid w:val="00A379CB"/>
    <w:rsid w:val="00A533DF"/>
    <w:rsid w:val="00A5621D"/>
    <w:rsid w:val="00A568F7"/>
    <w:rsid w:val="00A56DBA"/>
    <w:rsid w:val="00A600DB"/>
    <w:rsid w:val="00A704D9"/>
    <w:rsid w:val="00A80866"/>
    <w:rsid w:val="00A93B2C"/>
    <w:rsid w:val="00AA3325"/>
    <w:rsid w:val="00AA5E43"/>
    <w:rsid w:val="00AB31EE"/>
    <w:rsid w:val="00AC037F"/>
    <w:rsid w:val="00AC1E16"/>
    <w:rsid w:val="00AC3819"/>
    <w:rsid w:val="00AD143E"/>
    <w:rsid w:val="00AD1A3A"/>
    <w:rsid w:val="00AE2961"/>
    <w:rsid w:val="00AF76CB"/>
    <w:rsid w:val="00B04CC2"/>
    <w:rsid w:val="00B113B7"/>
    <w:rsid w:val="00B11809"/>
    <w:rsid w:val="00B12310"/>
    <w:rsid w:val="00B232E9"/>
    <w:rsid w:val="00B2467C"/>
    <w:rsid w:val="00B304E0"/>
    <w:rsid w:val="00B30C0D"/>
    <w:rsid w:val="00B3100A"/>
    <w:rsid w:val="00B31B0F"/>
    <w:rsid w:val="00B36A8C"/>
    <w:rsid w:val="00B539E1"/>
    <w:rsid w:val="00B664C5"/>
    <w:rsid w:val="00B7139F"/>
    <w:rsid w:val="00B80B51"/>
    <w:rsid w:val="00B80C8A"/>
    <w:rsid w:val="00B870D8"/>
    <w:rsid w:val="00B90D07"/>
    <w:rsid w:val="00B9694C"/>
    <w:rsid w:val="00B96F22"/>
    <w:rsid w:val="00BA217F"/>
    <w:rsid w:val="00BB1665"/>
    <w:rsid w:val="00BB6EA4"/>
    <w:rsid w:val="00BC5590"/>
    <w:rsid w:val="00BC7AF9"/>
    <w:rsid w:val="00BD1210"/>
    <w:rsid w:val="00BE005C"/>
    <w:rsid w:val="00BE00D3"/>
    <w:rsid w:val="00BE0FAE"/>
    <w:rsid w:val="00BE1A4C"/>
    <w:rsid w:val="00BE3441"/>
    <w:rsid w:val="00BE421E"/>
    <w:rsid w:val="00BF1F67"/>
    <w:rsid w:val="00C14EBE"/>
    <w:rsid w:val="00C172DD"/>
    <w:rsid w:val="00C209B2"/>
    <w:rsid w:val="00C2614E"/>
    <w:rsid w:val="00C33C17"/>
    <w:rsid w:val="00C73893"/>
    <w:rsid w:val="00C77023"/>
    <w:rsid w:val="00C9477D"/>
    <w:rsid w:val="00C95680"/>
    <w:rsid w:val="00CC4BE9"/>
    <w:rsid w:val="00CD1B4F"/>
    <w:rsid w:val="00CF070B"/>
    <w:rsid w:val="00CF4B52"/>
    <w:rsid w:val="00D15EC1"/>
    <w:rsid w:val="00D23220"/>
    <w:rsid w:val="00D35CC6"/>
    <w:rsid w:val="00D50B65"/>
    <w:rsid w:val="00D55D56"/>
    <w:rsid w:val="00D614BC"/>
    <w:rsid w:val="00D927E3"/>
    <w:rsid w:val="00D948E9"/>
    <w:rsid w:val="00D95B98"/>
    <w:rsid w:val="00DA33C5"/>
    <w:rsid w:val="00DA3E31"/>
    <w:rsid w:val="00DD3D9F"/>
    <w:rsid w:val="00DE1085"/>
    <w:rsid w:val="00DE60E3"/>
    <w:rsid w:val="00DE6BA2"/>
    <w:rsid w:val="00DE7B55"/>
    <w:rsid w:val="00DF3882"/>
    <w:rsid w:val="00E127C3"/>
    <w:rsid w:val="00E149D4"/>
    <w:rsid w:val="00E218F5"/>
    <w:rsid w:val="00E22962"/>
    <w:rsid w:val="00E31062"/>
    <w:rsid w:val="00E57AE6"/>
    <w:rsid w:val="00E64BF3"/>
    <w:rsid w:val="00E74294"/>
    <w:rsid w:val="00E97462"/>
    <w:rsid w:val="00EA789B"/>
    <w:rsid w:val="00EB3ED0"/>
    <w:rsid w:val="00EC059B"/>
    <w:rsid w:val="00EC3724"/>
    <w:rsid w:val="00ED2D9C"/>
    <w:rsid w:val="00EE048E"/>
    <w:rsid w:val="00F1381A"/>
    <w:rsid w:val="00F15F69"/>
    <w:rsid w:val="00F167BA"/>
    <w:rsid w:val="00F22573"/>
    <w:rsid w:val="00F30B2C"/>
    <w:rsid w:val="00F30C02"/>
    <w:rsid w:val="00F3581D"/>
    <w:rsid w:val="00F37CCF"/>
    <w:rsid w:val="00F6261E"/>
    <w:rsid w:val="00F72EA4"/>
    <w:rsid w:val="00F9291C"/>
    <w:rsid w:val="00FB3157"/>
    <w:rsid w:val="00FC6A10"/>
    <w:rsid w:val="00FD1C7D"/>
    <w:rsid w:val="00FD4D6C"/>
    <w:rsid w:val="00FD58DA"/>
    <w:rsid w:val="00FD5EA3"/>
    <w:rsid w:val="00FD6364"/>
    <w:rsid w:val="00FD6811"/>
    <w:rsid w:val="00FD7DF8"/>
    <w:rsid w:val="00FE0C42"/>
    <w:rsid w:val="00FF59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D705D"/>
  <w15:chartTrackingRefBased/>
  <w15:docId w15:val="{CBEECD62-C73F-4E8D-A681-2C4AE56C7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7DA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E7DA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E7DA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E7DA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E7DA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E7D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E7D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E7D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E7D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7DA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E7DA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E7DA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E7DA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E7DA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E7D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E7D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E7D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E7DAC"/>
    <w:rPr>
      <w:rFonts w:eastAsiaTheme="majorEastAsia" w:cstheme="majorBidi"/>
      <w:color w:val="272727" w:themeColor="text1" w:themeTint="D8"/>
    </w:rPr>
  </w:style>
  <w:style w:type="paragraph" w:styleId="Title">
    <w:name w:val="Title"/>
    <w:basedOn w:val="Normal"/>
    <w:next w:val="Normal"/>
    <w:link w:val="TitleChar"/>
    <w:uiPriority w:val="10"/>
    <w:qFormat/>
    <w:rsid w:val="001E7D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E7D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E7D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E7D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E7DAC"/>
    <w:pPr>
      <w:spacing w:before="160"/>
      <w:jc w:val="center"/>
    </w:pPr>
    <w:rPr>
      <w:i/>
      <w:iCs/>
      <w:color w:val="404040" w:themeColor="text1" w:themeTint="BF"/>
    </w:rPr>
  </w:style>
  <w:style w:type="character" w:customStyle="1" w:styleId="QuoteChar">
    <w:name w:val="Quote Char"/>
    <w:basedOn w:val="DefaultParagraphFont"/>
    <w:link w:val="Quote"/>
    <w:uiPriority w:val="29"/>
    <w:rsid w:val="001E7DAC"/>
    <w:rPr>
      <w:i/>
      <w:iCs/>
      <w:color w:val="404040" w:themeColor="text1" w:themeTint="BF"/>
    </w:rPr>
  </w:style>
  <w:style w:type="paragraph" w:styleId="ListParagraph">
    <w:name w:val="List Paragraph"/>
    <w:basedOn w:val="Normal"/>
    <w:uiPriority w:val="34"/>
    <w:qFormat/>
    <w:rsid w:val="001E7DAC"/>
    <w:pPr>
      <w:ind w:left="720"/>
      <w:contextualSpacing/>
    </w:pPr>
  </w:style>
  <w:style w:type="character" w:styleId="IntenseEmphasis">
    <w:name w:val="Intense Emphasis"/>
    <w:basedOn w:val="DefaultParagraphFont"/>
    <w:uiPriority w:val="21"/>
    <w:qFormat/>
    <w:rsid w:val="001E7DAC"/>
    <w:rPr>
      <w:i/>
      <w:iCs/>
      <w:color w:val="2F5496" w:themeColor="accent1" w:themeShade="BF"/>
    </w:rPr>
  </w:style>
  <w:style w:type="paragraph" w:styleId="IntenseQuote">
    <w:name w:val="Intense Quote"/>
    <w:basedOn w:val="Normal"/>
    <w:next w:val="Normal"/>
    <w:link w:val="IntenseQuoteChar"/>
    <w:uiPriority w:val="30"/>
    <w:qFormat/>
    <w:rsid w:val="001E7DA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E7DAC"/>
    <w:rPr>
      <w:i/>
      <w:iCs/>
      <w:color w:val="2F5496" w:themeColor="accent1" w:themeShade="BF"/>
    </w:rPr>
  </w:style>
  <w:style w:type="character" w:styleId="IntenseReference">
    <w:name w:val="Intense Reference"/>
    <w:basedOn w:val="DefaultParagraphFont"/>
    <w:uiPriority w:val="32"/>
    <w:qFormat/>
    <w:rsid w:val="001E7DAC"/>
    <w:rPr>
      <w:b/>
      <w:bCs/>
      <w:smallCaps/>
      <w:color w:val="2F5496" w:themeColor="accent1" w:themeShade="BF"/>
      <w:spacing w:val="5"/>
    </w:rPr>
  </w:style>
  <w:style w:type="character" w:styleId="Hyperlink">
    <w:name w:val="Hyperlink"/>
    <w:basedOn w:val="DefaultParagraphFont"/>
    <w:uiPriority w:val="99"/>
    <w:unhideWhenUsed/>
    <w:rsid w:val="001138DF"/>
    <w:rPr>
      <w:color w:val="0563C1" w:themeColor="hyperlink"/>
      <w:u w:val="single"/>
    </w:rPr>
  </w:style>
  <w:style w:type="character" w:styleId="UnresolvedMention">
    <w:name w:val="Unresolved Mention"/>
    <w:basedOn w:val="DefaultParagraphFont"/>
    <w:uiPriority w:val="99"/>
    <w:semiHidden/>
    <w:unhideWhenUsed/>
    <w:rsid w:val="001138DF"/>
    <w:rPr>
      <w:color w:val="605E5C"/>
      <w:shd w:val="clear" w:color="auto" w:fill="E1DFDD"/>
    </w:rPr>
  </w:style>
  <w:style w:type="paragraph" w:styleId="FootnoteText">
    <w:name w:val="footnote text"/>
    <w:basedOn w:val="Normal"/>
    <w:link w:val="FootnoteTextChar"/>
    <w:uiPriority w:val="99"/>
    <w:semiHidden/>
    <w:unhideWhenUsed/>
    <w:rsid w:val="00645ED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45EDD"/>
    <w:rPr>
      <w:sz w:val="20"/>
      <w:szCs w:val="20"/>
    </w:rPr>
  </w:style>
  <w:style w:type="character" w:styleId="FootnoteReference">
    <w:name w:val="footnote reference"/>
    <w:basedOn w:val="DefaultParagraphFont"/>
    <w:uiPriority w:val="99"/>
    <w:semiHidden/>
    <w:unhideWhenUsed/>
    <w:rsid w:val="00645EDD"/>
    <w:rPr>
      <w:vertAlign w:val="superscript"/>
    </w:rPr>
  </w:style>
  <w:style w:type="paragraph" w:styleId="HTMLPreformatted">
    <w:name w:val="HTML Preformatted"/>
    <w:basedOn w:val="Normal"/>
    <w:link w:val="HTMLPreformattedChar"/>
    <w:uiPriority w:val="99"/>
    <w:semiHidden/>
    <w:unhideWhenUsed/>
    <w:rsid w:val="00AF76CB"/>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AF76CB"/>
    <w:rPr>
      <w:rFonts w:ascii="Consolas" w:hAnsi="Consolas"/>
      <w:sz w:val="20"/>
      <w:szCs w:val="20"/>
    </w:rPr>
  </w:style>
  <w:style w:type="character" w:styleId="FollowedHyperlink">
    <w:name w:val="FollowedHyperlink"/>
    <w:basedOn w:val="DefaultParagraphFont"/>
    <w:uiPriority w:val="99"/>
    <w:semiHidden/>
    <w:unhideWhenUsed/>
    <w:rsid w:val="00CD1B4F"/>
    <w:rPr>
      <w:color w:val="954F72" w:themeColor="followedHyperlink"/>
      <w:u w:val="single"/>
    </w:rPr>
  </w:style>
  <w:style w:type="character" w:styleId="LineNumber">
    <w:name w:val="line number"/>
    <w:basedOn w:val="DefaultParagraphFont"/>
    <w:uiPriority w:val="99"/>
    <w:semiHidden/>
    <w:unhideWhenUsed/>
    <w:rsid w:val="001B7D20"/>
  </w:style>
  <w:style w:type="paragraph" w:styleId="Header">
    <w:name w:val="header"/>
    <w:basedOn w:val="Normal"/>
    <w:link w:val="HeaderChar"/>
    <w:uiPriority w:val="99"/>
    <w:unhideWhenUsed/>
    <w:rsid w:val="00C33C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3C17"/>
  </w:style>
  <w:style w:type="paragraph" w:styleId="Footer">
    <w:name w:val="footer"/>
    <w:basedOn w:val="Normal"/>
    <w:link w:val="FooterChar"/>
    <w:uiPriority w:val="99"/>
    <w:unhideWhenUsed/>
    <w:rsid w:val="00C33C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3C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n.gov/law-library-stat/archive/ctapun/9712/1002.htm" TargetMode="External"/><Relationship Id="rId13" Type="http://schemas.openxmlformats.org/officeDocument/2006/relationships/hyperlink" Target="https://mn.gov/law-library-stat/archive/ctapun/9712/1002.htm" TargetMode="External"/><Relationship Id="rId18" Type="http://schemas.openxmlformats.org/officeDocument/2006/relationships/hyperlink" Target="https://birnberglegalwebsite.wordpress.com/wp-content/uploads/2026/03/lh-1992-376-security-deposit-.pdf"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revisor.mn.gov/laws/1992/0/Session+Law/Chapter/376/" TargetMode="External"/><Relationship Id="rId17" Type="http://schemas.openxmlformats.org/officeDocument/2006/relationships/hyperlink" Target="https://birnberglegalwebsite.wordpress.com/wp-content/uploads/2026/03/lh-1992-376-security-deposit-.pdf" TargetMode="External"/><Relationship Id="rId2" Type="http://schemas.openxmlformats.org/officeDocument/2006/relationships/numbering" Target="numbering.xml"/><Relationship Id="rId16" Type="http://schemas.openxmlformats.org/officeDocument/2006/relationships/hyperlink" Target="https://mn.gov/law-library-stat/archive/ctapun/9712/1002.ht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revisor.mn.gov/laws/?doctype=Chapter&amp;year=1992&amp;type=0&amp;id=376" TargetMode="External"/><Relationship Id="rId5" Type="http://schemas.openxmlformats.org/officeDocument/2006/relationships/webSettings" Target="webSettings.xml"/><Relationship Id="rId15" Type="http://schemas.openxmlformats.org/officeDocument/2006/relationships/hyperlink" Target="https://scholar.google.com/scholar_case?case=2512057294646710917&amp;q=non+precedential&amp;hl=en&amp;as_sdt=4,24" TargetMode="External"/><Relationship Id="rId10" Type="http://schemas.openxmlformats.org/officeDocument/2006/relationships/hyperlink" Target="https://birnberglegalwebsite.wordpress.com/wp-content/uploads/2026/03/lh-1992-376-security-deposit-.pdf"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revisor.mn.gov/laws/?doctype=Chapter&amp;year=1992&amp;type=0&amp;id=376" TargetMode="External"/><Relationship Id="rId14" Type="http://schemas.openxmlformats.org/officeDocument/2006/relationships/hyperlink" Target="https://mn.gov/law-library-stat/archive/ctapun/9712/1002.htm"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revisor.mn.gov/statutes/cite/504B.178" TargetMode="External"/><Relationship Id="rId13" Type="http://schemas.openxmlformats.org/officeDocument/2006/relationships/hyperlink" Target="https://birnberglegalwebsite.wordpress.com/wp-content/uploads/2026/03/lh-1992-376-security-deposit-.pdf" TargetMode="External"/><Relationship Id="rId18" Type="http://schemas.openxmlformats.org/officeDocument/2006/relationships/hyperlink" Target="https://www.lrl.mn.gov/archive/Journals/senate/JOURNAL%20OF%20THE%20SENATE_1992_VOLUME%204.pdf" TargetMode="External"/><Relationship Id="rId26" Type="http://schemas.openxmlformats.org/officeDocument/2006/relationships/hyperlink" Target="https://www.lrl.mn.gov/media/" TargetMode="External"/><Relationship Id="rId3" Type="http://schemas.openxmlformats.org/officeDocument/2006/relationships/hyperlink" Target="https://www.revisor.mn.gov/statutes/1994/cite/504/pdf" TargetMode="External"/><Relationship Id="rId21" Type="http://schemas.openxmlformats.org/officeDocument/2006/relationships/hyperlink" Target="https://www.lrl.mn.gov/archive/Journals/senate/JOURNAL%20OF%20THE%20SENATE_1992_VOLUME%204.pdf" TargetMode="External"/><Relationship Id="rId7" Type="http://schemas.openxmlformats.org/officeDocument/2006/relationships/hyperlink" Target="https://www.usinflationcalculator.com/inflation/consumer-price-index-and-annual-percent-changes-from-1913-to-2008/" TargetMode="External"/><Relationship Id="rId12" Type="http://schemas.openxmlformats.org/officeDocument/2006/relationships/hyperlink" Target="https://birnberglegalwebsite.net/2019/07/22/mungall-v-garry-the-court-of-appeals-misconstrues-the-21-day-clock-in-minn-stat-%c2%a7-504b-178-2/" TargetMode="External"/><Relationship Id="rId17" Type="http://schemas.openxmlformats.org/officeDocument/2006/relationships/hyperlink" Target="https://www.lrl.mn.gov/archive/Journals/senate/JOURNAL%20OF%20THE%20SENATE_1991_VOLUME%203.pdf" TargetMode="External"/><Relationship Id="rId25" Type="http://schemas.openxmlformats.org/officeDocument/2006/relationships/hyperlink" Target="https://www.leg.state.mn.us/lrl/history/audio/" TargetMode="External"/><Relationship Id="rId2" Type="http://schemas.openxmlformats.org/officeDocument/2006/relationships/hyperlink" Target="https://scholar.google.com/scholar_case?case=7995007659523373036&amp;hl=en&amp;as_sdt=6,24" TargetMode="External"/><Relationship Id="rId16" Type="http://schemas.openxmlformats.org/officeDocument/2006/relationships/hyperlink" Target="https://birnberglegalwebsite.wordpress.com/wp-content/uploads/2026/03/lh-1992-376-security-deposit-.pdf" TargetMode="External"/><Relationship Id="rId20" Type="http://schemas.openxmlformats.org/officeDocument/2006/relationships/hyperlink" Target="https://www.lrl.mn.gov/archive/Journals/senate/JOURNAL%20OF%20THE%20SENATE_1992_VOLUME%204.pdf" TargetMode="External"/><Relationship Id="rId1" Type="http://schemas.openxmlformats.org/officeDocument/2006/relationships/hyperlink" Target="https://birnberglegalwebsite.net/wp-content/uploads/2026/04/appendix-townridge-full.pdf" TargetMode="External"/><Relationship Id="rId6" Type="http://schemas.openxmlformats.org/officeDocument/2006/relationships/hyperlink" Target="https://www.revisor.mn.gov/laws/2010/0/315/" TargetMode="External"/><Relationship Id="rId11" Type="http://schemas.openxmlformats.org/officeDocument/2006/relationships/hyperlink" Target="https://birnberglegalwebsite.wordpress.com/wp-content/uploads/2026/03/lh-1992-376-security-deposit-.pdf" TargetMode="External"/><Relationship Id="rId24" Type="http://schemas.openxmlformats.org/officeDocument/2006/relationships/hyperlink" Target="https://scholar.google.com/scholar_case?case=14117883593547484299&amp;q=kaeding&amp;hl=en&amp;as_sdt=4,24" TargetMode="External"/><Relationship Id="rId5" Type="http://schemas.openxmlformats.org/officeDocument/2006/relationships/hyperlink" Target="https://www.revisor.mn.gov/laws/1999/0/199/" TargetMode="External"/><Relationship Id="rId15" Type="http://schemas.openxmlformats.org/officeDocument/2006/relationships/hyperlink" Target="https://birnberglegalwebsite.wordpress.com/wp-content/uploads/2026/03/lh-1992-376-security-deposit-.pdf" TargetMode="External"/><Relationship Id="rId23" Type="http://schemas.openxmlformats.org/officeDocument/2006/relationships/hyperlink" Target="https://www.lrl.mn.gov/archive/Journals/house/JOURNAL%20OF%20THE%20HOUSE_1992_VOLUME%206.pdf" TargetMode="External"/><Relationship Id="rId10" Type="http://schemas.openxmlformats.org/officeDocument/2006/relationships/hyperlink" Target="https://birnberglegalwebsite.wordpress.com/wp-content/uploads/2026/03/lh-1992-376-security-deposit-.pdf" TargetMode="External"/><Relationship Id="rId19" Type="http://schemas.openxmlformats.org/officeDocument/2006/relationships/hyperlink" Target="https://birnberglegalwebsite.wordpress.com/wp-content/uploads/2026/03/lh-1992-376-security-deposit-.pdf" TargetMode="External"/><Relationship Id="rId4" Type="http://schemas.openxmlformats.org/officeDocument/2006/relationships/hyperlink" Target="https://www.revisor.mn.gov/statutes/1998/cite/504.20" TargetMode="External"/><Relationship Id="rId9" Type="http://schemas.openxmlformats.org/officeDocument/2006/relationships/hyperlink" Target="https://birnberglegalwebsite.wordpress.com/wp-content/uploads/2026/03/lh-1992-376-security-deposit-.pdf" TargetMode="External"/><Relationship Id="rId14" Type="http://schemas.openxmlformats.org/officeDocument/2006/relationships/hyperlink" Target="https://birnberglegalwebsite.wordpress.com/wp-content/uploads/2026/03/lh-1992-376-security-deposit-.pdf" TargetMode="External"/><Relationship Id="rId22" Type="http://schemas.openxmlformats.org/officeDocument/2006/relationships/hyperlink" Target="https://www.lrl.mn.gov/archive/Journals/house/JOURNAL%20OF%20THE%20HOUSE_1992_VOLUME%20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88C15D-FD02-417C-9EEF-4E78BD563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1503</TotalTime>
  <Pages>17</Pages>
  <Words>5967</Words>
  <Characters>34018</Characters>
  <Application>Microsoft Office Word</Application>
  <DocSecurity>0</DocSecurity>
  <Lines>283</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74</cp:revision>
  <cp:lastPrinted>2026-05-12T14:06:00Z</cp:lastPrinted>
  <dcterms:created xsi:type="dcterms:W3CDTF">2026-04-11T15:56:00Z</dcterms:created>
  <dcterms:modified xsi:type="dcterms:W3CDTF">2026-05-14T14:49:00Z</dcterms:modified>
</cp:coreProperties>
</file>